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Acuerdo de confidencialidad con proveedor</w:t>
      </w:r>
    </w:p>
    <w:p>
      <w:r>
        <w:t>Partes. Servicios Legales Integrales, S.A. de C.V. (la Reveladora) y Tecnologías Documentales del Norte, S.A. de C.V. (la Receptora).</w:t>
      </w:r>
    </w:p>
    <w:p>
      <w:r>
        <w:t>Primera. Información confidencial. Es toda la información técnica, financiera, comercial o jurídica que la Reveladora entregue a la Receptora con motivo de la evaluación de la propuesta de digitalización de expedientes.</w:t>
      </w:r>
    </w:p>
    <w:p>
      <w:r>
        <w:t>Segunda. Obligaciones. La Receptora usará la información confidencial exclusivamente para evaluar la propuesta, no la divulgará a terceros y limitará su acceso al personal que necesite conocerla.</w:t>
      </w:r>
    </w:p>
    <w:p>
      <w:r>
        <w:t>Tercera. Plazo de reserva. La obligación de confidencialidad subsistirá durante la vigencia del acuerdo y cinco años después de su terminación.</w:t>
      </w:r>
    </w:p>
    <w:p>
      <w:r>
        <w:t>Cuarta. Excepciones. No se considera confidencial la información que sea de dominio público, la que la Receptora ya conocía legítimamente o la que deba entregar por requerimiento de autoridad competente, previo aviso a la Reveladora.</w:t>
      </w:r>
    </w:p>
    <w:p>
      <w:r>
        <w:t>Quinta. Devolución. A solicitud de la Reveladora, la Receptora devolverá o destruirá la información confidencial dentro de los 10 días hábiles siguientes y lo confirmará por escrito.</w:t>
      </w:r>
    </w:p>
    <w:p>
      <w:r>
        <w:t>Sexta. Pena convencional. El incumplimiento de este acuerdo obligará a la Receptora al pago de una pena convencional de $500,000.00 M.N., sin perjuicio de los daños y perjuicios que se acrediten.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