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3"/>
        <w:numPr>
          <w:numId w:val="0"/>
        </w:numPr>
        <w:spacing w:line="360" w:lineRule="auto"/>
        <w:ind w:leftChars="0"/>
        <w:jc w:val="center"/>
        <w:outlineLvl w:val="1"/>
        <w:rPr>
          <w:rFonts w:hint="default" w:ascii="Arial" w:hAnsi="Arial" w:cs="Arial"/>
          <w:b/>
          <w:bCs/>
        </w:rPr>
      </w:pPr>
      <w:bookmarkStart w:id="0" w:name="_rmfhyguf4fa5" w:colFirst="0" w:colLast="0"/>
      <w:bookmarkEnd w:id="0"/>
      <w:r>
        <w:rPr>
          <w:rFonts w:hint="default" w:ascii="Arial" w:hAnsi="Arial" w:cs="Arial"/>
          <w:b/>
          <w:bCs/>
          <w:rtl w:val="0"/>
        </w:rPr>
        <w:t xml:space="preserve">Requisitos do Sistema de </w:t>
      </w:r>
      <w:r>
        <w:rPr>
          <w:rFonts w:hint="default" w:ascii="Arial" w:hAnsi="Arial" w:cs="Arial"/>
          <w:b/>
          <w:bCs/>
          <w:i/>
          <w:iCs/>
          <w:rtl w:val="0"/>
        </w:rPr>
        <w:t>Prediction Market</w:t>
      </w:r>
    </w:p>
    <w:p w14:paraId="00000002">
      <w:pPr>
        <w:keepNext w:val="0"/>
        <w:keepLines w:val="0"/>
        <w:pageBreakBefore w:val="0"/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40" w:lineRule="auto"/>
        <w:ind w:leftChars="0" w:right="0" w:rightChars="0"/>
        <w:jc w:val="center"/>
        <w:rPr>
          <w:rFonts w:hint="default" w:ascii="Arial" w:hAnsi="Arial" w:eastAsia="Liberation Serif" w:cs="Arial"/>
          <w:b w:val="0"/>
          <w:bCs w:val="0"/>
          <w:i/>
          <w:iCs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bookmarkStart w:id="1" w:name="_q46jnpnvxaxi" w:colFirst="0" w:colLast="0"/>
      <w:bookmarkEnd w:id="1"/>
      <w:r>
        <w:rPr>
          <w:rFonts w:hint="default" w:ascii="Arial" w:hAnsi="Arial" w:eastAsia="Liberation Serif" w:cs="Arial"/>
          <w:b w:val="0"/>
          <w:bCs w:val="0"/>
          <w:i/>
          <w:iCs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Tabela 1 – RF1: Negociação (Trading de Cotas)</w:t>
      </w:r>
    </w:p>
    <w:tbl>
      <w:tblPr>
        <w:tblStyle w:val="13"/>
        <w:tblW w:w="9101" w:type="dxa"/>
        <w:jc w:val="center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549"/>
        <w:gridCol w:w="1171"/>
        <w:gridCol w:w="6381"/>
      </w:tblGrid>
      <w:tr w14:paraId="2432EA79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0" w:hRule="atLeast"/>
          <w:jc w:val="center"/>
        </w:trPr>
        <w:tc>
          <w:tcPr>
            <w:gridSpan w:val="3"/>
            <w:tcBorders>
              <w:top w:val="single" w:color="000000" w:sz="4" w:space="0"/>
              <w:bottom w:val="single" w:color="000000" w:sz="4" w:space="0"/>
            </w:tcBorders>
            <w:shd w:val="clear" w:color="auto" w:fill="000000"/>
            <w:vAlign w:val="center"/>
          </w:tcPr>
          <w:p w14:paraId="00000003">
            <w:pPr>
              <w:spacing w:before="40" w:after="0" w:line="240" w:lineRule="auto"/>
              <w:rPr>
                <w:rFonts w:hint="default" w:ascii="Arial" w:hAnsi="Arial" w:cs="Arial"/>
                <w:b/>
                <w:bCs/>
                <w:color w:val="FFFFFF"/>
              </w:rPr>
            </w:pPr>
            <w:r>
              <w:rPr>
                <w:rFonts w:hint="default" w:ascii="Arial" w:hAnsi="Arial" w:cs="Arial"/>
                <w:b/>
                <w:bCs/>
                <w:color w:val="FFFFFF"/>
                <w:rtl w:val="0"/>
              </w:rPr>
              <w:t xml:space="preserve">RF1 – Negociação (Trading de Cotas) </w:t>
            </w:r>
          </w:p>
        </w:tc>
      </w:tr>
      <w:tr w14:paraId="55412F42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05" w:hRule="atLeast"/>
          <w:jc w:val="center"/>
        </w:trPr>
        <w:tc>
          <w:tcPr>
            <w:gridSpan w:val="2"/>
            <w:tcBorders>
              <w:bottom w:val="single" w:color="000000" w:sz="4" w:space="0"/>
            </w:tcBorders>
            <w:vAlign w:val="center"/>
          </w:tcPr>
          <w:p w14:paraId="00000006">
            <w:pPr>
              <w:spacing w:line="240" w:lineRule="auto"/>
              <w:ind w:left="34" w:firstLine="0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cs="Arial"/>
                <w:b/>
                <w:bCs/>
                <w:rtl w:val="0"/>
              </w:rPr>
              <w:t>Descrição:</w:t>
            </w:r>
          </w:p>
        </w:tc>
        <w:tc>
          <w:tcPr>
            <w:tcBorders>
              <w:bottom w:val="single" w:color="000000" w:sz="4" w:space="0"/>
            </w:tcBorders>
            <w:vAlign w:val="center"/>
          </w:tcPr>
          <w:p w14:paraId="00000008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40" w:line="240" w:lineRule="auto"/>
              <w:ind w:left="34" w:right="0" w:firstLine="0"/>
              <w:jc w:val="left"/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Permitir que usuários comprem e vendam cotas de resultados em mercados de previsão (ex: “Sim” ou “Não”).</w:t>
            </w:r>
          </w:p>
          <w:p w14:paraId="00000009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40" w:line="240" w:lineRule="auto"/>
              <w:ind w:left="0" w:right="0" w:firstLine="0"/>
              <w:jc w:val="left"/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Os preços devem variar dinamicamente conforme oferta e demanda, refletindo a probabilidade do evento. O sistema deve possibilitar entrada e saída de posições antes do encerramento do mercado, com atualização automática de saldo e preços.</w:t>
            </w:r>
          </w:p>
        </w:tc>
      </w:tr>
      <w:tr w14:paraId="2E8AAC4F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05" w:hRule="atLeast"/>
          <w:jc w:val="center"/>
        </w:trPr>
        <w:tc>
          <w:tcPr>
            <w:gridSpan w:val="2"/>
            <w:tcBorders>
              <w:bottom w:val="single" w:color="000000" w:sz="4" w:space="0"/>
            </w:tcBorders>
            <w:vAlign w:val="center"/>
          </w:tcPr>
          <w:p w14:paraId="0000000A">
            <w:pPr>
              <w:spacing w:line="240" w:lineRule="auto"/>
              <w:ind w:left="34" w:firstLine="0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cs="Arial"/>
                <w:b/>
                <w:bCs/>
                <w:rtl w:val="0"/>
              </w:rPr>
              <w:t>Entradas</w:t>
            </w:r>
          </w:p>
        </w:tc>
        <w:tc>
          <w:tcPr>
            <w:tcBorders>
              <w:bottom w:val="single" w:color="000000" w:sz="4" w:space="0"/>
            </w:tcBorders>
            <w:vAlign w:val="center"/>
          </w:tcPr>
          <w:p w14:paraId="0000000C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40" w:line="240" w:lineRule="auto"/>
              <w:ind w:left="34" w:right="0" w:firstLine="0"/>
              <w:jc w:val="left"/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• Ordens de compra e venda de cotas (quantidade, tipo de resultado, preço).</w:t>
            </w:r>
            <w:r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• Dados do usuário (saldo disponível, saldo bloqueado).</w:t>
            </w:r>
            <w:r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 xml:space="preserve">• Informações do mercado (preço atual das cotas, liquidez, prazo de encerramento). </w:t>
            </w:r>
          </w:p>
        </w:tc>
      </w:tr>
      <w:tr w14:paraId="723984E0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05" w:hRule="atLeast"/>
          <w:jc w:val="center"/>
        </w:trPr>
        <w:tc>
          <w:tcPr>
            <w:gridSpan w:val="2"/>
            <w:tcBorders>
              <w:bottom w:val="single" w:color="000000" w:sz="4" w:space="0"/>
            </w:tcBorders>
            <w:vAlign w:val="center"/>
          </w:tcPr>
          <w:p w14:paraId="0000000D">
            <w:pPr>
              <w:spacing w:line="240" w:lineRule="auto"/>
              <w:ind w:left="34" w:firstLine="0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cs="Arial"/>
                <w:b/>
                <w:bCs/>
                <w:rtl w:val="0"/>
              </w:rPr>
              <w:t>Processamento</w:t>
            </w:r>
          </w:p>
        </w:tc>
        <w:tc>
          <w:tcPr>
            <w:tcBorders>
              <w:bottom w:val="single" w:color="000000" w:sz="4" w:space="0"/>
            </w:tcBorders>
            <w:vAlign w:val="center"/>
          </w:tcPr>
          <w:p w14:paraId="0000000F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40" w:line="240" w:lineRule="auto"/>
              <w:ind w:left="34" w:right="0" w:firstLine="0"/>
              <w:jc w:val="left"/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O sistema deverá:</w:t>
            </w:r>
          </w:p>
          <w:p w14:paraId="00000010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40" w:line="240" w:lineRule="auto"/>
              <w:ind w:left="0" w:right="0" w:firstLine="0"/>
              <w:jc w:val="left"/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• Validar se o usuário possui saldo suficiente para realizar a compra.</w:t>
            </w:r>
            <w:r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• Bloquear o saldo correspondente à operação.</w:t>
            </w:r>
            <w:r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• Registrar ordens de compra e venda.</w:t>
            </w:r>
            <w:r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• Atualizar o preço das cotas com base na oferta e demanda (modelo de precificação).</w:t>
            </w:r>
            <w:r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• Executar ordens (</w:t>
            </w:r>
            <w:r>
              <w:rPr>
                <w:rFonts w:hint="default" w:ascii="Arial" w:hAnsi="Arial" w:eastAsia="Liberation Serif" w:cs="Arial"/>
                <w:b w:val="0"/>
                <w:bCs w:val="0"/>
                <w:i/>
                <w:iCs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matching</w:t>
            </w:r>
            <w:r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) entre compradores e vendedores, quando aplicável.</w:t>
            </w:r>
            <w:r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• Permitir venda antecipada das cotas antes do encerramento do mercado.</w:t>
            </w:r>
            <w:r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 xml:space="preserve">• Atualizar o saldo do usuário após </w:t>
            </w:r>
            <w:r>
              <w:rPr>
                <w:rFonts w:hint="default" w:ascii="Arial" w:hAnsi="Arial" w:cs="Arial"/>
                <w:rtl w:val="0"/>
              </w:rPr>
              <w:t xml:space="preserve">a </w:t>
            </w:r>
            <w:r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execução da ordem.</w:t>
            </w:r>
            <w:r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• Aplicar taxas sobre transações, se definido pela plataforma.</w:t>
            </w:r>
            <w:r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• Atualizar a probabilidade implícita do evento com base no preço das cotas.</w:t>
            </w:r>
          </w:p>
          <w:p w14:paraId="00000011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40" w:line="240" w:lineRule="auto"/>
              <w:ind w:left="0" w:right="0" w:firstLine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• Impedir negociações após o encerramento do mercado.</w:t>
            </w:r>
          </w:p>
        </w:tc>
      </w:tr>
      <w:tr w14:paraId="5936D865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05" w:hRule="atLeast"/>
          <w:jc w:val="center"/>
        </w:trPr>
        <w:tc>
          <w:tcPr>
            <w:gridSpan w:val="2"/>
            <w:tcBorders>
              <w:bottom w:val="single" w:color="000000" w:sz="4" w:space="0"/>
            </w:tcBorders>
            <w:vAlign w:val="center"/>
          </w:tcPr>
          <w:p w14:paraId="00000012">
            <w:pPr>
              <w:spacing w:line="240" w:lineRule="auto"/>
              <w:ind w:left="34" w:firstLine="0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cs="Arial"/>
                <w:b/>
                <w:bCs/>
                <w:rtl w:val="0"/>
              </w:rPr>
              <w:t>Saída</w:t>
            </w:r>
          </w:p>
        </w:tc>
        <w:tc>
          <w:tcPr>
            <w:tcBorders>
              <w:bottom w:val="single" w:color="000000" w:sz="4" w:space="0"/>
            </w:tcBorders>
            <w:vAlign w:val="center"/>
          </w:tcPr>
          <w:p w14:paraId="00000014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40" w:line="240" w:lineRule="auto"/>
              <w:ind w:left="34" w:right="0" w:firstLine="0"/>
              <w:jc w:val="left"/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• Confirmação da compra ou venda de cotas.</w:t>
            </w:r>
            <w:r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• Atualização do saldo do usuário (disponível e bloqueado).</w:t>
            </w:r>
            <w:r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• Atualização do preço das cotas e probabilidade do evento.</w:t>
            </w:r>
            <w:r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 xml:space="preserve">• Registro da operação no histórico do usuário. </w:t>
            </w:r>
          </w:p>
        </w:tc>
      </w:tr>
      <w:tr w14:paraId="00349AB7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55" w:hRule="atLeast"/>
          <w:jc w:val="center"/>
        </w:trPr>
        <w:tc>
          <w:tcPr>
            <w:gridSpan w:val="3"/>
            <w:tcBorders>
              <w:top w:val="single" w:color="000000" w:sz="4" w:space="0"/>
              <w:bottom w:val="single" w:color="000000" w:sz="4" w:space="0"/>
            </w:tcBorders>
            <w:shd w:val="clear" w:color="auto" w:fill="000000"/>
            <w:vAlign w:val="center"/>
          </w:tcPr>
          <w:p w14:paraId="00000015">
            <w:pPr>
              <w:spacing w:before="40" w:after="0" w:line="240" w:lineRule="auto"/>
              <w:rPr>
                <w:rFonts w:hint="default" w:ascii="Arial" w:hAnsi="Arial" w:cs="Arial"/>
                <w:b/>
                <w:bCs/>
                <w:color w:val="FFFFFF"/>
              </w:rPr>
            </w:pPr>
            <w:r>
              <w:rPr>
                <w:rFonts w:hint="default" w:ascii="Arial" w:hAnsi="Arial" w:cs="Arial"/>
                <w:b/>
                <w:bCs/>
                <w:color w:val="FFFFFF"/>
                <w:rtl w:val="0"/>
              </w:rPr>
              <w:t>Requisitos Não-Funcionais Associados</w:t>
            </w:r>
          </w:p>
        </w:tc>
      </w:tr>
      <w:tr w14:paraId="23CB8F3C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55" w:hRule="atLeast"/>
          <w:jc w:val="center"/>
        </w:trPr>
        <w:tc>
          <w:tcPr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00000018">
            <w:pPr>
              <w:spacing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RNF 1.1</w:t>
            </w:r>
          </w:p>
        </w:tc>
        <w:tc>
          <w:tcPr>
            <w:gridSpan w:val="2"/>
            <w:tcBorders>
              <w:top w:val="single" w:color="000000" w:sz="4" w:space="0"/>
              <w:bottom w:val="single" w:color="000000" w:sz="4" w:space="0"/>
            </w:tcBorders>
          </w:tcPr>
          <w:p w14:paraId="00000019">
            <w:pPr>
              <w:spacing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O usuário deve estar logado no aplicativo.</w:t>
            </w:r>
          </w:p>
        </w:tc>
      </w:tr>
      <w:tr w14:paraId="304FE79A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55" w:hRule="atLeast"/>
          <w:jc w:val="center"/>
        </w:trPr>
        <w:tc>
          <w:tcPr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0000001B">
            <w:pPr>
              <w:spacing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RNF 1.2</w:t>
            </w:r>
          </w:p>
        </w:tc>
        <w:tc>
          <w:tcPr>
            <w:gridSpan w:val="2"/>
            <w:tcBorders>
              <w:top w:val="single" w:color="000000" w:sz="4" w:space="0"/>
              <w:bottom w:val="single" w:color="000000" w:sz="4" w:space="0"/>
            </w:tcBorders>
          </w:tcPr>
          <w:p w14:paraId="0000001C">
            <w:pPr>
              <w:spacing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Processamento de ordens com baixa latência e atualização quase em tempo real. </w:t>
            </w:r>
          </w:p>
        </w:tc>
      </w:tr>
      <w:tr w14:paraId="53E9A9FB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55" w:hRule="atLeast"/>
          <w:jc w:val="center"/>
        </w:trPr>
        <w:tc>
          <w:tcPr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0000001E">
            <w:pPr>
              <w:spacing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RNF 1.3</w:t>
            </w:r>
          </w:p>
        </w:tc>
        <w:tc>
          <w:tcPr>
            <w:gridSpan w:val="2"/>
            <w:tcBorders>
              <w:top w:val="single" w:color="000000" w:sz="4" w:space="0"/>
              <w:bottom w:val="single" w:color="000000" w:sz="4" w:space="0"/>
            </w:tcBorders>
          </w:tcPr>
          <w:p w14:paraId="0000001F">
            <w:pPr>
              <w:spacing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Suporte a múltiplas operações simultâneas com desempenho estável. </w:t>
            </w:r>
          </w:p>
        </w:tc>
      </w:tr>
      <w:tr w14:paraId="118D3DC6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55" w:hRule="atLeast"/>
          <w:jc w:val="center"/>
        </w:trPr>
        <w:tc>
          <w:tcPr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00000021">
            <w:pPr>
              <w:spacing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RNF 1.4</w:t>
            </w:r>
          </w:p>
        </w:tc>
        <w:tc>
          <w:tcPr>
            <w:gridSpan w:val="2"/>
            <w:tcBorders>
              <w:top w:val="single" w:color="000000" w:sz="4" w:space="0"/>
              <w:bottom w:val="single" w:color="000000" w:sz="4" w:space="0"/>
            </w:tcBorders>
          </w:tcPr>
          <w:p w14:paraId="00000022">
            <w:pPr>
              <w:spacing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Registro e auditoria de todas as transações. </w:t>
            </w:r>
          </w:p>
        </w:tc>
      </w:tr>
      <w:tr w14:paraId="59564D4D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55" w:hRule="atLeast"/>
          <w:jc w:val="center"/>
        </w:trPr>
        <w:tc>
          <w:tcPr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00000024">
            <w:pPr>
              <w:spacing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RNF 1.5</w:t>
            </w:r>
          </w:p>
        </w:tc>
        <w:tc>
          <w:tcPr>
            <w:gridSpan w:val="2"/>
            <w:tcBorders>
              <w:top w:val="single" w:color="000000" w:sz="4" w:space="0"/>
              <w:bottom w:val="single" w:color="000000" w:sz="4" w:space="0"/>
            </w:tcBorders>
          </w:tcPr>
          <w:p w14:paraId="00000025">
            <w:pPr>
              <w:spacing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Garantia de consistência dos saldos e dados financeiros. </w:t>
            </w:r>
          </w:p>
        </w:tc>
      </w:tr>
      <w:tr w14:paraId="44C6632B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2" w:hRule="atLeast"/>
          <w:jc w:val="center"/>
        </w:trPr>
        <w:tc>
          <w:tcPr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00000027">
            <w:pPr>
              <w:spacing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RNF 1.6</w:t>
            </w:r>
          </w:p>
        </w:tc>
        <w:tc>
          <w:tcPr>
            <w:gridSpan w:val="2"/>
            <w:tcBorders>
              <w:top w:val="single" w:color="000000" w:sz="4" w:space="0"/>
              <w:bottom w:val="single" w:color="000000" w:sz="4" w:space="0"/>
            </w:tcBorders>
          </w:tcPr>
          <w:p w14:paraId="00000028">
            <w:pPr>
              <w:spacing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Interface clara e intuitiva para compreensão de preços e riscos. </w:t>
            </w:r>
          </w:p>
        </w:tc>
      </w:tr>
      <w:tr w14:paraId="62F0AF39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2" w:hRule="atLeast"/>
          <w:jc w:val="center"/>
        </w:trPr>
        <w:tc>
          <w:tcPr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0000002A">
            <w:pPr>
              <w:spacing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RNF 1.7</w:t>
            </w:r>
          </w:p>
        </w:tc>
        <w:tc>
          <w:tcPr>
            <w:gridSpan w:val="2"/>
            <w:tcBorders>
              <w:top w:val="single" w:color="000000" w:sz="4" w:space="0"/>
              <w:bottom w:val="single" w:color="000000" w:sz="4" w:space="0"/>
            </w:tcBorders>
          </w:tcPr>
          <w:p w14:paraId="0000002B">
            <w:pPr>
              <w:spacing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Mecanismos de segurança contra manipulação de mercado e fraudes.</w:t>
            </w:r>
          </w:p>
        </w:tc>
      </w:tr>
    </w:tbl>
    <w:p w14:paraId="0000002D">
      <w:pPr>
        <w:jc w:val="center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  <w:rtl w:val="0"/>
        </w:rPr>
        <w:t>Fonte: O Autor (2025)</w:t>
      </w:r>
    </w:p>
    <w:p w14:paraId="0000002E">
      <w:pPr>
        <w:spacing w:line="360" w:lineRule="auto"/>
        <w:jc w:val="both"/>
        <w:rPr>
          <w:rFonts w:hint="default" w:ascii="Arial" w:hAnsi="Arial" w:cs="Arial"/>
          <w:sz w:val="20"/>
          <w:szCs w:val="20"/>
        </w:rPr>
      </w:pPr>
    </w:p>
    <w:p w14:paraId="0000002F">
      <w:pPr>
        <w:spacing w:line="360" w:lineRule="auto"/>
        <w:ind w:firstLine="709"/>
        <w:jc w:val="both"/>
        <w:rPr>
          <w:rFonts w:hint="default" w:ascii="Arial" w:hAnsi="Arial" w:cs="Arial"/>
        </w:rPr>
      </w:pPr>
    </w:p>
    <w:p w14:paraId="00000030">
      <w:pPr>
        <w:ind w:firstLine="708"/>
        <w:rPr>
          <w:rFonts w:hint="default" w:ascii="Arial" w:hAnsi="Arial" w:cs="Arial"/>
        </w:rPr>
      </w:pPr>
    </w:p>
    <w:p w14:paraId="2C00C004">
      <w:pPr>
        <w:rPr>
          <w:rFonts w:hint="default" w:ascii="Arial" w:hAnsi="Arial" w:eastAsia="Liberation Serif" w:cs="Arial"/>
          <w:b w:val="0"/>
          <w:bCs w:val="0"/>
          <w:i/>
          <w:iCs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bookmarkStart w:id="2" w:name="_ltsngeoq5u77" w:colFirst="0" w:colLast="0"/>
      <w:bookmarkEnd w:id="2"/>
      <w:r>
        <w:rPr>
          <w:rFonts w:hint="default" w:ascii="Arial" w:hAnsi="Arial" w:eastAsia="Liberation Serif" w:cs="Arial"/>
          <w:b w:val="0"/>
          <w:bCs w:val="0"/>
          <w:i/>
          <w:iCs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page"/>
      </w:r>
    </w:p>
    <w:p w14:paraId="0000003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40" w:lineRule="auto"/>
        <w:ind w:left="0" w:right="0" w:firstLine="0"/>
        <w:jc w:val="center"/>
        <w:rPr>
          <w:rFonts w:hint="default" w:ascii="Arial" w:hAnsi="Arial" w:eastAsia="Liberation Serif" w:cs="Arial"/>
          <w:b w:val="0"/>
          <w:bCs w:val="0"/>
          <w:i/>
          <w:iCs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hint="default" w:ascii="Arial" w:hAnsi="Arial" w:eastAsia="Liberation Serif" w:cs="Arial"/>
          <w:b w:val="0"/>
          <w:bCs w:val="0"/>
          <w:i/>
          <w:iCs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Tabela 2 – RF2: Criação de um mercado</w:t>
      </w:r>
    </w:p>
    <w:tbl>
      <w:tblPr>
        <w:tblStyle w:val="14"/>
        <w:tblW w:w="9101" w:type="dxa"/>
        <w:jc w:val="center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549"/>
        <w:gridCol w:w="1171"/>
        <w:gridCol w:w="6381"/>
      </w:tblGrid>
      <w:tr w14:paraId="73B7D10C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55" w:hRule="atLeast"/>
          <w:jc w:val="center"/>
        </w:trPr>
        <w:tc>
          <w:tcPr>
            <w:gridSpan w:val="3"/>
            <w:tcBorders>
              <w:top w:val="single" w:color="000000" w:sz="4" w:space="0"/>
              <w:bottom w:val="single" w:color="000000" w:sz="4" w:space="0"/>
            </w:tcBorders>
            <w:shd w:val="clear" w:color="auto" w:fill="000000"/>
            <w:vAlign w:val="center"/>
          </w:tcPr>
          <w:p w14:paraId="00000032">
            <w:pPr>
              <w:spacing w:before="40" w:after="0" w:line="240" w:lineRule="auto"/>
              <w:rPr>
                <w:rFonts w:hint="default" w:ascii="Arial" w:hAnsi="Arial" w:cs="Arial"/>
                <w:b/>
                <w:bCs/>
                <w:color w:val="FFFFFF"/>
              </w:rPr>
            </w:pPr>
            <w:r>
              <w:rPr>
                <w:rFonts w:hint="default" w:ascii="Arial" w:hAnsi="Arial" w:cs="Arial"/>
                <w:b/>
                <w:bCs/>
                <w:color w:val="FFFFFF"/>
                <w:rtl w:val="0"/>
              </w:rPr>
              <w:t>RF2 – Criação de um mercado</w:t>
            </w:r>
          </w:p>
        </w:tc>
      </w:tr>
      <w:tr w14:paraId="53F36BC6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05" w:hRule="atLeast"/>
          <w:jc w:val="center"/>
        </w:trPr>
        <w:tc>
          <w:tcPr>
            <w:gridSpan w:val="2"/>
            <w:tcBorders>
              <w:bottom w:val="single" w:color="000000" w:sz="4" w:space="0"/>
            </w:tcBorders>
            <w:vAlign w:val="center"/>
          </w:tcPr>
          <w:p w14:paraId="00000035">
            <w:pPr>
              <w:spacing w:line="240" w:lineRule="auto"/>
              <w:ind w:left="34" w:firstLine="0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cs="Arial"/>
                <w:b/>
                <w:bCs/>
                <w:rtl w:val="0"/>
              </w:rPr>
              <w:t>Descrição:</w:t>
            </w:r>
          </w:p>
        </w:tc>
        <w:tc>
          <w:tcPr>
            <w:tcBorders>
              <w:bottom w:val="single" w:color="000000" w:sz="4" w:space="0"/>
            </w:tcBorders>
            <w:vAlign w:val="center"/>
          </w:tcPr>
          <w:p w14:paraId="00000037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40" w:line="240" w:lineRule="auto"/>
              <w:ind w:left="34" w:right="0" w:firstLine="0"/>
              <w:jc w:val="left"/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 xml:space="preserve">Permitir que usuários autorizados criem novos mercados de previsão, definindo evento, opções de resultado, data de encerramento e critérios de validação. </w:t>
            </w:r>
          </w:p>
        </w:tc>
      </w:tr>
      <w:tr w14:paraId="7ABDAE73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05" w:hRule="atLeast"/>
          <w:jc w:val="center"/>
        </w:trPr>
        <w:tc>
          <w:tcPr>
            <w:gridSpan w:val="2"/>
            <w:tcBorders>
              <w:bottom w:val="single" w:color="000000" w:sz="4" w:space="0"/>
            </w:tcBorders>
            <w:vAlign w:val="center"/>
          </w:tcPr>
          <w:p w14:paraId="00000038">
            <w:pPr>
              <w:spacing w:line="240" w:lineRule="auto"/>
              <w:ind w:left="34" w:firstLine="0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cs="Arial"/>
                <w:b/>
                <w:bCs/>
                <w:rtl w:val="0"/>
              </w:rPr>
              <w:t>Entradas</w:t>
            </w:r>
          </w:p>
        </w:tc>
        <w:tc>
          <w:tcPr>
            <w:tcBorders>
              <w:bottom w:val="single" w:color="000000" w:sz="4" w:space="0"/>
            </w:tcBorders>
            <w:vAlign w:val="center"/>
          </w:tcPr>
          <w:p w14:paraId="0000003A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40" w:line="240" w:lineRule="auto"/>
              <w:ind w:left="34" w:right="0" w:firstLine="0"/>
              <w:jc w:val="left"/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• Dados do mercado (título, descrição, categoria).</w:t>
            </w:r>
            <w:r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• Opções de resultado (ex: “Sim” / “Não”).</w:t>
            </w:r>
            <w:r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• Data e hora de encerramento.</w:t>
            </w:r>
            <w:r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• Fonte de verificação do resultado.</w:t>
            </w:r>
            <w:r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 xml:space="preserve">• Identificação do usuário criador. </w:t>
            </w:r>
          </w:p>
        </w:tc>
      </w:tr>
      <w:tr w14:paraId="7358A7C3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05" w:hRule="atLeast"/>
          <w:jc w:val="center"/>
        </w:trPr>
        <w:tc>
          <w:tcPr>
            <w:gridSpan w:val="2"/>
            <w:tcBorders>
              <w:bottom w:val="single" w:color="000000" w:sz="4" w:space="0"/>
            </w:tcBorders>
            <w:vAlign w:val="center"/>
          </w:tcPr>
          <w:p w14:paraId="0000003B">
            <w:pPr>
              <w:spacing w:line="240" w:lineRule="auto"/>
              <w:ind w:left="34" w:firstLine="0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cs="Arial"/>
                <w:b/>
                <w:bCs/>
                <w:rtl w:val="0"/>
              </w:rPr>
              <w:t>Processamento</w:t>
            </w:r>
          </w:p>
        </w:tc>
        <w:tc>
          <w:tcPr>
            <w:tcBorders>
              <w:bottom w:val="single" w:color="000000" w:sz="4" w:space="0"/>
            </w:tcBorders>
            <w:vAlign w:val="center"/>
          </w:tcPr>
          <w:p w14:paraId="0000003D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40" w:line="240" w:lineRule="auto"/>
              <w:ind w:left="34" w:right="0" w:firstLine="0"/>
              <w:jc w:val="left"/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O sistema deverá:</w:t>
            </w:r>
          </w:p>
          <w:p w14:paraId="0000003E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40" w:line="240" w:lineRule="auto"/>
              <w:ind w:left="0" w:right="0" w:firstLine="0"/>
              <w:jc w:val="left"/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• Validar os dados informados.</w:t>
            </w:r>
            <w:r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• Registrar o novo mercado com status “ativo” ou “pendente”.</w:t>
            </w:r>
            <w:r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• Associar o mercado ao usuário criador.</w:t>
            </w:r>
            <w:r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• Disponibilizar o mercado para negociação, se aprovado e bloq</w:t>
            </w:r>
            <w:r>
              <w:rPr>
                <w:rFonts w:hint="default" w:ascii="Arial" w:hAnsi="Arial" w:cs="Arial"/>
                <w:rtl w:val="0"/>
              </w:rPr>
              <w:t>uear alterações do mesmo</w:t>
            </w:r>
            <w:r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.</w:t>
            </w:r>
          </w:p>
        </w:tc>
      </w:tr>
      <w:tr w14:paraId="498281CD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05" w:hRule="atLeast"/>
          <w:jc w:val="center"/>
        </w:trPr>
        <w:tc>
          <w:tcPr>
            <w:gridSpan w:val="2"/>
            <w:tcBorders>
              <w:bottom w:val="single" w:color="000000" w:sz="4" w:space="0"/>
            </w:tcBorders>
            <w:vAlign w:val="center"/>
          </w:tcPr>
          <w:p w14:paraId="0000003F">
            <w:pPr>
              <w:spacing w:line="240" w:lineRule="auto"/>
              <w:ind w:left="34" w:firstLine="0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cs="Arial"/>
                <w:b/>
                <w:bCs/>
                <w:rtl w:val="0"/>
              </w:rPr>
              <w:t>Saída</w:t>
            </w:r>
          </w:p>
        </w:tc>
        <w:tc>
          <w:tcPr>
            <w:tcBorders>
              <w:bottom w:val="single" w:color="000000" w:sz="4" w:space="0"/>
            </w:tcBorders>
            <w:vAlign w:val="center"/>
          </w:tcPr>
          <w:p w14:paraId="00000041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40" w:line="240" w:lineRule="auto"/>
              <w:ind w:left="34" w:right="0" w:firstLine="0"/>
              <w:jc w:val="left"/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• Confirmação da criação do mercado.</w:t>
            </w:r>
            <w:r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• Exibição do mercado na listagem da plataforma.</w:t>
            </w:r>
          </w:p>
          <w:p w14:paraId="00000042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40" w:line="240" w:lineRule="auto"/>
              <w:ind w:left="34" w:right="0" w:firstLine="0"/>
              <w:jc w:val="left"/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hint="default" w:ascii="Arial" w:hAnsi="Arial" w:cs="Arial"/>
                <w:rtl w:val="0"/>
              </w:rPr>
              <w:t>• Notificação ao usuário criador sobre aprovação ou rejeição.</w:t>
            </w:r>
            <w:r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 xml:space="preserve"> </w:t>
            </w:r>
          </w:p>
        </w:tc>
      </w:tr>
      <w:tr w14:paraId="28FE5CCA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55" w:hRule="atLeast"/>
          <w:jc w:val="center"/>
        </w:trPr>
        <w:tc>
          <w:tcPr>
            <w:gridSpan w:val="3"/>
            <w:tcBorders>
              <w:top w:val="single" w:color="000000" w:sz="4" w:space="0"/>
              <w:bottom w:val="single" w:color="000000" w:sz="4" w:space="0"/>
            </w:tcBorders>
            <w:shd w:val="clear" w:color="auto" w:fill="000000"/>
            <w:vAlign w:val="center"/>
          </w:tcPr>
          <w:p w14:paraId="00000043">
            <w:pPr>
              <w:spacing w:before="40" w:after="0" w:line="240" w:lineRule="auto"/>
              <w:rPr>
                <w:rFonts w:hint="default" w:ascii="Arial" w:hAnsi="Arial" w:cs="Arial"/>
                <w:b/>
                <w:bCs/>
                <w:color w:val="FFFFFF"/>
              </w:rPr>
            </w:pPr>
            <w:r>
              <w:rPr>
                <w:rFonts w:hint="default" w:ascii="Arial" w:hAnsi="Arial" w:cs="Arial"/>
                <w:b/>
                <w:bCs/>
                <w:color w:val="FFFFFF"/>
                <w:rtl w:val="0"/>
              </w:rPr>
              <w:t>Requisitos Não-Funcionais Associados</w:t>
            </w:r>
          </w:p>
        </w:tc>
      </w:tr>
      <w:tr w14:paraId="141C2733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55" w:hRule="atLeast"/>
          <w:jc w:val="center"/>
        </w:trPr>
        <w:tc>
          <w:tcPr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00000046">
            <w:pPr>
              <w:spacing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RNF 2.1</w:t>
            </w:r>
          </w:p>
        </w:tc>
        <w:tc>
          <w:tcPr>
            <w:gridSpan w:val="2"/>
            <w:tcBorders>
              <w:top w:val="single" w:color="000000" w:sz="4" w:space="0"/>
              <w:bottom w:val="single" w:color="000000" w:sz="4" w:space="0"/>
            </w:tcBorders>
          </w:tcPr>
          <w:p w14:paraId="00000047">
            <w:pPr>
              <w:spacing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O usuário deve estar logado com uma conta de administrador</w:t>
            </w:r>
          </w:p>
        </w:tc>
      </w:tr>
      <w:tr w14:paraId="2AB13EAF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55" w:hRule="atLeast"/>
          <w:jc w:val="center"/>
        </w:trPr>
        <w:tc>
          <w:tcPr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00000049">
            <w:pPr>
              <w:spacing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RNF 2.2</w:t>
            </w:r>
          </w:p>
        </w:tc>
        <w:tc>
          <w:tcPr>
            <w:gridSpan w:val="2"/>
            <w:tcBorders>
              <w:top w:val="single" w:color="000000" w:sz="4" w:space="0"/>
              <w:bottom w:val="single" w:color="000000" w:sz="4" w:space="0"/>
            </w:tcBorders>
          </w:tcPr>
          <w:p w14:paraId="0000004A">
            <w:pPr>
              <w:spacing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Validação rápida e consistente dos dados informados. </w:t>
            </w:r>
          </w:p>
        </w:tc>
      </w:tr>
      <w:tr w14:paraId="6231B39B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55" w:hRule="atLeast"/>
          <w:jc w:val="center"/>
        </w:trPr>
        <w:tc>
          <w:tcPr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0000004C">
            <w:pPr>
              <w:spacing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RNF 2.3</w:t>
            </w:r>
          </w:p>
        </w:tc>
        <w:tc>
          <w:tcPr>
            <w:gridSpan w:val="2"/>
            <w:tcBorders>
              <w:top w:val="single" w:color="000000" w:sz="4" w:space="0"/>
              <w:bottom w:val="single" w:color="000000" w:sz="4" w:space="0"/>
            </w:tcBorders>
          </w:tcPr>
          <w:p w14:paraId="0000004D">
            <w:pPr>
              <w:spacing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Disponibilidade do mercado sem atrasos perceptíveis após criação. </w:t>
            </w:r>
          </w:p>
        </w:tc>
      </w:tr>
      <w:tr w14:paraId="162213C5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55" w:hRule="atLeast"/>
          <w:jc w:val="center"/>
        </w:trPr>
        <w:tc>
          <w:tcPr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0000004F">
            <w:pPr>
              <w:spacing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RNF 2.4</w:t>
            </w:r>
          </w:p>
        </w:tc>
        <w:tc>
          <w:tcPr>
            <w:gridSpan w:val="2"/>
            <w:tcBorders>
              <w:top w:val="single" w:color="000000" w:sz="4" w:space="0"/>
              <w:bottom w:val="single" w:color="000000" w:sz="4" w:space="0"/>
            </w:tcBorders>
          </w:tcPr>
          <w:p w14:paraId="00000050">
            <w:pPr>
              <w:spacing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Registro e auditoria das criações de mercado. </w:t>
            </w:r>
          </w:p>
        </w:tc>
      </w:tr>
      <w:tr w14:paraId="3375B851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55" w:hRule="atLeast"/>
          <w:jc w:val="center"/>
        </w:trPr>
        <w:tc>
          <w:tcPr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00000052">
            <w:pPr>
              <w:spacing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RNF 2.5</w:t>
            </w:r>
          </w:p>
        </w:tc>
        <w:tc>
          <w:tcPr>
            <w:gridSpan w:val="2"/>
            <w:tcBorders>
              <w:top w:val="single" w:color="000000" w:sz="4" w:space="0"/>
              <w:bottom w:val="single" w:color="000000" w:sz="4" w:space="0"/>
            </w:tcBorders>
          </w:tcPr>
          <w:p w14:paraId="00000053">
            <w:pPr>
              <w:spacing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Garantia de integridade dos dados do mercado. </w:t>
            </w:r>
          </w:p>
        </w:tc>
      </w:tr>
      <w:tr w14:paraId="04BFD131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2" w:hRule="atLeast"/>
          <w:jc w:val="center"/>
        </w:trPr>
        <w:tc>
          <w:tcPr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00000055">
            <w:pPr>
              <w:spacing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RNF 2.6</w:t>
            </w:r>
          </w:p>
        </w:tc>
        <w:tc>
          <w:tcPr>
            <w:gridSpan w:val="2"/>
            <w:tcBorders>
              <w:top w:val="single" w:color="000000" w:sz="4" w:space="0"/>
              <w:bottom w:val="single" w:color="000000" w:sz="4" w:space="0"/>
            </w:tcBorders>
          </w:tcPr>
          <w:p w14:paraId="00000056">
            <w:pPr>
              <w:spacing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Interface simples e intuitiva para criação de mercados. </w:t>
            </w:r>
          </w:p>
        </w:tc>
      </w:tr>
      <w:tr w14:paraId="23AFA5B2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2" w:hRule="atLeast"/>
          <w:jc w:val="center"/>
        </w:trPr>
        <w:tc>
          <w:tcPr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00000058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RNF 2.7</w:t>
            </w:r>
          </w:p>
        </w:tc>
        <w:tc>
          <w:tcPr>
            <w:gridSpan w:val="2"/>
            <w:tcBorders>
              <w:top w:val="single" w:color="000000" w:sz="4" w:space="0"/>
              <w:bottom w:val="single" w:color="000000" w:sz="4" w:space="0"/>
            </w:tcBorders>
          </w:tcPr>
          <w:p w14:paraId="00000059">
            <w:pPr>
              <w:spacing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Controle de acesso baseado em perfis de usuário.</w:t>
            </w:r>
          </w:p>
        </w:tc>
      </w:tr>
      <w:tr w14:paraId="5929D05E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2" w:hRule="atLeast"/>
          <w:jc w:val="center"/>
        </w:trPr>
        <w:tc>
          <w:tcPr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0000005B">
            <w:pPr>
              <w:spacing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RNF 2.8</w:t>
            </w:r>
          </w:p>
        </w:tc>
        <w:tc>
          <w:tcPr>
            <w:gridSpan w:val="2"/>
            <w:tcBorders>
              <w:top w:val="single" w:color="000000" w:sz="4" w:space="0"/>
              <w:bottom w:val="single" w:color="000000" w:sz="4" w:space="0"/>
            </w:tcBorders>
          </w:tcPr>
          <w:p w14:paraId="0000005C">
            <w:pPr>
              <w:spacing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Escalabilidade para suportar múltiplos mercados simultâneos.</w:t>
            </w:r>
          </w:p>
        </w:tc>
      </w:tr>
    </w:tbl>
    <w:p w14:paraId="0000005E">
      <w:pPr>
        <w:jc w:val="center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  <w:rtl w:val="0"/>
        </w:rPr>
        <w:t>Fonte: O Autor (2025)</w:t>
      </w:r>
    </w:p>
    <w:p w14:paraId="0000005F">
      <w:pPr>
        <w:spacing w:line="360" w:lineRule="auto"/>
        <w:jc w:val="both"/>
        <w:rPr>
          <w:rFonts w:hint="default" w:ascii="Arial" w:hAnsi="Arial" w:cs="Arial"/>
          <w:sz w:val="20"/>
          <w:szCs w:val="20"/>
        </w:rPr>
      </w:pPr>
    </w:p>
    <w:p w14:paraId="48A0080E">
      <w:pPr>
        <w:rPr>
          <w:rFonts w:hint="default" w:ascii="Arial" w:hAnsi="Arial" w:eastAsia="Liberation Serif" w:cs="Arial"/>
          <w:b w:val="0"/>
          <w:bCs w:val="0"/>
          <w:i/>
          <w:iCs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bookmarkStart w:id="3" w:name="_ycv6p1bqx62l" w:colFirst="0" w:colLast="0"/>
      <w:bookmarkEnd w:id="3"/>
      <w:r>
        <w:rPr>
          <w:rFonts w:hint="default" w:ascii="Arial" w:hAnsi="Arial" w:eastAsia="Liberation Serif" w:cs="Arial"/>
          <w:b w:val="0"/>
          <w:bCs w:val="0"/>
          <w:i/>
          <w:iCs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page"/>
      </w:r>
    </w:p>
    <w:p w14:paraId="0000006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40" w:lineRule="auto"/>
        <w:ind w:left="0" w:right="0" w:firstLine="0"/>
        <w:jc w:val="center"/>
        <w:rPr>
          <w:rFonts w:hint="default" w:ascii="Arial" w:hAnsi="Arial" w:eastAsia="Liberation Serif" w:cs="Arial"/>
          <w:b w:val="0"/>
          <w:bCs w:val="0"/>
          <w:i/>
          <w:iCs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hint="default" w:ascii="Arial" w:hAnsi="Arial" w:eastAsia="Liberation Serif" w:cs="Arial"/>
          <w:b w:val="0"/>
          <w:bCs w:val="0"/>
          <w:i/>
          <w:iCs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Tabela 3 – R</w:t>
      </w:r>
      <w:bookmarkStart w:id="4" w:name="_GoBack"/>
      <w:bookmarkEnd w:id="4"/>
      <w:r>
        <w:rPr>
          <w:rFonts w:hint="default" w:ascii="Arial" w:hAnsi="Arial" w:eastAsia="Liberation Serif" w:cs="Arial"/>
          <w:b w:val="0"/>
          <w:bCs w:val="0"/>
          <w:i/>
          <w:iCs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F3: Depósito e Saque via Pix</w:t>
      </w:r>
    </w:p>
    <w:tbl>
      <w:tblPr>
        <w:tblStyle w:val="15"/>
        <w:tblW w:w="9101" w:type="dxa"/>
        <w:jc w:val="center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549"/>
        <w:gridCol w:w="1171"/>
        <w:gridCol w:w="6381"/>
      </w:tblGrid>
      <w:tr w14:paraId="5438E173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55" w:hRule="atLeast"/>
          <w:jc w:val="center"/>
        </w:trPr>
        <w:tc>
          <w:tcPr>
            <w:gridSpan w:val="3"/>
            <w:tcBorders>
              <w:top w:val="single" w:color="000000" w:sz="4" w:space="0"/>
              <w:bottom w:val="single" w:color="000000" w:sz="4" w:space="0"/>
            </w:tcBorders>
            <w:shd w:val="clear" w:color="auto" w:fill="000000"/>
            <w:vAlign w:val="center"/>
          </w:tcPr>
          <w:p w14:paraId="00000061">
            <w:pPr>
              <w:spacing w:before="40" w:after="0" w:line="240" w:lineRule="auto"/>
              <w:rPr>
                <w:rFonts w:hint="default" w:ascii="Arial" w:hAnsi="Arial" w:cs="Arial"/>
                <w:b/>
                <w:bCs/>
                <w:color w:val="FFFFFF"/>
              </w:rPr>
            </w:pPr>
            <w:r>
              <w:rPr>
                <w:rFonts w:hint="default" w:ascii="Arial" w:hAnsi="Arial" w:cs="Arial"/>
                <w:b/>
                <w:bCs/>
                <w:color w:val="FFFFFF"/>
                <w:rtl w:val="0"/>
              </w:rPr>
              <w:t xml:space="preserve">RF3 – </w:t>
            </w:r>
            <w:r>
              <w:rPr>
                <w:rFonts w:hint="default" w:ascii="Arial" w:hAnsi="Arial" w:cs="Arial"/>
                <w:color w:val="FFFFFF"/>
                <w:rtl w:val="0"/>
              </w:rPr>
              <w:t xml:space="preserve">Depósito e Saque via Pix </w:t>
            </w:r>
          </w:p>
        </w:tc>
      </w:tr>
      <w:tr w14:paraId="6B6A343E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05" w:hRule="atLeast"/>
          <w:jc w:val="center"/>
        </w:trPr>
        <w:tc>
          <w:tcPr>
            <w:gridSpan w:val="2"/>
            <w:tcBorders>
              <w:bottom w:val="single" w:color="000000" w:sz="4" w:space="0"/>
            </w:tcBorders>
            <w:vAlign w:val="center"/>
          </w:tcPr>
          <w:p w14:paraId="00000064">
            <w:pPr>
              <w:spacing w:line="240" w:lineRule="auto"/>
              <w:ind w:left="34" w:firstLine="0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cs="Arial"/>
                <w:b/>
                <w:bCs/>
                <w:rtl w:val="0"/>
              </w:rPr>
              <w:t>Descrição:</w:t>
            </w:r>
          </w:p>
        </w:tc>
        <w:tc>
          <w:tcPr>
            <w:tcBorders>
              <w:bottom w:val="single" w:color="000000" w:sz="4" w:space="0"/>
            </w:tcBorders>
            <w:vAlign w:val="center"/>
          </w:tcPr>
          <w:p w14:paraId="00000066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40" w:line="240" w:lineRule="auto"/>
              <w:ind w:left="34" w:right="0" w:firstLine="0"/>
              <w:jc w:val="left"/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hint="default" w:ascii="Arial" w:hAnsi="Arial" w:cs="Arial"/>
                <w:rtl w:val="0"/>
              </w:rPr>
              <w:t>Permitir que o usuário realize depósitos e saques na plataforma por meio do Pix. Para depósitos, o usuário poderá utilizar QR Code ou código “copia e cola”, com confirmação automática do pagamento. Para saques, o usuário poderá transferir valores disponíveis em sua carteira para uma chave Pix de um banco de sua titularidade.</w:t>
            </w:r>
          </w:p>
        </w:tc>
      </w:tr>
      <w:tr w14:paraId="65631F2E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05" w:hRule="atLeast"/>
          <w:jc w:val="center"/>
        </w:trPr>
        <w:tc>
          <w:tcPr>
            <w:gridSpan w:val="2"/>
            <w:tcBorders>
              <w:bottom w:val="single" w:color="000000" w:sz="4" w:space="0"/>
            </w:tcBorders>
            <w:vAlign w:val="center"/>
          </w:tcPr>
          <w:p w14:paraId="00000067">
            <w:pPr>
              <w:spacing w:line="240" w:lineRule="auto"/>
              <w:ind w:left="34" w:firstLine="0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cs="Arial"/>
                <w:b/>
                <w:bCs/>
                <w:rtl w:val="0"/>
              </w:rPr>
              <w:t>Entradas</w:t>
            </w:r>
          </w:p>
        </w:tc>
        <w:tc>
          <w:tcPr>
            <w:tcBorders>
              <w:bottom w:val="single" w:color="000000" w:sz="4" w:space="0"/>
            </w:tcBorders>
            <w:vAlign w:val="center"/>
          </w:tcPr>
          <w:p w14:paraId="00000069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40" w:line="240" w:lineRule="auto"/>
              <w:ind w:left="34" w:right="0" w:firstLine="0"/>
              <w:jc w:val="left"/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• Valor do depósito ou saque informado pelo usuário.</w:t>
            </w:r>
            <w:r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• Dados do usuário (ID, e-mail).</w:t>
            </w:r>
            <w:r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• Dados do pagamento (QR Code ou código Pix gerado).</w:t>
            </w:r>
          </w:p>
        </w:tc>
      </w:tr>
      <w:tr w14:paraId="29186236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05" w:hRule="atLeast"/>
          <w:jc w:val="center"/>
        </w:trPr>
        <w:tc>
          <w:tcPr>
            <w:gridSpan w:val="2"/>
            <w:tcBorders>
              <w:bottom w:val="single" w:color="000000" w:sz="4" w:space="0"/>
            </w:tcBorders>
            <w:vAlign w:val="center"/>
          </w:tcPr>
          <w:p w14:paraId="0000006A">
            <w:pPr>
              <w:spacing w:line="240" w:lineRule="auto"/>
              <w:ind w:left="34" w:firstLine="0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cs="Arial"/>
                <w:b/>
                <w:bCs/>
                <w:rtl w:val="0"/>
              </w:rPr>
              <w:t>Processamento</w:t>
            </w:r>
          </w:p>
        </w:tc>
        <w:tc>
          <w:tcPr>
            <w:tcBorders>
              <w:bottom w:val="single" w:color="000000" w:sz="4" w:space="0"/>
            </w:tcBorders>
            <w:vAlign w:val="center"/>
          </w:tcPr>
          <w:p w14:paraId="0000006C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40" w:line="240" w:lineRule="auto"/>
              <w:ind w:left="34" w:right="0" w:firstLine="0"/>
              <w:jc w:val="left"/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O sistema deverá:</w:t>
            </w:r>
          </w:p>
          <w:p w14:paraId="0000006D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40" w:line="240" w:lineRule="auto"/>
              <w:ind w:left="34" w:right="0" w:firstLine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Para Depósito:</w:t>
            </w:r>
          </w:p>
          <w:p w14:paraId="0000006E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40" w:line="240" w:lineRule="auto"/>
              <w:ind w:left="0" w:right="0" w:firstLine="0"/>
              <w:jc w:val="left"/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• Gerar QR Code e código Pix para pagamento.</w:t>
            </w:r>
            <w:r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• Integrar com provedor de pagamento para processamento da transação.</w:t>
            </w:r>
            <w:r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• Receber confirmação do pagamento via webhook.</w:t>
            </w:r>
            <w:r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• Validar a transação recebida.</w:t>
            </w:r>
            <w:r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• Creditar o valor na carteira do usuário.</w:t>
            </w:r>
            <w:r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• Registrar a transação no histórico financeiro.</w:t>
            </w:r>
          </w:p>
          <w:p w14:paraId="0000006F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40" w:line="240" w:lineRule="auto"/>
              <w:ind w:left="0" w:right="0" w:firstLine="0"/>
              <w:jc w:val="left"/>
              <w:rPr>
                <w:rFonts w:hint="default" w:ascii="Arial" w:hAnsi="Arial" w:cs="Arial"/>
              </w:rPr>
            </w:pPr>
          </w:p>
          <w:p w14:paraId="00000070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40" w:line="240" w:lineRule="auto"/>
              <w:ind w:left="0" w:right="0" w:firstLine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Para Saque:</w:t>
            </w:r>
          </w:p>
          <w:p w14:paraId="00000071">
            <w:pPr>
              <w:spacing w:after="140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• Validar se o usuário possui saldo disponível suficiente.</w:t>
            </w:r>
            <w:r>
              <w:rPr>
                <w:rFonts w:hint="default" w:ascii="Arial" w:hAnsi="Arial" w:cs="Arial"/>
                <w:rtl w:val="0"/>
              </w:rPr>
              <w:br w:type="textWrapping"/>
            </w:r>
            <w:r>
              <w:rPr>
                <w:rFonts w:hint="default" w:ascii="Arial" w:hAnsi="Arial" w:cs="Arial"/>
                <w:rtl w:val="0"/>
              </w:rPr>
              <w:t>• Validar a chave Pix informada (ou previamente cadastrada).</w:t>
            </w:r>
            <w:r>
              <w:rPr>
                <w:rFonts w:hint="default" w:ascii="Arial" w:hAnsi="Arial" w:cs="Arial"/>
                <w:rtl w:val="0"/>
              </w:rPr>
              <w:br w:type="textWrapping"/>
            </w:r>
            <w:r>
              <w:rPr>
                <w:rFonts w:hint="default" w:ascii="Arial" w:hAnsi="Arial" w:cs="Arial"/>
                <w:rtl w:val="0"/>
              </w:rPr>
              <w:t>• Enviar solicitação de transferência ao provedor de pagamento.</w:t>
            </w:r>
            <w:r>
              <w:rPr>
                <w:rFonts w:hint="default" w:ascii="Arial" w:hAnsi="Arial" w:cs="Arial"/>
                <w:rtl w:val="0"/>
              </w:rPr>
              <w:br w:type="textWrapping"/>
            </w:r>
            <w:r>
              <w:rPr>
                <w:rFonts w:hint="default" w:ascii="Arial" w:hAnsi="Arial" w:cs="Arial"/>
                <w:rtl w:val="0"/>
              </w:rPr>
              <w:t>• Processar o saque via integração com serviço externo.</w:t>
            </w:r>
            <w:r>
              <w:rPr>
                <w:rFonts w:hint="default" w:ascii="Arial" w:hAnsi="Arial" w:cs="Arial"/>
                <w:rtl w:val="0"/>
              </w:rPr>
              <w:br w:type="textWrapping"/>
            </w:r>
            <w:r>
              <w:rPr>
                <w:rFonts w:hint="default" w:ascii="Arial" w:hAnsi="Arial" w:cs="Arial"/>
                <w:rtl w:val="0"/>
              </w:rPr>
              <w:t>• Debitar o valor da carteira do usuário.</w:t>
            </w:r>
            <w:r>
              <w:rPr>
                <w:rFonts w:hint="default" w:ascii="Arial" w:hAnsi="Arial" w:cs="Arial"/>
                <w:rtl w:val="0"/>
              </w:rPr>
              <w:br w:type="textWrapping"/>
            </w:r>
            <w:r>
              <w:rPr>
                <w:rFonts w:hint="default" w:ascii="Arial" w:hAnsi="Arial" w:cs="Arial"/>
                <w:rtl w:val="0"/>
              </w:rPr>
              <w:t>• Atualizar o status da transação (pendente, concluído ou falha).</w:t>
            </w:r>
          </w:p>
          <w:p w14:paraId="00000072">
            <w:pPr>
              <w:spacing w:after="140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• Registrar a operação no histórico financeiro.</w:t>
            </w:r>
            <w:r>
              <w:rPr>
                <w:rFonts w:hint="default" w:ascii="Arial" w:hAnsi="Arial" w:cs="Arial"/>
                <w:rtl w:val="0"/>
              </w:rPr>
              <w:br w:type="textWrapping"/>
            </w:r>
            <w:r>
              <w:rPr>
                <w:rFonts w:hint="default" w:ascii="Arial" w:hAnsi="Arial" w:cs="Arial"/>
                <w:rtl w:val="0"/>
              </w:rPr>
              <w:t>• Aplicar eventuais regras de segurança (ex: limites, autenticação adicional).</w:t>
            </w:r>
          </w:p>
        </w:tc>
      </w:tr>
      <w:tr w14:paraId="63379168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05" w:hRule="atLeast"/>
          <w:jc w:val="center"/>
        </w:trPr>
        <w:tc>
          <w:tcPr>
            <w:gridSpan w:val="2"/>
            <w:tcBorders>
              <w:bottom w:val="single" w:color="000000" w:sz="4" w:space="0"/>
            </w:tcBorders>
            <w:vAlign w:val="center"/>
          </w:tcPr>
          <w:p w14:paraId="00000073">
            <w:pPr>
              <w:spacing w:line="240" w:lineRule="auto"/>
              <w:ind w:left="34" w:firstLine="0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cs="Arial"/>
                <w:b/>
                <w:bCs/>
                <w:rtl w:val="0"/>
              </w:rPr>
              <w:t>Saída</w:t>
            </w:r>
          </w:p>
        </w:tc>
        <w:tc>
          <w:tcPr>
            <w:tcBorders>
              <w:bottom w:val="single" w:color="000000" w:sz="4" w:space="0"/>
            </w:tcBorders>
            <w:vAlign w:val="center"/>
          </w:tcPr>
          <w:p w14:paraId="00000075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40" w:line="240" w:lineRule="auto"/>
              <w:ind w:left="34" w:right="0" w:firstLine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 xml:space="preserve">• Exibição do QR Code/código Pix para </w:t>
            </w:r>
            <w:r>
              <w:rPr>
                <w:rFonts w:hint="default" w:ascii="Arial" w:hAnsi="Arial" w:cs="Arial"/>
                <w:rtl w:val="0"/>
              </w:rPr>
              <w:t>depósito</w:t>
            </w:r>
            <w:r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.</w:t>
            </w:r>
            <w:r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• Confirmação do depósito realizado.</w:t>
            </w:r>
            <w:r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 xml:space="preserve">• </w:t>
            </w:r>
            <w:r>
              <w:rPr>
                <w:rFonts w:hint="default" w:ascii="Arial" w:hAnsi="Arial" w:cs="Arial"/>
                <w:rtl w:val="0"/>
              </w:rPr>
              <w:t>Confirmação da solicitação de saque.</w:t>
            </w:r>
            <w:r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default" w:ascii="Arial" w:hAnsi="Arial" w:eastAsia="Liberation Serif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 xml:space="preserve">• </w:t>
            </w:r>
            <w:r>
              <w:rPr>
                <w:rFonts w:hint="default" w:ascii="Arial" w:hAnsi="Arial" w:cs="Arial"/>
                <w:rtl w:val="0"/>
              </w:rPr>
              <w:t>Atualização do saldo do usuário.</w:t>
            </w:r>
          </w:p>
          <w:p w14:paraId="00000076">
            <w:pPr>
              <w:spacing w:after="140"/>
              <w:ind w:left="34" w:firstLine="0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• Exibição do status do saque.</w:t>
            </w:r>
            <w:r>
              <w:rPr>
                <w:rFonts w:hint="default" w:ascii="Arial" w:hAnsi="Arial" w:cs="Arial"/>
                <w:rtl w:val="0"/>
              </w:rPr>
              <w:br w:type="textWrapping"/>
            </w:r>
            <w:r>
              <w:rPr>
                <w:rFonts w:hint="default" w:ascii="Arial" w:hAnsi="Arial" w:cs="Arial"/>
                <w:rtl w:val="0"/>
              </w:rPr>
              <w:t>• Registro no histórico de transações.</w:t>
            </w:r>
          </w:p>
          <w:p w14:paraId="00000077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40" w:line="240" w:lineRule="auto"/>
              <w:ind w:left="34" w:right="0" w:firstLine="0"/>
              <w:jc w:val="left"/>
              <w:rPr>
                <w:rFonts w:hint="default" w:ascii="Arial" w:hAnsi="Arial" w:cs="Arial"/>
              </w:rPr>
            </w:pPr>
          </w:p>
        </w:tc>
      </w:tr>
      <w:tr w14:paraId="0CA32950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55" w:hRule="atLeast"/>
          <w:jc w:val="center"/>
        </w:trPr>
        <w:tc>
          <w:tcPr>
            <w:gridSpan w:val="3"/>
            <w:tcBorders>
              <w:top w:val="single" w:color="000000" w:sz="4" w:space="0"/>
              <w:bottom w:val="single" w:color="000000" w:sz="4" w:space="0"/>
            </w:tcBorders>
            <w:shd w:val="clear" w:color="auto" w:fill="000000"/>
            <w:vAlign w:val="center"/>
          </w:tcPr>
          <w:p w14:paraId="00000078">
            <w:pPr>
              <w:spacing w:before="40" w:after="0" w:line="240" w:lineRule="auto"/>
              <w:rPr>
                <w:rFonts w:hint="default" w:ascii="Arial" w:hAnsi="Arial" w:cs="Arial"/>
                <w:b/>
                <w:bCs/>
                <w:color w:val="FFFFFF"/>
              </w:rPr>
            </w:pPr>
            <w:r>
              <w:rPr>
                <w:rFonts w:hint="default" w:ascii="Arial" w:hAnsi="Arial" w:cs="Arial"/>
                <w:b/>
                <w:bCs/>
                <w:color w:val="FFFFFF"/>
                <w:rtl w:val="0"/>
              </w:rPr>
              <w:t>Requisitos Não-Funcionais Associados</w:t>
            </w:r>
          </w:p>
        </w:tc>
      </w:tr>
      <w:tr w14:paraId="0259B32A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55" w:hRule="atLeast"/>
          <w:jc w:val="center"/>
        </w:trPr>
        <w:tc>
          <w:tcPr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0000007B">
            <w:pPr>
              <w:spacing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RNF 3.1</w:t>
            </w:r>
          </w:p>
        </w:tc>
        <w:tc>
          <w:tcPr>
            <w:gridSpan w:val="2"/>
            <w:tcBorders>
              <w:top w:val="single" w:color="000000" w:sz="4" w:space="0"/>
              <w:bottom w:val="single" w:color="000000" w:sz="4" w:space="0"/>
            </w:tcBorders>
          </w:tcPr>
          <w:p w14:paraId="0000007C">
            <w:pPr>
              <w:spacing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O usuário deve estar logado.</w:t>
            </w:r>
          </w:p>
        </w:tc>
      </w:tr>
      <w:tr w14:paraId="14FECCF8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55" w:hRule="atLeast"/>
          <w:jc w:val="center"/>
        </w:trPr>
        <w:tc>
          <w:tcPr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0000007E">
            <w:pPr>
              <w:spacing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RNF 3.2</w:t>
            </w:r>
          </w:p>
        </w:tc>
        <w:tc>
          <w:tcPr>
            <w:gridSpan w:val="2"/>
            <w:tcBorders>
              <w:top w:val="single" w:color="000000" w:sz="4" w:space="0"/>
              <w:bottom w:val="single" w:color="000000" w:sz="4" w:space="0"/>
            </w:tcBorders>
          </w:tcPr>
          <w:p w14:paraId="0000007F">
            <w:pPr>
              <w:spacing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Confirmação de depósitos e saques em tempo próximo ao real.</w:t>
            </w:r>
          </w:p>
        </w:tc>
      </w:tr>
      <w:tr w14:paraId="6831C755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55" w:hRule="atLeast"/>
          <w:jc w:val="center"/>
        </w:trPr>
        <w:tc>
          <w:tcPr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00000081">
            <w:pPr>
              <w:spacing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RNF 3.3</w:t>
            </w:r>
          </w:p>
        </w:tc>
        <w:tc>
          <w:tcPr>
            <w:gridSpan w:val="2"/>
            <w:tcBorders>
              <w:top w:val="single" w:color="000000" w:sz="4" w:space="0"/>
              <w:bottom w:val="single" w:color="000000" w:sz="4" w:space="0"/>
            </w:tcBorders>
          </w:tcPr>
          <w:p w14:paraId="00000082">
            <w:pPr>
              <w:spacing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Alta disponibilidade na geração de cobranças Pix. </w:t>
            </w:r>
          </w:p>
        </w:tc>
      </w:tr>
      <w:tr w14:paraId="7CCFA988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55" w:hRule="atLeast"/>
          <w:jc w:val="center"/>
        </w:trPr>
        <w:tc>
          <w:tcPr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00000084">
            <w:pPr>
              <w:spacing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RNF 3.4</w:t>
            </w:r>
          </w:p>
        </w:tc>
        <w:tc>
          <w:tcPr>
            <w:gridSpan w:val="2"/>
            <w:tcBorders>
              <w:top w:val="single" w:color="000000" w:sz="4" w:space="0"/>
              <w:bottom w:val="single" w:color="000000" w:sz="4" w:space="0"/>
            </w:tcBorders>
          </w:tcPr>
          <w:p w14:paraId="00000085">
            <w:pPr>
              <w:spacing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Segurança e criptografia dos dados financeiros. </w:t>
            </w:r>
          </w:p>
        </w:tc>
      </w:tr>
      <w:tr w14:paraId="64123262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55" w:hRule="atLeast"/>
          <w:jc w:val="center"/>
        </w:trPr>
        <w:tc>
          <w:tcPr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00000087">
            <w:pPr>
              <w:spacing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RNF 3.5</w:t>
            </w:r>
          </w:p>
        </w:tc>
        <w:tc>
          <w:tcPr>
            <w:gridSpan w:val="2"/>
            <w:tcBorders>
              <w:top w:val="single" w:color="000000" w:sz="4" w:space="0"/>
              <w:bottom w:val="single" w:color="000000" w:sz="4" w:space="0"/>
            </w:tcBorders>
          </w:tcPr>
          <w:p w14:paraId="00000088">
            <w:pPr>
              <w:spacing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Registro e auditoria de todas as transações. </w:t>
            </w:r>
          </w:p>
        </w:tc>
      </w:tr>
      <w:tr w14:paraId="53C65E17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2" w:hRule="atLeast"/>
          <w:jc w:val="center"/>
        </w:trPr>
        <w:tc>
          <w:tcPr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0000008A">
            <w:pPr>
              <w:spacing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RNF 3.6</w:t>
            </w:r>
          </w:p>
        </w:tc>
        <w:tc>
          <w:tcPr>
            <w:gridSpan w:val="2"/>
            <w:tcBorders>
              <w:top w:val="single" w:color="000000" w:sz="4" w:space="0"/>
              <w:bottom w:val="single" w:color="000000" w:sz="4" w:space="0"/>
            </w:tcBorders>
          </w:tcPr>
          <w:p w14:paraId="0000008B">
            <w:pPr>
              <w:spacing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Integração confiável com serviços de pagamento externos. </w:t>
            </w:r>
          </w:p>
        </w:tc>
      </w:tr>
      <w:tr w14:paraId="3054CDE2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2" w:hRule="atLeast"/>
          <w:jc w:val="center"/>
        </w:trPr>
        <w:tc>
          <w:tcPr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0000008D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RNF 3.7</w:t>
            </w:r>
          </w:p>
        </w:tc>
        <w:tc>
          <w:tcPr>
            <w:gridSpan w:val="2"/>
            <w:tcBorders>
              <w:top w:val="single" w:color="000000" w:sz="4" w:space="0"/>
              <w:bottom w:val="single" w:color="000000" w:sz="4" w:space="0"/>
            </w:tcBorders>
          </w:tcPr>
          <w:p w14:paraId="0000008E">
            <w:pPr>
              <w:spacing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Mecanismos antifraude e validação de identidade para saques.</w:t>
            </w:r>
          </w:p>
        </w:tc>
      </w:tr>
    </w:tbl>
    <w:p w14:paraId="00000090">
      <w:pPr>
        <w:jc w:val="center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  <w:rtl w:val="0"/>
        </w:rPr>
        <w:t>Fonte: O Autor (2025)</w:t>
      </w:r>
    </w:p>
    <w:p w14:paraId="00000091">
      <w:pPr>
        <w:spacing w:line="360" w:lineRule="auto"/>
        <w:jc w:val="both"/>
        <w:rPr>
          <w:rFonts w:hint="default" w:ascii="Arial" w:hAnsi="Arial" w:cs="Arial"/>
          <w:sz w:val="20"/>
          <w:szCs w:val="20"/>
        </w:rPr>
      </w:pPr>
    </w:p>
    <w:sectPr>
      <w:pgSz w:w="11906" w:h="16838"/>
      <w:pgMar w:top="1134" w:right="1134" w:bottom="1134" w:left="1134" w:header="0" w:footer="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87EAC123-55A7-4381-A5FC-A4828C0E180E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B9AB97EB-9D84-43B3-B7E0-B6A8530108F5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3" w:fontKey="{98A8FC63-FD75-4288-A550-7891EE90C81C}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2295BDF7-992E-4DFB-A48F-9EEEAB0ADB04}"/>
  </w:font>
  <w:font w:name="Liberation Serif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  <w:embedRegular r:id="rId5" w:fontKey="{BC089391-7F1B-4058-AC40-0840B99ED930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EA9918FE-4D33-4289-AC21-285FE8C70C9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TrueTypeFonts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24935A3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Liberation Serif" w:cs="Liberation Serif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uiPriority w:val="0"/>
    <w:rPr>
      <w:rFonts w:ascii="Liberation Serif" w:hAnsi="Liberation Serif" w:eastAsia="Liberation Serif" w:cs="Liberation Serif"/>
      <w:sz w:val="24"/>
      <w:szCs w:val="24"/>
      <w:lang w:val="zh-C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ind w:left="0" w:firstLine="0"/>
    </w:pPr>
    <w:rPr>
      <w:smallCaps/>
      <w:color w:val="000000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paragraph" w:styleId="11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4">
    <w:name w:val="_Style 11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5">
    <w:name w:val="_Style 12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3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2026-03-25T23:22:48Z</dcterms:created>
  <dc:creator>edust</dc:creator>
  <cp:lastModifiedBy>edust</cp:lastModifiedBy>
  <dcterms:modified xsi:type="dcterms:W3CDTF">2026-03-25T23:26:47Z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1046-12.2.0.23196</vt:lpwstr>
  </property>
  <property fmtid="{D5CDD505-2E9C-101B-9397-08002B2CF9AE}" pid="3" name="ICV">
    <vt:lpwstr>255050E863E84AB4A1DB00A5EE397175_12</vt:lpwstr>
  </property>
</Properties>
</file>