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numPr>
          <w:ilvl w:val="1"/>
          <w:numId w:val="1"/>
        </w:numPr>
        <w:spacing w:line="360" w:lineRule="auto"/>
        <w:ind w:left="0" w:firstLine="0"/>
        <w:rPr/>
      </w:pPr>
      <w:bookmarkStart w:colFirst="0" w:colLast="0" w:name="_rmfhyguf4fa5" w:id="0"/>
      <w:bookmarkEnd w:id="0"/>
      <w:r w:rsidDel="00000000" w:rsidR="00000000" w:rsidRPr="00000000">
        <w:rPr>
          <w:rtl w:val="0"/>
        </w:rPr>
        <w:t xml:space="preserve">Requisitos do Sistema de </w:t>
      </w:r>
      <w:r w:rsidDel="00000000" w:rsidR="00000000" w:rsidRPr="00000000">
        <w:rPr>
          <w:i w:val="1"/>
          <w:iCs w:val="1"/>
          <w:rtl w:val="0"/>
        </w:rPr>
        <w:t xml:space="preserve">Prediction Market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q46jnpnvxaxi" w:id="1"/>
      <w:bookmarkEnd w:id="1"/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1 – RF1: Negociação (Trading de Cotas) </w:t>
      </w:r>
    </w:p>
    <w:tbl>
      <w:tblPr>
        <w:tblStyle w:val="Table1"/>
        <w:tblW w:w="9101.0" w:type="dxa"/>
        <w:jc w:val="left"/>
        <w:tblInd w:w="-34.0" w:type="dxa"/>
        <w:tblLayout w:type="fixed"/>
        <w:tblLook w:val="0400"/>
      </w:tblPr>
      <w:tblGrid>
        <w:gridCol w:w="1549"/>
        <w:gridCol w:w="1171"/>
        <w:gridCol w:w="6381"/>
        <w:tblGridChange w:id="0">
          <w:tblGrid>
            <w:gridCol w:w="1549"/>
            <w:gridCol w:w="1171"/>
            <w:gridCol w:w="6381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03">
            <w:pPr>
              <w:spacing w:after="0" w:before="40"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RF1 – Negociação (Trading de Cotas)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Permitir que usuários comprem e vendam cotas de resultados em mercados de previsão (ex: “Sim” ou “Não”).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Os preços devem variar dinamicamente conforme oferta e demanda, refletindo a probabilidade do evento. O sistema deve possibilitar entrada e saída de posições antes do encerramento do mercado, com atualização automática de saldo e preços.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Ordens de compra e venda de cotas (quantidade, tipo de resultado, preço).</w:t>
              <w:br w:type="textWrapping"/>
              <w:t xml:space="preserve">• Dados do usuário (saldo disponível, saldo bloqueado).</w:t>
              <w:br w:type="textWrapping"/>
              <w:t xml:space="preserve">• Informações do mercado (preço atual das cotas, liquidez, prazo de encerramento).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Processamento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deverá: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Validar se o usuário possui saldo suficiente para realizar a compra.</w:t>
              <w:br w:type="textWrapping"/>
              <w:t xml:space="preserve">• Bloquear o saldo correspondente à operação.</w:t>
              <w:br w:type="textWrapping"/>
              <w:t xml:space="preserve">• Registrar ordens de compra e venda.</w:t>
              <w:br w:type="textWrapping"/>
              <w:t xml:space="preserve">• Atualizar o preço das cotas com base na oferta e demanda (modelo de precificação).</w:t>
              <w:br w:type="textWrapping"/>
              <w:t xml:space="preserve">• Executar ordens (</w:t>
            </w: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matching</w:t>
            </w: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 entre compradores e vendedores, quando aplicável.</w:t>
              <w:br w:type="textWrapping"/>
              <w:t xml:space="preserve">• Permitir venda antecipada das cotas antes do encerramento do mercado.</w:t>
              <w:br w:type="textWrapping"/>
              <w:t xml:space="preserve">• Atualizar o saldo do usuário após </w:t>
            </w:r>
            <w:r w:rsidDel="00000000" w:rsidR="00000000" w:rsidRPr="00000000">
              <w:rPr>
                <w:rtl w:val="0"/>
              </w:rPr>
              <w:t xml:space="preserve">a </w:t>
            </w: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execução da ordem.</w:t>
              <w:br w:type="textWrapping"/>
              <w:t xml:space="preserve">• Aplicar taxas sobre transações, se definido pela plataforma.</w:t>
              <w:br w:type="textWrapping"/>
              <w:t xml:space="preserve">• Atualizar a probabilidade implícita do evento com base no preço das cotas.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• Impedir negociações após o encerramento do mercado.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Saída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Confirmação da compra ou venda de cotas.</w:t>
              <w:br w:type="textWrapping"/>
              <w:t xml:space="preserve">• Atualização do saldo do usuário (disponível e bloqueado).</w:t>
              <w:br w:type="textWrapping"/>
              <w:t xml:space="preserve">• Atualização do preço das cotas e probabilidade do evento.</w:t>
              <w:br w:type="textWrapping"/>
              <w:t xml:space="preserve">• Registro da operação no histórico do usuário.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15">
            <w:pPr>
              <w:spacing w:after="0" w:before="40"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Requisitos Não-Funcionais Associados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1.1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usuário deve estar logado no aplicativo.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1.2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Processamento de ordens com baixa latência e atualização quase em tempo real.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1.3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Suporte a múltiplas operações simultâneas com desempenho estável.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1.4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e auditoria de todas as transações.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1.5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Garantia de consistência dos saldos e dados financeiros. </w:t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1.6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Interface clara e intuitiva para compreensão de preços e riscos. </w:t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1.7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Mecanismos de segurança contra manipulação de mercado e fraudes.</w:t>
            </w:r>
          </w:p>
        </w:tc>
      </w:tr>
    </w:tbl>
    <w:p w:rsidR="00000000" w:rsidDel="00000000" w:rsidP="00000000" w:rsidRDefault="00000000" w:rsidRPr="00000000" w14:paraId="0000002D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O Autor (2025)</w:t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firstLine="708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ltsngeoq5u77" w:id="2"/>
      <w:bookmarkEnd w:id="2"/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2 – RF2: Criação de um mercado</w:t>
      </w:r>
    </w:p>
    <w:tbl>
      <w:tblPr>
        <w:tblStyle w:val="Table2"/>
        <w:tblW w:w="9101.0" w:type="dxa"/>
        <w:jc w:val="left"/>
        <w:tblInd w:w="-34.0" w:type="dxa"/>
        <w:tblLayout w:type="fixed"/>
        <w:tblLook w:val="0400"/>
      </w:tblPr>
      <w:tblGrid>
        <w:gridCol w:w="1549"/>
        <w:gridCol w:w="1171"/>
        <w:gridCol w:w="6381"/>
        <w:tblGridChange w:id="0">
          <w:tblGrid>
            <w:gridCol w:w="1549"/>
            <w:gridCol w:w="1171"/>
            <w:gridCol w:w="6381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before="40"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RF2 – Criação de um mercado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Permitir que usuários autorizados criem novos mercados de previsão, definindo evento, opções de resultado, data de encerramento e critérios de validação.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Dados do mercado (título, descrição, categoria).</w:t>
              <w:br w:type="textWrapping"/>
              <w:t xml:space="preserve">• Opções de resultado (ex: “Sim” / “Não”).</w:t>
              <w:br w:type="textWrapping"/>
              <w:t xml:space="preserve">• Data e hora de encerramento.</w:t>
              <w:br w:type="textWrapping"/>
              <w:t xml:space="preserve">• Fonte de verificação do resultado.</w:t>
              <w:br w:type="textWrapping"/>
              <w:t xml:space="preserve">• Identificação do usuário criador.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Processamento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deverá: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Validar os dados informados.</w:t>
              <w:br w:type="textWrapping"/>
              <w:t xml:space="preserve">• Registrar o novo mercado com status “ativo” ou “pendente”.</w:t>
              <w:br w:type="textWrapping"/>
              <w:t xml:space="preserve">• Associar o mercado ao usuário criador.</w:t>
              <w:br w:type="textWrapping"/>
              <w:t xml:space="preserve">• Disponibilizar o mercado para negociação, se aprovado e bloq</w:t>
            </w:r>
            <w:r w:rsidDel="00000000" w:rsidR="00000000" w:rsidRPr="00000000">
              <w:rPr>
                <w:rtl w:val="0"/>
              </w:rPr>
              <w:t xml:space="preserve">uear alterações do mesmo</w:t>
            </w: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Saída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Confirmação da criação do mercado.</w:t>
              <w:br w:type="textWrapping"/>
              <w:t xml:space="preserve">• Exibição do mercado na listagem da plataforma.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• Notificação ao usuário criador sobre aprovação ou rejeição.</w:t>
            </w: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40"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Requisitos Não-Funcionais Associados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2.1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usuário deve estar logado com uma conta de administrador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2.2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Validação rápida e consistente dos dados informados.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2.3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Disponibilidade do mercado sem atrasos perceptíveis após criação.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2.4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e auditoria das criações de mercado.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2.5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Garantia de integridade dos dados do mercado. </w:t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2.6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Interface simples e intuitiva para criação de mercados. </w:t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RNF 2.7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Controle de acesso baseado em perfis de usuário.</w:t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2.8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Escalabilidade para suportar múltiplos mercados simultâneos.</w:t>
            </w:r>
          </w:p>
        </w:tc>
      </w:tr>
    </w:tbl>
    <w:p w:rsidR="00000000" w:rsidDel="00000000" w:rsidP="00000000" w:rsidRDefault="00000000" w:rsidRPr="00000000" w14:paraId="0000005E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O Autor (2025)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ycv6p1bqx62l" w:id="3"/>
      <w:bookmarkEnd w:id="3"/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3 – RF3: Depósito e Saque via Pix </w:t>
      </w:r>
    </w:p>
    <w:tbl>
      <w:tblPr>
        <w:tblStyle w:val="Table3"/>
        <w:tblW w:w="9101.0" w:type="dxa"/>
        <w:jc w:val="left"/>
        <w:tblInd w:w="-34.0" w:type="dxa"/>
        <w:tblLayout w:type="fixed"/>
        <w:tblLook w:val="0400"/>
      </w:tblPr>
      <w:tblGrid>
        <w:gridCol w:w="1549"/>
        <w:gridCol w:w="1171"/>
        <w:gridCol w:w="6381"/>
        <w:tblGridChange w:id="0">
          <w:tblGrid>
            <w:gridCol w:w="1549"/>
            <w:gridCol w:w="1171"/>
            <w:gridCol w:w="6381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61">
            <w:pPr>
              <w:spacing w:after="0" w:before="40"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RF3 – </w:t>
            </w:r>
            <w:r w:rsidDel="00000000" w:rsidR="00000000" w:rsidRPr="00000000">
              <w:rPr>
                <w:color w:val="ffffff"/>
                <w:rtl w:val="0"/>
              </w:rPr>
              <w:t xml:space="preserve">Depósito e Saque via Pix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Permitir que o usuário realize depósitos e saques na plataforma por meio do Pix. Para depósitos, o usuário poderá utilizar QR Code ou código “copia e cola”, com confirmação automática do pagamento. Para saques, o usuário poderá transferir valores disponíveis em sua carteira para uma chave Pix de um banco de sua titularidade.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Valor do depósito ou saque informado pelo usuário.</w:t>
              <w:br w:type="textWrapping"/>
              <w:t xml:space="preserve">• Dados do usuário (ID, e-mail).</w:t>
              <w:br w:type="textWrapping"/>
              <w:t xml:space="preserve">• Dados do pagamento (QR Code ou código Pix gerado).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Processamento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deverá: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Para Depósito: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Gerar QR Code e código Pix para pagamento.</w:t>
              <w:br w:type="textWrapping"/>
              <w:t xml:space="preserve">• Integrar com provedor de pagamento para processamento da transação.</w:t>
              <w:br w:type="textWrapping"/>
              <w:t xml:space="preserve">• Receber confirmação do pagamento via webhook.</w:t>
              <w:br w:type="textWrapping"/>
              <w:t xml:space="preserve">• Validar a transação recebida.</w:t>
              <w:br w:type="textWrapping"/>
              <w:t xml:space="preserve">• Creditar o valor na carteira do usuário.</w:t>
              <w:br w:type="textWrapping"/>
              <w:t xml:space="preserve">• Registrar a transação no histórico financeiro.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Para Saque:</w:t>
            </w:r>
          </w:p>
          <w:p w:rsidR="00000000" w:rsidDel="00000000" w:rsidP="00000000" w:rsidRDefault="00000000" w:rsidRPr="00000000" w14:paraId="00000071">
            <w:pPr>
              <w:spacing w:after="140" w:lineRule="auto"/>
              <w:rPr/>
            </w:pPr>
            <w:r w:rsidDel="00000000" w:rsidR="00000000" w:rsidRPr="00000000">
              <w:rPr>
                <w:rtl w:val="0"/>
              </w:rPr>
              <w:t xml:space="preserve">• Validar se o usuário possui saldo disponível suficiente.</w:t>
              <w:br w:type="textWrapping"/>
              <w:t xml:space="preserve">• Validar a chave Pix informada (ou previamente cadastrada).</w:t>
              <w:br w:type="textWrapping"/>
              <w:t xml:space="preserve">• Enviar solicitação de transferência ao provedor de pagamento.</w:t>
              <w:br w:type="textWrapping"/>
              <w:t xml:space="preserve">• Processar o saque via integração com serviço externo.</w:t>
              <w:br w:type="textWrapping"/>
              <w:t xml:space="preserve">• Debitar o valor da carteira do usuário.</w:t>
              <w:br w:type="textWrapping"/>
              <w:t xml:space="preserve">• Atualizar o status da transação (pendente, concluído ou falha).</w:t>
            </w:r>
          </w:p>
          <w:p w:rsidR="00000000" w:rsidDel="00000000" w:rsidP="00000000" w:rsidRDefault="00000000" w:rsidRPr="00000000" w14:paraId="00000072">
            <w:pPr>
              <w:spacing w:after="140" w:lineRule="auto"/>
              <w:rPr/>
            </w:pPr>
            <w:r w:rsidDel="00000000" w:rsidR="00000000" w:rsidRPr="00000000">
              <w:rPr>
                <w:rtl w:val="0"/>
              </w:rPr>
              <w:t xml:space="preserve">• Registrar a operação no histórico financeiro.</w:t>
              <w:br w:type="textWrapping"/>
              <w:t xml:space="preserve">• Aplicar eventuais regras de segurança (ex: limites, autenticação adicional).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spacing w:line="240" w:lineRule="auto"/>
              <w:ind w:left="34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Saída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/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 Exibição do QR Code/código Pix para </w:t>
            </w:r>
            <w:r w:rsidDel="00000000" w:rsidR="00000000" w:rsidRPr="00000000">
              <w:rPr>
                <w:rtl w:val="0"/>
              </w:rPr>
              <w:t xml:space="preserve">depósito</w:t>
            </w: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  <w:br w:type="textWrapping"/>
              <w:t xml:space="preserve">• Confirmação do depósito realizado.</w:t>
              <w:br w:type="textWrapping"/>
              <w:t xml:space="preserve">• </w:t>
            </w:r>
            <w:r w:rsidDel="00000000" w:rsidR="00000000" w:rsidRPr="00000000">
              <w:rPr>
                <w:rtl w:val="0"/>
              </w:rPr>
              <w:t xml:space="preserve">Confirmação da solicitação de saque.</w:t>
            </w: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br w:type="textWrapping"/>
              <w:t xml:space="preserve">• </w:t>
            </w:r>
            <w:r w:rsidDel="00000000" w:rsidR="00000000" w:rsidRPr="00000000">
              <w:rPr>
                <w:rtl w:val="0"/>
              </w:rPr>
              <w:t xml:space="preserve">Atualização do saldo do usuário.</w:t>
            </w:r>
          </w:p>
          <w:p w:rsidR="00000000" w:rsidDel="00000000" w:rsidP="00000000" w:rsidRDefault="00000000" w:rsidRPr="00000000" w14:paraId="00000076">
            <w:pPr>
              <w:spacing w:after="1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• Exibição do status do saque.</w:t>
              <w:br w:type="textWrapping"/>
              <w:t xml:space="preserve">• Registro no histórico de transações.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40" w:before="0" w:line="240" w:lineRule="auto"/>
              <w:ind w:left="34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78">
            <w:pPr>
              <w:spacing w:after="0" w:before="40"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Requisitos Não-Funcionais Associados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3.1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usuário deve estar logado.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3.2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Confirmação de depósitos e saques em tempo próximo ao real.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3.3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 disponibilidade na geração de cobranças Pix.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3.4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Segurança e criptografia dos dados financeiros.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3.5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e auditoria de todas as transações. </w:t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 3.6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Integração confiável com serviços de pagamento externos. </w:t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RNF 3.7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Mecanismos antifraude e validação de identidade para saques.</w:t>
            </w:r>
          </w:p>
        </w:tc>
      </w:tr>
    </w:tbl>
    <w:p w:rsidR="00000000" w:rsidDel="00000000" w:rsidP="00000000" w:rsidRDefault="00000000" w:rsidRPr="00000000" w14:paraId="00000090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O Autor (2025)</w:t>
      </w:r>
    </w:p>
    <w:p w:rsidR="00000000" w:rsidDel="00000000" w:rsidP="00000000" w:rsidRDefault="00000000" w:rsidRPr="00000000" w14:paraId="00000091">
      <w:pPr>
        <w:spacing w:line="36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ind w:left="0" w:firstLine="0"/>
    </w:pPr>
    <w:rPr>
      <w:smallCap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