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60"/>
              <w:left w:type="dxa" w:w="200"/>
              <w:bottom w:type="dxa" w:w="160"/>
              <w:right w:type="dxa" w:w="200"/>
            </w:tcMar>
          </w:tcPr>
          <w:p>
            <w:pPr>
              <w:spacing w:after="60" w:before="120"/>
              <w:jc w:val="center"/>
            </w:pPr>
            <w:r>
              <w:rPr>
                <w:rFonts w:ascii="Arial" w:cs="Arial" w:eastAsia="Arial" w:hAnsi="Arial"/>
                <w:b/>
                <w:bCs/>
                <w:color w:val="FFFFFF"/>
                <w:sz w:val="52"/>
                <w:szCs w:val="52"/>
              </w:rPr>
              <w:t xml:space="preserve">Stacked Generalisation</w:t>
            </w:r>
          </w:p>
          <w:p>
            <w:pPr>
              <w:spacing w:after="60" w:before="0"/>
              <w:jc w:val="center"/>
            </w:pPr>
            <w:r>
              <w:rPr>
                <w:rFonts w:ascii="Arial" w:cs="Arial" w:eastAsia="Arial" w:hAnsi="Arial"/>
                <w:i/>
                <w:iCs/>
                <w:color w:val="BDD7EE"/>
                <w:sz w:val="28"/>
                <w:szCs w:val="28"/>
              </w:rPr>
              <w:t xml:space="preserve">Ensemble Learning — Lecture Notes</w:t>
            </w:r>
          </w:p>
          <w:p>
            <w:pPr>
              <w:spacing w:after="120" w:before="0"/>
              <w:jc w:val="center"/>
            </w:pPr>
            <w:r>
              <w:rPr>
                <w:rFonts w:ascii="Arial" w:cs="Arial" w:eastAsia="Arial" w:hAnsi="Arial"/>
                <w:color w:val="BDD7EE"/>
                <w:sz w:val="22"/>
                <w:szCs w:val="22"/>
              </w:rPr>
              <w:t xml:space="preserve">With application to Premier League score prediction</w:t>
            </w:r>
          </w:p>
        </w:tc>
      </w:tr>
    </w:tbl>
    <w:p/>
    <w:p>
      <w:pPr>
        <w:pStyle w:val="Heading1"/>
        <w:spacing w:after="120" w:before="360"/>
      </w:pPr>
      <w:r>
        <w:rPr>
          <w:rFonts w:ascii="Arial" w:cs="Arial" w:eastAsia="Arial" w:hAnsi="Arial"/>
          <w:b/>
          <w:bCs/>
          <w:color w:val="1F4E79"/>
          <w:sz w:val="32"/>
          <w:szCs w:val="32"/>
        </w:rPr>
        <w:t xml:space="preserve">1.  Motivation: why combine models?</w:t>
      </w:r>
    </w:p>
    <w:p>
      <w:pPr>
        <w:spacing w:after="120" w:before="80"/>
      </w:pPr>
      <w:r>
        <w:rPr>
          <w:rFonts w:ascii="Arial" w:cs="Arial" w:eastAsia="Arial" w:hAnsi="Arial"/>
          <w:color w:val="404040"/>
          <w:sz w:val="22"/>
          <w:szCs w:val="22"/>
        </w:rPr>
        <w:t xml:space="preserve">Suppose you have two analysts who each forecast the number of goals in a football match. One focuses on squad quality and recent form; the other on tactical matchups and set-piece threat. Neither alone gives you the full picture. A sensible approach is to listen to both and form a combined estimate — weighting each according to its track record and the context of the specific match.</w:t>
      </w:r>
    </w:p>
    <w:p>
      <w:pPr>
        <w:spacing w:after="120" w:before="80"/>
      </w:pPr>
      <w:r>
        <w:rPr>
          <w:rFonts w:ascii="Arial" w:cs="Arial" w:eastAsia="Arial" w:hAnsi="Arial"/>
          <w:color w:val="404040"/>
          <w:sz w:val="22"/>
          <w:szCs w:val="22"/>
        </w:rPr>
        <w:t xml:space="preserve">This is the intuition behind ensemble learning. We train several models, each with its own strengths and blind spots, and then combine their outputs. The formal justification rests on a simple observation:</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60"/>
              <w:left w:type="dxa" w:w="200"/>
              <w:bottom w:type="dxa" w:w="160"/>
              <w:right w:type="dxa" w:w="200"/>
            </w:tcMar>
          </w:tcPr>
          <w:p>
            <w:pPr>
              <w:spacing w:after="40" w:before="80"/>
            </w:pPr>
            <w:r>
              <w:rPr>
                <w:rFonts w:ascii="Arial" w:cs="Arial" w:eastAsia="Arial" w:hAnsi="Arial"/>
                <w:b/>
                <w:bCs/>
                <w:color w:val="404040"/>
                <w:sz w:val="22"/>
                <w:szCs w:val="22"/>
              </w:rPr>
              <w:t xml:space="preserve">The fundamental theorem of ensembles (informal):</w:t>
            </w:r>
          </w:p>
          <w:p>
            <w:pPr>
              <w:spacing w:after="120" w:before="80"/>
            </w:pPr>
            <w:r>
              <w:rPr>
                <w:rFonts w:ascii="Arial" w:cs="Arial" w:eastAsia="Arial" w:hAnsi="Arial"/>
                <w:color w:val="404040"/>
                <w:sz w:val="22"/>
                <w:szCs w:val="22"/>
              </w:rPr>
              <w:t xml:space="preserve">If two models make errors that are partially independent of each other — that is, they do not always get the same cases wrong — then combining their predictions will reduce overall error relative to either model alone. The key condition is diversity: a combination of two identical models gives you nothing.</w:t>
            </w:r>
          </w:p>
        </w:tc>
      </w:tr>
    </w:tbl>
    <w:p/>
    <w:p>
      <w:pPr>
        <w:pStyle w:val="Heading1"/>
        <w:spacing w:after="120" w:before="360"/>
      </w:pPr>
      <w:r>
        <w:rPr>
          <w:rFonts w:ascii="Arial" w:cs="Arial" w:eastAsia="Arial" w:hAnsi="Arial"/>
          <w:b/>
          <w:bCs/>
          <w:color w:val="1F4E79"/>
          <w:sz w:val="32"/>
          <w:szCs w:val="32"/>
        </w:rPr>
        <w:t xml:space="preserve">2.  Three paradigms: bagging, boosting, stacking</w:t>
      </w:r>
    </w:p>
    <w:p>
      <w:pPr>
        <w:spacing w:after="120" w:before="80"/>
      </w:pPr>
      <w:r>
        <w:rPr>
          <w:rFonts w:ascii="Arial" w:cs="Arial" w:eastAsia="Arial" w:hAnsi="Arial"/>
          <w:color w:val="404040"/>
          <w:sz w:val="22"/>
          <w:szCs w:val="22"/>
        </w:rPr>
        <w:t xml:space="preserve">There are three classical approaches to building ensembles. They differ in how the component models are trained and how their predictions are combined.</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76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How models are trained</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How outputs combine</w:t>
            </w:r>
          </w:p>
        </w:tc>
        <w:tc>
          <w:tcPr>
            <w:tcW w:type="dxa" w:w="2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Main purpose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Bagging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Parallel, on bootstrap samples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Average or majority vote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Reduce variance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Boosting</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Sequential; each corrects prior residuals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Weighted sum</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Reduce bias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Stacking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Parallel (base); second model on their outputs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Learned by a meta-model</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Exploit complementarity</w:t>
            </w:r>
          </w:p>
        </w:tc>
      </w:tr>
    </w:tbl>
    <w:p/>
    <w:p>
      <w:pPr>
        <w:pStyle w:val="Heading1"/>
        <w:spacing w:after="120" w:before="360"/>
      </w:pPr>
      <w:r>
        <w:rPr>
          <w:rFonts w:ascii="Arial" w:cs="Arial" w:eastAsia="Arial" w:hAnsi="Arial"/>
          <w:b/>
          <w:bCs/>
          <w:color w:val="1F4E79"/>
          <w:sz w:val="32"/>
          <w:szCs w:val="32"/>
        </w:rPr>
        <w:t xml:space="preserve">3.  Bagging and the Random Forest</w:t>
      </w:r>
    </w:p>
    <w:p>
      <w:pPr>
        <w:pStyle w:val="Heading2"/>
        <w:spacing w:after="100" w:before="280"/>
      </w:pPr>
      <w:r>
        <w:rPr>
          <w:rFonts w:ascii="Arial" w:cs="Arial" w:eastAsia="Arial" w:hAnsi="Arial"/>
          <w:b/>
          <w:bCs/>
          <w:color w:val="2E75B6"/>
          <w:sz w:val="26"/>
          <w:szCs w:val="26"/>
        </w:rPr>
        <w:t xml:space="preserve">3.1  The variance problem</w:t>
      </w:r>
    </w:p>
    <w:p>
      <w:pPr>
        <w:spacing w:after="120" w:before="80"/>
      </w:pPr>
      <w:r>
        <w:rPr>
          <w:rFonts w:ascii="Arial" w:cs="Arial" w:eastAsia="Arial" w:hAnsi="Arial"/>
          <w:color w:val="404040"/>
          <w:sz w:val="22"/>
          <w:szCs w:val="22"/>
        </w:rPr>
        <w:t xml:space="preserve">A decision tree is an unstable learner: a small change in the training data can produce a very different tree. This instability is called high variance — the model's predictions fluctuate widely depending on the particular sample of data it happened to see during training. The bias-variance decomposition makes this precise:</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val="clear"/>
            <w:tcMar>
              <w:top w:type="dxa" w:w="160"/>
              <w:left w:type="dxa" w:w="200"/>
              <w:bottom w:type="dxa" w:w="160"/>
              <w:right w:type="dxa" w:w="200"/>
            </w:tcMar>
          </w:tcPr>
          <w:p>
            <w:pPr>
              <w:spacing w:after="80" w:before="80"/>
              <w:jc w:val="center"/>
            </w:pPr>
            <w:r>
              <w:rPr>
                <w:rFonts w:ascii="Courier New" w:cs="Courier New" w:eastAsia="Courier New" w:hAnsi="Courier New"/>
                <w:color w:val="404040"/>
                <w:sz w:val="22"/>
                <w:szCs w:val="22"/>
              </w:rPr>
              <w:t xml:space="preserve">Expected prediction error  =  Bias²  +  Variance  +  Irreducible noise</w:t>
            </w:r>
          </w:p>
        </w:tc>
      </w:tr>
    </w:tbl>
    <w:p/>
    <w:p>
      <w:pPr>
        <w:spacing w:after="120" w:before="80"/>
      </w:pPr>
      <w:r>
        <w:rPr>
          <w:rFonts w:ascii="Arial" w:cs="Arial" w:eastAsia="Arial" w:hAnsi="Arial"/>
          <w:color w:val="404040"/>
          <w:sz w:val="22"/>
          <w:szCs w:val="22"/>
        </w:rPr>
        <w:t xml:space="preserve">Bagging attacks the variance term. It does not change the bias of the underlying learner — it simply reduces how much predictions fluctuate across different realisations of the training data.</w:t>
      </w:r>
    </w:p>
    <w:p>
      <w:pPr>
        <w:pStyle w:val="Heading2"/>
        <w:spacing w:after="100" w:before="280"/>
      </w:pPr>
      <w:r>
        <w:rPr>
          <w:rFonts w:ascii="Arial" w:cs="Arial" w:eastAsia="Arial" w:hAnsi="Arial"/>
          <w:b/>
          <w:bCs/>
          <w:color w:val="2E75B6"/>
          <w:sz w:val="26"/>
          <w:szCs w:val="26"/>
        </w:rPr>
        <w:t xml:space="preserve">3.2  The bagging algorithm (Breiman, 1996)</w:t>
      </w:r>
    </w:p>
    <w:p>
      <w:pPr>
        <w:pStyle w:val="ListParagraph"/>
        <w:numPr>
          <w:ilvl w:val="0"/>
          <w:numId w:val="2"/>
        </w:numPr>
        <w:spacing w:after="60" w:before="60"/>
        <w:ind w:left="720" w:hanging="360"/>
      </w:pPr>
      <w:r>
        <w:rPr>
          <w:rFonts w:ascii="Arial" w:cs="Arial" w:eastAsia="Arial" w:hAnsi="Arial"/>
          <w:color w:val="404040"/>
          <w:sz w:val="22"/>
          <w:szCs w:val="22"/>
        </w:rPr>
        <w:t xml:space="preserve">Draw B bootstrap samples from the training data. Each has the same size n as the original, with replacement — so roughly 63% of original rows appear (some duplicated), and 37% are left out.</w:t>
      </w:r>
    </w:p>
    <w:p>
      <w:pPr>
        <w:pStyle w:val="ListParagraph"/>
        <w:numPr>
          <w:ilvl w:val="0"/>
          <w:numId w:val="2"/>
        </w:numPr>
        <w:spacing w:after="60" w:before="60"/>
        <w:ind w:left="720" w:hanging="360"/>
      </w:pPr>
      <w:r>
        <w:rPr>
          <w:rFonts w:ascii="Arial" w:cs="Arial" w:eastAsia="Arial" w:hAnsi="Arial"/>
          <w:color w:val="404040"/>
          <w:sz w:val="22"/>
          <w:szCs w:val="22"/>
        </w:rPr>
        <w:t xml:space="preserve">Train a model independently on each bootstrap sample. For trees, grow them fully (no pruning).</w:t>
      </w:r>
    </w:p>
    <w:p>
      <w:pPr>
        <w:pStyle w:val="ListParagraph"/>
        <w:numPr>
          <w:ilvl w:val="0"/>
          <w:numId w:val="2"/>
        </w:numPr>
        <w:spacing w:after="60" w:before="60"/>
        <w:ind w:left="720" w:hanging="360"/>
      </w:pPr>
      <w:r>
        <w:rPr>
          <w:rFonts w:ascii="Arial" w:cs="Arial" w:eastAsia="Arial" w:hAnsi="Arial"/>
          <w:color w:val="404040"/>
          <w:sz w:val="22"/>
          <w:szCs w:val="22"/>
        </w:rPr>
        <w:t xml:space="preserve">To predict: run the new observation through all B models and average their predictions (regression) or take the majority vote (classification).</w:t>
      </w:r>
    </w:p>
    <w:p/>
    <w:p>
      <w:pPr>
        <w:spacing w:after="120" w:before="80"/>
      </w:pPr>
      <w:r>
        <w:rPr>
          <w:rFonts w:ascii="Arial" w:cs="Arial" w:eastAsia="Arial" w:hAnsi="Arial"/>
          <w:color w:val="404040"/>
          <w:sz w:val="22"/>
          <w:szCs w:val="22"/>
        </w:rPr>
        <w:t xml:space="preserve">The averaging step is what reduces variance. Each model's predictions include the true signal plus its own noise term. When averaged across many uncorrelated models, the noise terms cancel while the signal persists.</w:t>
      </w:r>
    </w:p>
    <w:p>
      <w:pPr>
        <w:pStyle w:val="Heading2"/>
        <w:spacing w:after="100" w:before="280"/>
      </w:pPr>
      <w:r>
        <w:rPr>
          <w:rFonts w:ascii="Arial" w:cs="Arial" w:eastAsia="Arial" w:hAnsi="Arial"/>
          <w:b/>
          <w:bCs/>
          <w:color w:val="2E75B6"/>
          <w:sz w:val="26"/>
          <w:szCs w:val="26"/>
        </w:rPr>
        <w:t xml:space="preserve">3.3  From bagging to the Random Forest (Breiman, 2001)</w:t>
      </w:r>
    </w:p>
    <w:p>
      <w:pPr>
        <w:spacing w:after="120" w:before="80"/>
      </w:pPr>
      <w:r>
        <w:rPr>
          <w:rFonts w:ascii="Arial" w:cs="Arial" w:eastAsia="Arial" w:hAnsi="Arial"/>
          <w:color w:val="404040"/>
          <w:sz w:val="22"/>
          <w:szCs w:val="22"/>
        </w:rPr>
        <w:t xml:space="preserve">Bagged trees still suffer from one weakness: if one feature is strongly predictive, most trees will split on it near the root, making the trees correlated. Averaging correlated predictions gives less variance reduction than averaging independent ones.</w:t>
      </w:r>
    </w:p>
    <w:p>
      <w:pPr>
        <w:spacing w:after="120" w:before="80"/>
      </w:pPr>
      <w:r>
        <w:rPr>
          <w:rFonts w:ascii="Arial" w:cs="Arial" w:eastAsia="Arial" w:hAnsi="Arial"/>
          <w:color w:val="404040"/>
          <w:sz w:val="22"/>
          <w:szCs w:val="22"/>
        </w:rPr>
        <w:t xml:space="preserve">Random Forests solve this by introducing a second source of randomness: at each split, only a random subset of m features is considered (typically m = p/3 for regression). This decorrelates the trees, making the ensemble substantially more powerful.</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60"/>
              <w:left w:type="dxa" w:w="200"/>
              <w:bottom w:type="dxa" w:w="160"/>
              <w:right w:type="dxa" w:w="200"/>
            </w:tcMar>
          </w:tcPr>
          <w:p>
            <w:pPr>
              <w:spacing w:after="40" w:before="80"/>
            </w:pPr>
            <w:r>
              <w:rPr>
                <w:rFonts w:ascii="Arial" w:cs="Arial" w:eastAsia="Arial" w:hAnsi="Arial"/>
                <w:b/>
                <w:bCs/>
                <w:color w:val="404040"/>
                <w:sz w:val="22"/>
                <w:szCs w:val="22"/>
              </w:rPr>
              <w:t xml:space="preserve">The two sources of randomness in a Random Forest:</w:t>
            </w:r>
          </w:p>
          <w:p>
            <w:pPr>
              <w:pStyle w:val="ListParagraph"/>
              <w:numPr>
                <w:ilvl w:val="0"/>
                <w:numId w:val="3"/>
              </w:numPr>
              <w:spacing w:after="60" w:before="60"/>
              <w:ind w:left="720" w:hanging="360"/>
            </w:pPr>
            <w:r>
              <w:rPr>
                <w:rFonts w:ascii="Arial" w:cs="Arial" w:eastAsia="Arial" w:hAnsi="Arial"/>
                <w:b/>
                <w:bCs/>
                <w:color w:val="404040"/>
                <w:sz w:val="22"/>
                <w:szCs w:val="22"/>
              </w:rPr>
              <w:t xml:space="preserve">Row randomness: </w:t>
            </w:r>
            <w:r>
              <w:rPr>
                <w:rFonts w:ascii="Arial" w:cs="Arial" w:eastAsia="Arial" w:hAnsi="Arial"/>
                <w:color w:val="404040"/>
                <w:sz w:val="22"/>
                <w:szCs w:val="22"/>
              </w:rPr>
              <w:t xml:space="preserve">each tree trains on a different bootstrap sample of observations</w:t>
            </w:r>
          </w:p>
          <w:p>
            <w:pPr>
              <w:pStyle w:val="ListParagraph"/>
              <w:numPr>
                <w:ilvl w:val="0"/>
                <w:numId w:val="3"/>
              </w:numPr>
              <w:spacing w:after="60" w:before="60"/>
              <w:ind w:left="720" w:hanging="360"/>
            </w:pPr>
            <w:r>
              <w:rPr>
                <w:rFonts w:ascii="Arial" w:cs="Arial" w:eastAsia="Arial" w:hAnsi="Arial"/>
                <w:b/>
                <w:bCs/>
                <w:color w:val="404040"/>
                <w:sz w:val="22"/>
                <w:szCs w:val="22"/>
              </w:rPr>
              <w:t xml:space="preserve">Column randomness: </w:t>
            </w:r>
            <w:r>
              <w:rPr>
                <w:rFonts w:ascii="Arial" w:cs="Arial" w:eastAsia="Arial" w:hAnsi="Arial"/>
                <w:color w:val="404040"/>
                <w:sz w:val="22"/>
                <w:szCs w:val="22"/>
              </w:rPr>
              <w:t xml:space="preserve">at each node split, only a random subset of features is eligible</w:t>
            </w:r>
          </w:p>
          <w:p>
            <w:pPr>
              <w:spacing w:after="80" w:before="60"/>
            </w:pPr>
            <w:r>
              <w:rPr>
                <w:rFonts w:ascii="Arial" w:cs="Arial" w:eastAsia="Arial" w:hAnsi="Arial"/>
                <w:color w:val="404040"/>
                <w:sz w:val="22"/>
                <w:szCs w:val="22"/>
              </w:rPr>
              <w:t xml:space="preserve">Together, these ensure the trees are sufficiently decorrelated for averaging to be highly effective.</w:t>
            </w:r>
          </w:p>
        </w:tc>
      </w:tr>
    </w:tbl>
    <w:p>
      <w:pPr>
        <w:pStyle w:val="Heading2"/>
        <w:spacing w:after="100" w:before="280"/>
      </w:pPr>
      <w:r>
        <w:rPr>
          <w:rFonts w:ascii="Arial" w:cs="Arial" w:eastAsia="Arial" w:hAnsi="Arial"/>
          <w:b/>
          <w:bCs/>
          <w:color w:val="2E75B6"/>
          <w:sz w:val="26"/>
          <w:szCs w:val="26"/>
        </w:rPr>
        <w:t xml:space="preserve">3.4  Variable importance: %IncMSE</w:t>
      </w:r>
    </w:p>
    <w:p>
      <w:pPr>
        <w:spacing w:after="120" w:before="80"/>
      </w:pPr>
      <w:r>
        <w:rPr>
          <w:rFonts w:ascii="Arial" w:cs="Arial" w:eastAsia="Arial" w:hAnsi="Arial"/>
          <w:color w:val="404040"/>
          <w:sz w:val="22"/>
          <w:szCs w:val="22"/>
        </w:rPr>
        <w:t xml:space="preserve">After training, we can measure how much each feature contributed to predictive accuracy using permutation importance. For each feature in turn:</w:t>
      </w:r>
    </w:p>
    <w:p>
      <w:pPr>
        <w:pStyle w:val="ListParagraph"/>
        <w:numPr>
          <w:ilvl w:val="0"/>
          <w:numId w:val="2"/>
        </w:numPr>
        <w:spacing w:after="60" w:before="60"/>
        <w:ind w:left="720" w:hanging="360"/>
      </w:pPr>
      <w:r>
        <w:rPr>
          <w:rFonts w:ascii="Arial" w:cs="Arial" w:eastAsia="Arial" w:hAnsi="Arial"/>
          <w:color w:val="404040"/>
          <w:sz w:val="22"/>
          <w:szCs w:val="22"/>
        </w:rPr>
        <w:t xml:space="preserve">Record the model's out-of-bag (OOB) prediction error on its unperturbed data.</w:t>
      </w:r>
    </w:p>
    <w:p>
      <w:pPr>
        <w:pStyle w:val="ListParagraph"/>
        <w:numPr>
          <w:ilvl w:val="0"/>
          <w:numId w:val="2"/>
        </w:numPr>
        <w:spacing w:after="60" w:before="60"/>
        <w:ind w:left="720" w:hanging="360"/>
      </w:pPr>
      <w:r>
        <w:rPr>
          <w:rFonts w:ascii="Arial" w:cs="Arial" w:eastAsia="Arial" w:hAnsi="Arial"/>
          <w:color w:val="404040"/>
          <w:sz w:val="22"/>
          <w:szCs w:val="22"/>
        </w:rPr>
        <w:t xml:space="preserve">Randomly shuffle the values of that feature across all OOB observations, breaking its relationship with the outcome.</w:t>
      </w:r>
    </w:p>
    <w:p>
      <w:pPr>
        <w:pStyle w:val="ListParagraph"/>
        <w:numPr>
          <w:ilvl w:val="0"/>
          <w:numId w:val="2"/>
        </w:numPr>
        <w:spacing w:after="60" w:before="60"/>
        <w:ind w:left="720" w:hanging="360"/>
      </w:pPr>
      <w:r>
        <w:rPr>
          <w:rFonts w:ascii="Arial" w:cs="Arial" w:eastAsia="Arial" w:hAnsi="Arial"/>
          <w:color w:val="404040"/>
          <w:sz w:val="22"/>
          <w:szCs w:val="22"/>
        </w:rPr>
        <w:t xml:space="preserve">Re-measure the prediction error. The percent increase in MSE (%IncMSE) is the importance score.</w:t>
      </w:r>
    </w:p>
    <w:p/>
    <w:p>
      <w:pPr>
        <w:spacing w:after="120" w:before="80"/>
      </w:pPr>
      <w:r>
        <w:rPr>
          <w:rFonts w:ascii="Arial" w:cs="Arial" w:eastAsia="Arial" w:hAnsi="Arial"/>
          <w:color w:val="404040"/>
          <w:sz w:val="22"/>
          <w:szCs w:val="22"/>
        </w:rPr>
        <w:t xml:space="preserve">A large %IncMSE means the model relied heavily on that feature — without it, accuracy degraded substantially. This is a reliable, model-agnostic metric because it directly tests the feature's contribution rather than inferring it from internal model structure.</w:t>
      </w:r>
    </w:p>
    <w:p/>
    <w:p>
      <w:pPr>
        <w:pStyle w:val="Heading1"/>
        <w:spacing w:after="120" w:before="360"/>
      </w:pPr>
      <w:r>
        <w:rPr>
          <w:rFonts w:ascii="Arial" w:cs="Arial" w:eastAsia="Arial" w:hAnsi="Arial"/>
          <w:b/>
          <w:bCs/>
          <w:color w:val="1F4E79"/>
          <w:sz w:val="32"/>
          <w:szCs w:val="32"/>
        </w:rPr>
        <w:t xml:space="preserve">4.  Boosting and the Gradient Boosted Machine</w:t>
      </w:r>
    </w:p>
    <w:p>
      <w:pPr>
        <w:pStyle w:val="Heading2"/>
        <w:spacing w:after="100" w:before="280"/>
      </w:pPr>
      <w:r>
        <w:rPr>
          <w:rFonts w:ascii="Arial" w:cs="Arial" w:eastAsia="Arial" w:hAnsi="Arial"/>
          <w:b/>
          <w:bCs/>
          <w:color w:val="2E75B6"/>
          <w:sz w:val="26"/>
          <w:szCs w:val="26"/>
        </w:rPr>
        <w:t xml:space="preserve">4.1  Attacking bias instead of variance</w:t>
      </w:r>
    </w:p>
    <w:p>
      <w:pPr>
        <w:spacing w:after="120" w:before="80"/>
      </w:pPr>
      <w:r>
        <w:rPr>
          <w:rFonts w:ascii="Arial" w:cs="Arial" w:eastAsia="Arial" w:hAnsi="Arial"/>
          <w:color w:val="404040"/>
          <w:sz w:val="22"/>
          <w:szCs w:val="22"/>
        </w:rPr>
        <w:t xml:space="preserve">While bagging reduces variance, it does little for bias — the systematic error that arises when the model cannot capture the true relationship even with infinite data. Boosting takes the opposite approach: it builds a sequence of models where each one focuses on the errors of the previous ones.</w:t>
      </w:r>
    </w:p>
    <w:p>
      <w:pPr>
        <w:pStyle w:val="Heading2"/>
        <w:spacing w:after="100" w:before="280"/>
      </w:pPr>
      <w:r>
        <w:rPr>
          <w:rFonts w:ascii="Arial" w:cs="Arial" w:eastAsia="Arial" w:hAnsi="Arial"/>
          <w:b/>
          <w:bCs/>
          <w:color w:val="2E75B6"/>
          <w:sz w:val="26"/>
          <w:szCs w:val="26"/>
        </w:rPr>
        <w:t xml:space="preserve">4.2  Gradient boosting: the general framework (Friedman, 2001)</w:t>
      </w:r>
    </w:p>
    <w:p>
      <w:pPr>
        <w:spacing w:after="120" w:before="80"/>
      </w:pPr>
      <w:r>
        <w:rPr>
          <w:rFonts w:ascii="Arial" w:cs="Arial" w:eastAsia="Arial" w:hAnsi="Arial"/>
          <w:color w:val="404040"/>
          <w:sz w:val="22"/>
          <w:szCs w:val="22"/>
        </w:rPr>
        <w:t xml:space="preserve">Friedman reformulated boosting as gradient descent in function space. Rather than minimising a loss function by adjusting parameters, we minimise it by sequentially adding new models — each a small step in the direction of steepest descent. For squared-error loss, the negative gradient is simply the residual r = y − F(x), giving the following algorithm:</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val="clear"/>
            <w:tcMar>
              <w:top w:type="dxa" w:w="160"/>
              <w:left w:type="dxa" w:w="200"/>
              <w:bottom w:type="dxa" w:w="160"/>
              <w:right w:type="dxa" w:w="200"/>
            </w:tcMar>
          </w:tcPr>
          <w:p>
            <w:pPr>
              <w:spacing w:after="60" w:before="80"/>
            </w:pPr>
            <w:r>
              <w:rPr>
                <w:rFonts w:ascii="Arial" w:cs="Arial" w:eastAsia="Arial" w:hAnsi="Arial"/>
                <w:b/>
                <w:bCs/>
                <w:color w:val="404040"/>
                <w:sz w:val="22"/>
                <w:szCs w:val="22"/>
              </w:rPr>
              <w:t xml:space="preserve">Gradient Boosted Machine algorithm:</w:t>
            </w:r>
          </w:p>
          <w:p>
            <w:pPr>
              <w:pStyle w:val="ListParagraph"/>
              <w:numPr>
                <w:ilvl w:val="0"/>
                <w:numId w:val="2"/>
              </w:numPr>
              <w:spacing w:after="60" w:before="60"/>
              <w:ind w:left="720" w:hanging="360"/>
            </w:pPr>
            <w:r>
              <w:rPr>
                <w:rFonts w:ascii="Arial" w:cs="Arial" w:eastAsia="Arial" w:hAnsi="Arial"/>
                <w:b/>
                <w:bCs/>
                <w:color w:val="404040"/>
                <w:sz w:val="22"/>
                <w:szCs w:val="22"/>
              </w:rPr>
              <w:t xml:space="preserve">Initialise: </w:t>
            </w:r>
            <w:r>
              <w:rPr>
                <w:rFonts w:ascii="Courier New" w:cs="Courier New" w:eastAsia="Courier New" w:hAnsi="Courier New"/>
                <w:color w:val="C0392B"/>
                <w:sz w:val="20"/>
                <w:szCs w:val="20"/>
              </w:rPr>
              <w:t xml:space="preserve">F₀(x) = mean(y)</w:t>
            </w:r>
          </w:p>
          <w:p>
            <w:pPr>
              <w:pStyle w:val="ListParagraph"/>
              <w:numPr>
                <w:ilvl w:val="0"/>
                <w:numId w:val="2"/>
              </w:numPr>
              <w:spacing w:after="60" w:before="60"/>
              <w:ind w:left="720" w:hanging="360"/>
            </w:pPr>
            <w:r>
              <w:rPr>
                <w:rFonts w:ascii="Arial" w:cs="Arial" w:eastAsia="Arial" w:hAnsi="Arial"/>
                <w:b/>
                <w:bCs/>
                <w:color w:val="404040"/>
                <w:sz w:val="22"/>
                <w:szCs w:val="22"/>
              </w:rPr>
              <w:t xml:space="preserve">For m = 1 to M:</w:t>
            </w:r>
          </w:p>
          <w:p>
            <w:pPr>
              <w:pStyle w:val="ListParagraph"/>
              <w:numPr>
                <w:ilvl w:val="1"/>
                <w:numId w:val="3"/>
              </w:numPr>
              <w:spacing w:after="60" w:before="60"/>
              <w:ind w:left="1080" w:hanging="360"/>
            </w:pPr>
            <w:r>
              <w:rPr>
                <w:rFonts w:ascii="Arial" w:cs="Arial" w:eastAsia="Arial" w:hAnsi="Arial"/>
                <w:color w:val="404040"/>
                <w:sz w:val="22"/>
                <w:szCs w:val="22"/>
              </w:rPr>
              <w:t xml:space="preserve">Compute residuals: </w:t>
            </w:r>
            <w:r>
              <w:rPr>
                <w:rFonts w:ascii="Courier New" w:cs="Courier New" w:eastAsia="Courier New" w:hAnsi="Courier New"/>
                <w:color w:val="C0392B"/>
                <w:sz w:val="20"/>
                <w:szCs w:val="20"/>
              </w:rPr>
              <w:t xml:space="preserve">rᵢ = yᵢ − Fₘ₋₁(xᵢ)</w:t>
            </w:r>
          </w:p>
          <w:p>
            <w:pPr>
              <w:pStyle w:val="ListParagraph"/>
              <w:numPr>
                <w:ilvl w:val="1"/>
                <w:numId w:val="3"/>
              </w:numPr>
              <w:spacing w:after="60" w:before="60"/>
              <w:ind w:left="1080" w:hanging="360"/>
            </w:pPr>
            <w:r>
              <w:rPr>
                <w:rFonts w:ascii="Arial" w:cs="Arial" w:eastAsia="Arial" w:hAnsi="Arial"/>
                <w:color w:val="404040"/>
                <w:sz w:val="22"/>
                <w:szCs w:val="22"/>
              </w:rPr>
              <w:t xml:space="preserve">Fit a shallow tree </w:t>
            </w:r>
            <w:r>
              <w:rPr>
                <w:rFonts w:ascii="Courier New" w:cs="Courier New" w:eastAsia="Courier New" w:hAnsi="Courier New"/>
                <w:color w:val="C0392B"/>
                <w:sz w:val="20"/>
                <w:szCs w:val="20"/>
              </w:rPr>
              <w:t xml:space="preserve">hₘ</w:t>
            </w:r>
            <w:r>
              <w:rPr>
                <w:rFonts w:ascii="Arial" w:cs="Arial" w:eastAsia="Arial" w:hAnsi="Arial"/>
                <w:color w:val="404040"/>
                <w:sz w:val="22"/>
                <w:szCs w:val="22"/>
              </w:rPr>
              <w:t xml:space="preserve"> to predict the residuals</w:t>
            </w:r>
          </w:p>
          <w:p>
            <w:pPr>
              <w:pStyle w:val="ListParagraph"/>
              <w:numPr>
                <w:ilvl w:val="1"/>
                <w:numId w:val="3"/>
              </w:numPr>
              <w:spacing w:after="60" w:before="60"/>
              <w:ind w:left="1080" w:hanging="360"/>
            </w:pPr>
            <w:r>
              <w:rPr>
                <w:rFonts w:ascii="Arial" w:cs="Arial" w:eastAsia="Arial" w:hAnsi="Arial"/>
                <w:color w:val="404040"/>
                <w:sz w:val="22"/>
                <w:szCs w:val="22"/>
              </w:rPr>
              <w:t xml:space="preserve">Update: </w:t>
            </w:r>
            <w:r>
              <w:rPr>
                <w:rFonts w:ascii="Courier New" w:cs="Courier New" w:eastAsia="Courier New" w:hAnsi="Courier New"/>
                <w:color w:val="C0392B"/>
                <w:sz w:val="20"/>
                <w:szCs w:val="20"/>
              </w:rPr>
              <w:t xml:space="preserve">Fₘ(x) = Fₘ₋₁(x) + η·hₘ(x)</w:t>
            </w:r>
            <w:r>
              <w:rPr>
                <w:rFonts w:ascii="Arial" w:cs="Arial" w:eastAsia="Arial" w:hAnsi="Arial"/>
                <w:color w:val="404040"/>
                <w:sz w:val="22"/>
                <w:szCs w:val="22"/>
              </w:rPr>
              <w:t xml:space="preserve">  (η = shrinkage/learning rate)</w:t>
            </w:r>
          </w:p>
          <w:p>
            <w:pPr>
              <w:pStyle w:val="ListParagraph"/>
              <w:numPr>
                <w:ilvl w:val="0"/>
                <w:numId w:val="2"/>
              </w:numPr>
              <w:spacing w:after="60" w:before="60"/>
              <w:ind w:left="720" w:hanging="360"/>
            </w:pPr>
            <w:r>
              <w:rPr>
                <w:rFonts w:ascii="Arial" w:cs="Arial" w:eastAsia="Arial" w:hAnsi="Arial"/>
                <w:b/>
                <w:bCs/>
                <w:color w:val="404040"/>
                <w:sz w:val="22"/>
                <w:szCs w:val="22"/>
              </w:rPr>
              <w:t xml:space="preserve">Final prediction: </w:t>
            </w:r>
            <w:r>
              <w:rPr>
                <w:rFonts w:ascii="Courier New" w:cs="Courier New" w:eastAsia="Courier New" w:hAnsi="Courier New"/>
                <w:color w:val="C0392B"/>
                <w:sz w:val="20"/>
                <w:szCs w:val="20"/>
              </w:rPr>
              <w:t xml:space="preserve">F(x) = F₀ + η·h₁(x) + η·h₂(x) + … + η·hₘ(x)</w:t>
            </w:r>
          </w:p>
          <w:p/>
          <w:p>
            <w:pPr>
              <w:spacing w:after="120" w:before="80"/>
            </w:pPr>
            <w:r>
              <w:rPr>
                <w:rFonts w:ascii="Arial" w:cs="Arial" w:eastAsia="Arial" w:hAnsi="Arial"/>
                <w:color w:val="404040"/>
                <w:sz w:val="22"/>
                <w:szCs w:val="22"/>
              </w:rPr>
              <w:t xml:space="preserve">Key tuning parameters: </w:t>
            </w:r>
            <w:r>
              <w:rPr>
                <w:rFonts w:ascii="Arial" w:cs="Arial" w:eastAsia="Arial" w:hAnsi="Arial"/>
                <w:b/>
                <w:bCs/>
                <w:color w:val="404040"/>
                <w:sz w:val="22"/>
                <w:szCs w:val="22"/>
              </w:rPr>
              <w:t xml:space="preserve">M</w:t>
            </w:r>
            <w:r>
              <w:rPr>
                <w:rFonts w:ascii="Arial" w:cs="Arial" w:eastAsia="Arial" w:hAnsi="Arial"/>
                <w:color w:val="404040"/>
                <w:sz w:val="22"/>
                <w:szCs w:val="22"/>
              </w:rPr>
              <w:t xml:space="preserve"> (number of trees), </w:t>
            </w:r>
            <w:r>
              <w:rPr>
                <w:rFonts w:ascii="Arial" w:cs="Arial" w:eastAsia="Arial" w:hAnsi="Arial"/>
                <w:b/>
                <w:bCs/>
                <w:color w:val="404040"/>
                <w:sz w:val="22"/>
                <w:szCs w:val="22"/>
              </w:rPr>
              <w:t xml:space="preserve">η</w:t>
            </w:r>
            <w:r>
              <w:rPr>
                <w:rFonts w:ascii="Arial" w:cs="Arial" w:eastAsia="Arial" w:hAnsi="Arial"/>
                <w:color w:val="404040"/>
                <w:sz w:val="22"/>
                <w:szCs w:val="22"/>
              </w:rPr>
              <w:t xml:space="preserve"> (learning rate, typically 0.01–0.1), </w:t>
            </w:r>
            <w:r>
              <w:rPr>
                <w:rFonts w:ascii="Arial" w:cs="Arial" w:eastAsia="Arial" w:hAnsi="Arial"/>
                <w:b/>
                <w:bCs/>
                <w:color w:val="404040"/>
                <w:sz w:val="22"/>
                <w:szCs w:val="22"/>
              </w:rPr>
              <w:t xml:space="preserve">interaction.depth</w:t>
            </w:r>
            <w:r>
              <w:rPr>
                <w:rFonts w:ascii="Arial" w:cs="Arial" w:eastAsia="Arial" w:hAnsi="Arial"/>
                <w:color w:val="404040"/>
                <w:sz w:val="22"/>
                <w:szCs w:val="22"/>
              </w:rPr>
              <w:t xml:space="preserve"> (tree depth, controls interaction order).</w:t>
            </w:r>
          </w:p>
        </w:tc>
      </w:tr>
    </w:tbl>
    <w:p/>
    <w:p>
      <w:pPr>
        <w:pStyle w:val="Heading2"/>
        <w:spacing w:after="100" w:before="280"/>
      </w:pPr>
      <w:r>
        <w:rPr>
          <w:rFonts w:ascii="Arial" w:cs="Arial" w:eastAsia="Arial" w:hAnsi="Arial"/>
          <w:b/>
          <w:bCs/>
          <w:color w:val="2E75B6"/>
          <w:sz w:val="26"/>
          <w:szCs w:val="26"/>
        </w:rPr>
        <w:t xml:space="preserve">4.3  Variable importance: relative influence</w:t>
      </w:r>
    </w:p>
    <w:p>
      <w:pPr>
        <w:spacing w:after="120" w:before="80"/>
      </w:pPr>
      <w:r>
        <w:rPr>
          <w:rFonts w:ascii="Arial" w:cs="Arial" w:eastAsia="Arial" w:hAnsi="Arial"/>
          <w:color w:val="404040"/>
          <w:sz w:val="22"/>
          <w:szCs w:val="22"/>
        </w:rPr>
        <w:t xml:space="preserve">GBM reports relative influence: for each feature, the algorithm sums the squared-error reductions at every split where that feature was chosen, weighted by the number of observations at that node, across all M trees. Values are normalised to sum to 100. A high score means that feature was frequently selected and produced large improvements when used.</w:t>
      </w:r>
    </w:p>
    <w:p/>
    <w:p>
      <w:pPr>
        <w:pStyle w:val="Heading1"/>
        <w:spacing w:after="120" w:before="360"/>
      </w:pPr>
      <w:r>
        <w:rPr>
          <w:rFonts w:ascii="Arial" w:cs="Arial" w:eastAsia="Arial" w:hAnsi="Arial"/>
          <w:b/>
          <w:bCs/>
          <w:color w:val="1F4E79"/>
          <w:sz w:val="32"/>
          <w:szCs w:val="32"/>
        </w:rPr>
        <w:t xml:space="preserve">5.  Stacked Generalisation</w:t>
      </w:r>
    </w:p>
    <w:p>
      <w:pPr>
        <w:pStyle w:val="Heading2"/>
        <w:spacing w:after="100" w:before="280"/>
      </w:pPr>
      <w:r>
        <w:rPr>
          <w:rFonts w:ascii="Arial" w:cs="Arial" w:eastAsia="Arial" w:hAnsi="Arial"/>
          <w:b/>
          <w:bCs/>
          <w:color w:val="2E75B6"/>
          <w:sz w:val="26"/>
          <w:szCs w:val="26"/>
        </w:rPr>
        <w:t xml:space="preserve">5.1  The original idea (Wolpert, 1992)</w:t>
      </w:r>
    </w:p>
    <w:p>
      <w:pPr>
        <w:spacing w:after="120" w:before="80"/>
      </w:pPr>
      <w:r>
        <w:rPr>
          <w:rFonts w:ascii="Arial" w:cs="Arial" w:eastAsia="Arial" w:hAnsi="Arial"/>
          <w:i/>
          <w:iCs/>
          <w:color w:val="404040"/>
          <w:sz w:val="22"/>
          <w:szCs w:val="22"/>
        </w:rPr>
        <w:t xml:space="preserve">"Stacked generalization works by deducing the biases of the generalizer(s) with respect to a provided learning set. This deduction proceeds by generalizing in a second space whose inputs are the guesses of the original generalizers when taught with part of the learning set and trying to guess the rest of it, and whose output is the correct guess."</w:t>
      </w:r>
      <w:r>
        <w:rPr>
          <w:rFonts w:ascii="Arial" w:cs="Arial" w:eastAsia="Arial" w:hAnsi="Arial"/>
          <w:color w:val="404040"/>
          <w:sz w:val="22"/>
          <w:szCs w:val="22"/>
        </w:rPr>
        <w:t xml:space="preserve">  — Wolpert (1992, p. 242)</w:t>
      </w:r>
    </w:p>
    <w:p/>
    <w:p>
      <w:pPr>
        <w:spacing w:after="120" w:before="80"/>
      </w:pPr>
      <w:r>
        <w:rPr>
          <w:rFonts w:ascii="Arial" w:cs="Arial" w:eastAsia="Arial" w:hAnsi="Arial"/>
          <w:color w:val="404040"/>
          <w:sz w:val="22"/>
          <w:szCs w:val="22"/>
        </w:rPr>
        <w:t xml:space="preserve">In plain language: rather than picking the best model or averaging all of them, we train a second-level model (the meta-learner) whose job is to learn how to best combine the outputs of the first-level models. The meta-learner can be any model — a linear regression, a tree, a neural network.</w:t>
      </w:r>
    </w:p>
    <w:p>
      <w:pPr>
        <w:pStyle w:val="Heading2"/>
        <w:spacing w:after="100" w:before="280"/>
      </w:pPr>
      <w:r>
        <w:rPr>
          <w:rFonts w:ascii="Arial" w:cs="Arial" w:eastAsia="Arial" w:hAnsi="Arial"/>
          <w:b/>
          <w:bCs/>
          <w:color w:val="2E75B6"/>
          <w:sz w:val="26"/>
          <w:szCs w:val="26"/>
        </w:rPr>
        <w:t xml:space="preserve">5.2  Two-layer architecture</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val="clear"/>
            <w:tcMar>
              <w:top w:type="dxa" w:w="160"/>
              <w:left w:type="dxa" w:w="200"/>
              <w:bottom w:type="dxa" w:w="160"/>
              <w:right w:type="dxa" w:w="200"/>
            </w:tcMar>
          </w:tcPr>
          <w:p>
            <w:pPr>
              <w:spacing w:after="40" w:before="80"/>
            </w:pPr>
            <w:r>
              <w:rPr>
                <w:rFonts w:ascii="Arial" w:cs="Arial" w:eastAsia="Arial" w:hAnsi="Arial"/>
                <w:b/>
                <w:bCs/>
                <w:color w:val="404040"/>
                <w:sz w:val="22"/>
                <w:szCs w:val="22"/>
              </w:rPr>
              <w:t xml:space="preserve">Layer structure:</w:t>
            </w:r>
          </w:p>
          <w:p>
            <w:pPr>
              <w:spacing w:after="20" w:before="40"/>
            </w:pPr>
            <w:r>
              <w:rPr>
                <w:rFonts w:ascii="Courier New" w:cs="Courier New" w:eastAsia="Courier New" w:hAnsi="Courier New"/>
                <w:color w:val="404040"/>
                <w:sz w:val="20"/>
                <w:szCs w:val="20"/>
              </w:rPr>
              <w:t xml:space="preserve">  Input:    x = [feature_1, ..., feature_p]</w:t>
            </w:r>
          </w:p>
          <w:p>
            <w:pPr>
              <w:spacing w:after="20" w:before="20"/>
            </w:pPr>
            <w:r>
              <w:rPr>
                <w:rFonts w:ascii="Courier New" w:cs="Courier New" w:eastAsia="Courier New" w:hAnsi="Courier New"/>
                <w:color w:val="404040"/>
                <w:sz w:val="20"/>
                <w:szCs w:val="20"/>
              </w:rPr>
              <w:t xml:space="preserve">  Stage 1:  Model_A(x)  --&gt;  pred_A</w:t>
            </w:r>
          </w:p>
          <w:p>
            <w:pPr>
              <w:spacing w:after="20" w:before="20"/>
            </w:pPr>
            <w:r>
              <w:rPr>
                <w:rFonts w:ascii="Courier New" w:cs="Courier New" w:eastAsia="Courier New" w:hAnsi="Courier New"/>
                <w:color w:val="404040"/>
                <w:sz w:val="20"/>
                <w:szCs w:val="20"/>
              </w:rPr>
              <w:t xml:space="preserve">             Model_B(x)  --&gt;  pred_B</w:t>
            </w:r>
          </w:p>
          <w:p>
            <w:pPr>
              <w:spacing w:after="40" w:before="20"/>
            </w:pPr>
            <w:r>
              <w:rPr>
                <w:rFonts w:ascii="Courier New" w:cs="Courier New" w:eastAsia="Courier New" w:hAnsi="Courier New"/>
                <w:color w:val="404040"/>
                <w:sz w:val="20"/>
                <w:szCs w:val="20"/>
              </w:rPr>
              <w:t xml:space="preserve">  Stage 2:  g(x, pred_A, pred_B)  --&gt;  final prediction</w:t>
            </w:r>
          </w:p>
          <w:p>
            <w:pPr>
              <w:spacing w:after="120" w:before="80"/>
            </w:pPr>
            <w:r>
              <w:rPr>
                <w:rFonts w:ascii="Arial" w:cs="Arial" w:eastAsia="Arial" w:hAnsi="Arial"/>
                <w:color w:val="404040"/>
                <w:sz w:val="22"/>
                <w:szCs w:val="22"/>
              </w:rPr>
              <w:t xml:space="preserve">In our model: Stage 1 = Random Forest + GBM (each predicting goals scored and conceded). Stage 2 = neural network with 9 inputs (5 original features + 4 Stage-1 predictions).</w:t>
            </w:r>
          </w:p>
        </w:tc>
      </w:tr>
    </w:tbl>
    <w:p/>
    <w:p>
      <w:pPr>
        <w:pStyle w:val="Heading2"/>
        <w:spacing w:after="100" w:before="280"/>
      </w:pPr>
      <w:r>
        <w:rPr>
          <w:rFonts w:ascii="Arial" w:cs="Arial" w:eastAsia="Arial" w:hAnsi="Arial"/>
          <w:b/>
          <w:bCs/>
          <w:color w:val="2E75B6"/>
          <w:sz w:val="26"/>
          <w:szCs w:val="26"/>
        </w:rPr>
        <w:t xml:space="preserve">5.3  Why the meta-learner outperforms simple averaging</w:t>
      </w:r>
    </w:p>
    <w:p>
      <w:pPr>
        <w:spacing w:after="120" w:before="80"/>
      </w:pPr>
      <w:r>
        <w:rPr>
          <w:rFonts w:ascii="Arial" w:cs="Arial" w:eastAsia="Arial" w:hAnsi="Arial"/>
          <w:color w:val="404040"/>
          <w:sz w:val="22"/>
          <w:szCs w:val="22"/>
        </w:rPr>
        <w:t xml:space="preserve">A fixed average implicitly weights all base models equally and unconditionally. The meta-learner does three things that averaging cannot:</w:t>
      </w:r>
    </w:p>
    <w:p>
      <w:pPr>
        <w:pStyle w:val="ListParagraph"/>
        <w:numPr>
          <w:ilvl w:val="0"/>
          <w:numId w:val="3"/>
        </w:numPr>
        <w:spacing w:after="60" w:before="60"/>
        <w:ind w:left="720" w:hanging="360"/>
      </w:pPr>
      <w:r>
        <w:rPr>
          <w:rFonts w:ascii="Arial" w:cs="Arial" w:eastAsia="Arial" w:hAnsi="Arial"/>
          <w:b/>
          <w:bCs/>
          <w:color w:val="404040"/>
          <w:sz w:val="22"/>
          <w:szCs w:val="22"/>
        </w:rPr>
        <w:t xml:space="preserve">Conditional weighting: </w:t>
      </w:r>
      <w:r>
        <w:rPr>
          <w:rFonts w:ascii="Arial" w:cs="Arial" w:eastAsia="Arial" w:hAnsi="Arial"/>
          <w:color w:val="404040"/>
          <w:sz w:val="22"/>
          <w:szCs w:val="22"/>
        </w:rPr>
        <w:t xml:space="preserve">it can learn to trust Model A more in some regions of feature space and Model B more in others.</w:t>
      </w:r>
    </w:p>
    <w:p>
      <w:pPr>
        <w:pStyle w:val="ListParagraph"/>
        <w:numPr>
          <w:ilvl w:val="0"/>
          <w:numId w:val="3"/>
        </w:numPr>
        <w:spacing w:after="60" w:before="60"/>
        <w:ind w:left="720" w:hanging="360"/>
      </w:pPr>
      <w:r>
        <w:rPr>
          <w:rFonts w:ascii="Arial" w:cs="Arial" w:eastAsia="Arial" w:hAnsi="Arial"/>
          <w:b/>
          <w:bCs/>
          <w:color w:val="404040"/>
          <w:sz w:val="22"/>
          <w:szCs w:val="22"/>
        </w:rPr>
        <w:t xml:space="preserve">Systematic bias correction: </w:t>
      </w:r>
      <w:r>
        <w:rPr>
          <w:rFonts w:ascii="Arial" w:cs="Arial" w:eastAsia="Arial" w:hAnsi="Arial"/>
          <w:color w:val="404040"/>
          <w:sz w:val="22"/>
          <w:szCs w:val="22"/>
        </w:rPr>
        <w:t xml:space="preserve">if both base models consistently underpredict for home games between high-value squads, the meta-learner can learn and correct this.</w:t>
      </w:r>
    </w:p>
    <w:p>
      <w:pPr>
        <w:pStyle w:val="ListParagraph"/>
        <w:numPr>
          <w:ilvl w:val="0"/>
          <w:numId w:val="3"/>
        </w:numPr>
        <w:spacing w:after="60" w:before="60"/>
        <w:ind w:left="720" w:hanging="360"/>
      </w:pPr>
      <w:r>
        <w:rPr>
          <w:rFonts w:ascii="Arial" w:cs="Arial" w:eastAsia="Arial" w:hAnsi="Arial"/>
          <w:b/>
          <w:bCs/>
          <w:color w:val="404040"/>
          <w:sz w:val="22"/>
          <w:szCs w:val="22"/>
        </w:rPr>
        <w:t xml:space="preserve">Disagreement signals: </w:t>
      </w:r>
      <w:r>
        <w:rPr>
          <w:rFonts w:ascii="Arial" w:cs="Arial" w:eastAsia="Arial" w:hAnsi="Arial"/>
          <w:color w:val="404040"/>
          <w:sz w:val="22"/>
          <w:szCs w:val="22"/>
        </w:rPr>
        <w:t xml:space="preserve">when the base models disagree strongly, the meta-learner can learn that this itself is informative — e.g. "when RF and GBM disagree by more than 1 goal, lean toward the lower prediction."</w:t>
      </w:r>
    </w:p>
    <w:p>
      <w:pPr>
        <w:pStyle w:val="Heading2"/>
        <w:spacing w:after="100" w:before="280"/>
      </w:pPr>
      <w:r>
        <w:rPr>
          <w:rFonts w:ascii="Arial" w:cs="Arial" w:eastAsia="Arial" w:hAnsi="Arial"/>
          <w:b/>
          <w:bCs/>
          <w:color w:val="2E75B6"/>
          <w:sz w:val="26"/>
          <w:szCs w:val="26"/>
        </w:rPr>
        <w:t xml:space="preserve">5.4  The data leakage problem and the OOF solution</w:t>
      </w:r>
    </w:p>
    <w:p>
      <w:pPr>
        <w:spacing w:after="120" w:before="80"/>
      </w:pPr>
      <w:r>
        <w:rPr>
          <w:rFonts w:ascii="Arial" w:cs="Arial" w:eastAsia="Arial" w:hAnsi="Arial"/>
          <w:color w:val="404040"/>
          <w:sz w:val="22"/>
          <w:szCs w:val="22"/>
        </w:rPr>
        <w:t xml:space="preserve">The most critical technical detail in stacking is preventing data leakage. If you train Model A on the full training set and then feed its predictions on those same rows to the meta-learner, Model A will look artificially accurate — it has already memorised the training data. The meta-learner will over-trust it and fail badly on new data.</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60"/>
              <w:left w:type="dxa" w:w="200"/>
              <w:bottom w:type="dxa" w:w="160"/>
              <w:right w:type="dxa" w:w="200"/>
            </w:tcMar>
          </w:tcPr>
          <w:p>
            <w:pPr>
              <w:spacing w:after="40" w:before="80"/>
            </w:pPr>
            <w:r>
              <w:rPr>
                <w:rFonts w:ascii="Arial" w:cs="Arial" w:eastAsia="Arial" w:hAnsi="Arial"/>
                <w:b/>
                <w:bCs/>
                <w:color w:val="404040"/>
                <w:sz w:val="22"/>
                <w:szCs w:val="22"/>
              </w:rPr>
              <w:t xml:space="preserve">Solution: Out-of-Fold (OOF) predictions via k-fold cross-validation</w:t>
            </w:r>
          </w:p>
          <w:p>
            <w:pPr>
              <w:pStyle w:val="ListParagraph"/>
              <w:numPr>
                <w:ilvl w:val="0"/>
                <w:numId w:val="2"/>
              </w:numPr>
              <w:spacing w:after="60" w:before="60"/>
              <w:ind w:left="720" w:hanging="360"/>
            </w:pPr>
            <w:r>
              <w:rPr>
                <w:rFonts w:ascii="Arial" w:cs="Arial" w:eastAsia="Arial" w:hAnsi="Arial"/>
                <w:color w:val="404040"/>
                <w:sz w:val="22"/>
                <w:szCs w:val="22"/>
              </w:rPr>
              <w:t xml:space="preserve">Partition the training data into k folds (we used k = 5).</w:t>
            </w:r>
          </w:p>
          <w:p>
            <w:pPr>
              <w:pStyle w:val="ListParagraph"/>
              <w:numPr>
                <w:ilvl w:val="0"/>
                <w:numId w:val="2"/>
              </w:numPr>
              <w:spacing w:after="60" w:before="60"/>
              <w:ind w:left="720" w:hanging="360"/>
            </w:pPr>
            <w:r>
              <w:rPr>
                <w:rFonts w:ascii="Arial" w:cs="Arial" w:eastAsia="Arial" w:hAnsi="Arial"/>
                <w:color w:val="404040"/>
                <w:sz w:val="22"/>
                <w:szCs w:val="22"/>
              </w:rPr>
              <w:t xml:space="preserve">For each fold j: train all base models on the other k−1 folds, then predict fold j. The model never saw fold j during training.</w:t>
            </w:r>
          </w:p>
          <w:p>
            <w:pPr>
              <w:pStyle w:val="ListParagraph"/>
              <w:numPr>
                <w:ilvl w:val="0"/>
                <w:numId w:val="2"/>
              </w:numPr>
              <w:spacing w:after="60" w:before="60"/>
              <w:ind w:left="720" w:hanging="360"/>
            </w:pPr>
            <w:r>
              <w:rPr>
                <w:rFonts w:ascii="Arial" w:cs="Arial" w:eastAsia="Arial" w:hAnsi="Arial"/>
                <w:color w:val="404040"/>
                <w:sz w:val="22"/>
                <w:szCs w:val="22"/>
              </w:rPr>
              <w:t xml:space="preserve">After all k rounds: every row has an OOF prediction — honest, uncontaminated by the model having seen that row.</w:t>
            </w:r>
          </w:p>
          <w:p>
            <w:pPr>
              <w:pStyle w:val="ListParagraph"/>
              <w:numPr>
                <w:ilvl w:val="0"/>
                <w:numId w:val="2"/>
              </w:numPr>
              <w:spacing w:after="60" w:before="60"/>
              <w:ind w:left="720" w:hanging="360"/>
            </w:pPr>
            <w:r>
              <w:rPr>
                <w:rFonts w:ascii="Arial" w:cs="Arial" w:eastAsia="Arial" w:hAnsi="Arial"/>
                <w:color w:val="404040"/>
                <w:sz w:val="22"/>
                <w:szCs w:val="22"/>
              </w:rPr>
              <w:t xml:space="preserve">Train the meta-learner on these OOF predictions (no leakage).</w:t>
            </w:r>
          </w:p>
          <w:p>
            <w:pPr>
              <w:pStyle w:val="ListParagraph"/>
              <w:numPr>
                <w:ilvl w:val="0"/>
                <w:numId w:val="2"/>
              </w:numPr>
              <w:spacing w:after="60" w:before="60"/>
              <w:ind w:left="720" w:hanging="360"/>
            </w:pPr>
            <w:r>
              <w:rPr>
                <w:rFonts w:ascii="Arial" w:cs="Arial" w:eastAsia="Arial" w:hAnsi="Arial"/>
                <w:color w:val="404040"/>
                <w:sz w:val="22"/>
                <w:szCs w:val="22"/>
              </w:rPr>
              <w:t xml:space="preserve">For final test prediction: re-train base models on all training data (maximum accuracy), use those predictions as meta-learner inputs.</w:t>
            </w:r>
          </w:p>
          <w:p/>
          <w:p>
            <w:pPr>
              <w:spacing w:after="120" w:before="80"/>
            </w:pPr>
            <w:r>
              <w:rPr>
                <w:rFonts w:ascii="Arial" w:cs="Arial" w:eastAsia="Arial" w:hAnsi="Arial"/>
                <w:color w:val="404040"/>
                <w:sz w:val="22"/>
                <w:szCs w:val="22"/>
              </w:rPr>
              <w:t xml:space="preserve">This procedure is sometimes called </w:t>
            </w:r>
            <w:r>
              <w:rPr>
                <w:rFonts w:ascii="Arial" w:cs="Arial" w:eastAsia="Arial" w:hAnsi="Arial"/>
                <w:b/>
                <w:bCs/>
                <w:color w:val="404040"/>
                <w:sz w:val="22"/>
                <w:szCs w:val="22"/>
              </w:rPr>
              <w:t xml:space="preserve">cross-validation stacking</w:t>
            </w:r>
            <w:r>
              <w:rPr>
                <w:rFonts w:ascii="Arial" w:cs="Arial" w:eastAsia="Arial" w:hAnsi="Arial"/>
                <w:color w:val="404040"/>
                <w:sz w:val="22"/>
                <w:szCs w:val="22"/>
              </w:rPr>
              <w:t xml:space="preserve"> or </w:t>
            </w:r>
            <w:r>
              <w:rPr>
                <w:rFonts w:ascii="Arial" w:cs="Arial" w:eastAsia="Arial" w:hAnsi="Arial"/>
                <w:b/>
                <w:bCs/>
                <w:color w:val="404040"/>
                <w:sz w:val="22"/>
                <w:szCs w:val="22"/>
              </w:rPr>
              <w:t xml:space="preserve">blending</w:t>
            </w:r>
            <w:r>
              <w:rPr>
                <w:rFonts w:ascii="Arial" w:cs="Arial" w:eastAsia="Arial" w:hAnsi="Arial"/>
                <w:color w:val="404040"/>
                <w:sz w:val="22"/>
                <w:szCs w:val="22"/>
              </w:rPr>
              <w:t xml:space="preserve">. Wolpert (1992) described it; Ting and Witten (1999) formalised the analysis of when it helps.</w:t>
            </w:r>
          </w:p>
        </w:tc>
      </w:tr>
    </w:tbl>
    <w:p/>
    <w:p>
      <w:pPr>
        <w:pStyle w:val="Heading2"/>
        <w:spacing w:after="100" w:before="280"/>
      </w:pPr>
      <w:r>
        <w:rPr>
          <w:rFonts w:ascii="Arial" w:cs="Arial" w:eastAsia="Arial" w:hAnsi="Arial"/>
          <w:b/>
          <w:bCs/>
          <w:color w:val="2E75B6"/>
          <w:sz w:val="26"/>
          <w:szCs w:val="26"/>
        </w:rPr>
        <w:t xml:space="preserve">5.5  Choosing the meta-learner</w:t>
      </w:r>
    </w:p>
    <w:p>
      <w:pPr>
        <w:spacing w:after="120" w:before="80"/>
      </w:pPr>
      <w:r>
        <w:rPr>
          <w:rFonts w:ascii="Arial" w:cs="Arial" w:eastAsia="Arial" w:hAnsi="Arial"/>
          <w:color w:val="404040"/>
          <w:sz w:val="22"/>
          <w:szCs w:val="22"/>
        </w:rPr>
        <w:t xml:space="preserve">In principle any model can serve as the meta-learner. Common choices and their trade-offs: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Meta-learner</w:t>
            </w:r>
          </w:p>
        </w:tc>
        <w:tc>
          <w:tcPr>
            <w:tcW w:type="dxa" w:w="35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Advantage</w:t>
            </w:r>
          </w:p>
        </w:tc>
        <w:tc>
          <w:tcPr>
            <w:tcW w:type="dxa" w:w="35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Limitation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Linear regression</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Interpretable weights; low risk of overfitting</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Cannot learn non-linear blends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Ridge / Lasso</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Regularised; handles correlated base models</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Still linear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Neural network</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Learns non-linear, context-dependent blends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Needs tuning; can overfit on small datasets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Another tree/RF</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Robust; automatic feature selection</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May not improve over base models if diverse enough</w:t>
            </w:r>
          </w:p>
        </w:tc>
      </w:tr>
    </w:tbl>
    <w:p/>
    <w:p>
      <w:pPr>
        <w:spacing w:after="120" w:before="80"/>
      </w:pPr>
      <w:r>
        <w:rPr>
          <w:rFonts w:ascii="Arial" w:cs="Arial" w:eastAsia="Arial" w:hAnsi="Arial"/>
          <w:color w:val="404040"/>
          <w:sz w:val="22"/>
          <w:szCs w:val="22"/>
        </w:rPr>
        <w:t xml:space="preserve">We chose a neural network because we wanted it to learn context-dependent blending (e.g. trust the GBM more when squad values are very unequal) and because the tree models already provide good first-stage predictions, reducing the network's learning burden.</w:t>
      </w:r>
    </w:p>
    <w:p/>
    <w:p>
      <w:pPr>
        <w:pStyle w:val="Heading1"/>
        <w:spacing w:after="120" w:before="360"/>
      </w:pPr>
      <w:r>
        <w:rPr>
          <w:rFonts w:ascii="Arial" w:cs="Arial" w:eastAsia="Arial" w:hAnsi="Arial"/>
          <w:b/>
          <w:bCs/>
          <w:color w:val="1F4E79"/>
          <w:sz w:val="32"/>
          <w:szCs w:val="32"/>
        </w:rPr>
        <w:t xml:space="preserve">6.  Missing variables — what else matters?</w:t>
      </w:r>
    </w:p>
    <w:p>
      <w:pPr>
        <w:spacing w:after="120" w:before="80"/>
      </w:pPr>
      <w:r>
        <w:rPr>
          <w:rFonts w:ascii="Arial" w:cs="Arial" w:eastAsia="Arial" w:hAnsi="Arial"/>
          <w:color w:val="404040"/>
          <w:sz w:val="22"/>
          <w:szCs w:val="22"/>
        </w:rPr>
        <w:t xml:space="preserve">The current model uses five features: squad value, opponent squad value, home advantage, team form (last 5 games), and opponent form. The importance scores showed that form dominates squad value, and home advantage is surprisingly weak in this dataset. Several important variables are absent:</w:t>
      </w:r>
    </w:p>
    <w:p/>
    <w:p>
      <w:pPr>
        <w:pStyle w:val="ListParagraph"/>
        <w:numPr>
          <w:ilvl w:val="0"/>
          <w:numId w:val="3"/>
        </w:numPr>
        <w:spacing w:after="60" w:before="60"/>
        <w:ind w:left="720" w:hanging="360"/>
      </w:pPr>
      <w:r>
        <w:rPr>
          <w:rFonts w:ascii="Arial" w:cs="Arial" w:eastAsia="Arial" w:hAnsi="Arial"/>
          <w:b/>
          <w:bCs/>
          <w:color w:val="404040"/>
          <w:sz w:val="22"/>
          <w:szCs w:val="22"/>
        </w:rPr>
        <w:t xml:space="preserve">Expected Goals (xG / xGA): </w:t>
      </w:r>
      <w:r>
        <w:rPr>
          <w:rFonts w:ascii="Arial" w:cs="Arial" w:eastAsia="Arial" w:hAnsi="Arial"/>
          <w:color w:val="404040"/>
          <w:sz w:val="22"/>
          <w:szCs w:val="22"/>
        </w:rPr>
        <w:t xml:space="preserve">the quality of chances created and conceded, not just outcomes. xG is widely considered the best available predictor of future match results. Freely available from FBref, Understat, and StatsBomb.</w:t>
      </w:r>
    </w:p>
    <w:p>
      <w:pPr>
        <w:pStyle w:val="ListParagraph"/>
        <w:numPr>
          <w:ilvl w:val="0"/>
          <w:numId w:val="3"/>
        </w:numPr>
        <w:spacing w:after="60" w:before="60"/>
        <w:ind w:left="720" w:hanging="360"/>
      </w:pPr>
      <w:r>
        <w:rPr>
          <w:rFonts w:ascii="Arial" w:cs="Arial" w:eastAsia="Arial" w:hAnsi="Arial"/>
          <w:b/>
          <w:bCs/>
          <w:color w:val="404040"/>
          <w:sz w:val="22"/>
          <w:szCs w:val="22"/>
        </w:rPr>
        <w:t xml:space="preserve">Injury and suspension data: </w:t>
      </w:r>
      <w:r>
        <w:rPr>
          <w:rFonts w:ascii="Arial" w:cs="Arial" w:eastAsia="Arial" w:hAnsi="Arial"/>
          <w:color w:val="404040"/>
          <w:sz w:val="22"/>
          <w:szCs w:val="22"/>
        </w:rPr>
        <w:t xml:space="preserve">the absence of a key player has large match-level effects that squad value cannot capture. Available from Transfermarkt and club official sources.</w:t>
      </w:r>
    </w:p>
    <w:p>
      <w:pPr>
        <w:pStyle w:val="ListParagraph"/>
        <w:numPr>
          <w:ilvl w:val="0"/>
          <w:numId w:val="3"/>
        </w:numPr>
        <w:spacing w:after="60" w:before="60"/>
        <w:ind w:left="720" w:hanging="360"/>
      </w:pPr>
      <w:r>
        <w:rPr>
          <w:rFonts w:ascii="Arial" w:cs="Arial" w:eastAsia="Arial" w:hAnsi="Arial"/>
          <w:b/>
          <w:bCs/>
          <w:color w:val="404040"/>
          <w:sz w:val="22"/>
          <w:szCs w:val="22"/>
        </w:rPr>
        <w:t xml:space="preserve">Fixture congestion / days of rest: </w:t>
      </w:r>
      <w:r>
        <w:rPr>
          <w:rFonts w:ascii="Arial" w:cs="Arial" w:eastAsia="Arial" w:hAnsi="Arial"/>
          <w:color w:val="404040"/>
          <w:sz w:val="22"/>
          <w:szCs w:val="22"/>
        </w:rPr>
        <w:t xml:space="preserve">a team in its third match in seven days is structurally disadvantaged. Easily computed from the fixture schedule.</w:t>
      </w:r>
    </w:p>
    <w:p>
      <w:pPr>
        <w:pStyle w:val="ListParagraph"/>
        <w:numPr>
          <w:ilvl w:val="0"/>
          <w:numId w:val="3"/>
        </w:numPr>
        <w:spacing w:after="60" w:before="60"/>
        <w:ind w:left="720" w:hanging="360"/>
      </w:pPr>
      <w:r>
        <w:rPr>
          <w:rFonts w:ascii="Arial" w:cs="Arial" w:eastAsia="Arial" w:hAnsi="Arial"/>
          <w:b/>
          <w:bCs/>
          <w:color w:val="404040"/>
          <w:sz w:val="22"/>
          <w:szCs w:val="22"/>
        </w:rPr>
        <w:t xml:space="preserve">Head-to-head record: </w:t>
      </w:r>
      <w:r>
        <w:rPr>
          <w:rFonts w:ascii="Arial" w:cs="Arial" w:eastAsia="Arial" w:hAnsi="Arial"/>
          <w:color w:val="404040"/>
          <w:sz w:val="22"/>
          <w:szCs w:val="22"/>
        </w:rPr>
        <w:t xml:space="preserve">some clubs consistently outperform expectations against specific opponents. A feature encoding the win rate across the last 5 meetings captures this.</w:t>
      </w:r>
    </w:p>
    <w:p>
      <w:pPr>
        <w:pStyle w:val="ListParagraph"/>
        <w:numPr>
          <w:ilvl w:val="0"/>
          <w:numId w:val="3"/>
        </w:numPr>
        <w:spacing w:after="60" w:before="60"/>
        <w:ind w:left="720" w:hanging="360"/>
      </w:pPr>
      <w:r>
        <w:rPr>
          <w:rFonts w:ascii="Arial" w:cs="Arial" w:eastAsia="Arial" w:hAnsi="Arial"/>
          <w:b/>
          <w:bCs/>
          <w:color w:val="404040"/>
          <w:sz w:val="22"/>
          <w:szCs w:val="22"/>
        </w:rPr>
        <w:t xml:space="preserve">Managerial change: </w:t>
      </w:r>
      <w:r>
        <w:rPr>
          <w:rFonts w:ascii="Arial" w:cs="Arial" w:eastAsia="Arial" w:hAnsi="Arial"/>
          <w:color w:val="404040"/>
          <w:sz w:val="22"/>
          <w:szCs w:val="22"/>
        </w:rPr>
        <w:t xml:space="preserve">New managers produce a short-term results improvement (the "new manager bounce"). A binary flag for a managerial change within the last 6 weeks is simple and effective.</w:t>
      </w:r>
    </w:p>
    <w:p>
      <w:pPr>
        <w:pStyle w:val="ListParagraph"/>
        <w:numPr>
          <w:ilvl w:val="0"/>
          <w:numId w:val="3"/>
        </w:numPr>
        <w:spacing w:after="60" w:before="60"/>
        <w:ind w:left="720" w:hanging="360"/>
      </w:pPr>
      <w:r>
        <w:rPr>
          <w:rFonts w:ascii="Arial" w:cs="Arial" w:eastAsia="Arial" w:hAnsi="Arial"/>
          <w:b/>
          <w:bCs/>
          <w:color w:val="404040"/>
          <w:sz w:val="22"/>
          <w:szCs w:val="22"/>
        </w:rPr>
        <w:t xml:space="preserve">Market odds (implied probabilities): </w:t>
      </w:r>
      <w:r>
        <w:rPr>
          <w:rFonts w:ascii="Arial" w:cs="Arial" w:eastAsia="Arial" w:hAnsi="Arial"/>
          <w:color w:val="404040"/>
          <w:sz w:val="22"/>
          <w:szCs w:val="22"/>
        </w:rPr>
        <w:t xml:space="preserve">betting markets aggregate information from thousands of forecasters. Including odds-implied win probability as a feature effectively incorporates crowd wisdom.</w:t>
      </w:r>
    </w:p>
    <w:p>
      <w:pPr>
        <w:pStyle w:val="ListParagraph"/>
        <w:numPr>
          <w:ilvl w:val="0"/>
          <w:numId w:val="3"/>
        </w:numPr>
        <w:spacing w:after="60" w:before="60"/>
        <w:ind w:left="720" w:hanging="360"/>
      </w:pPr>
      <w:r>
        <w:rPr>
          <w:rFonts w:ascii="Arial" w:cs="Arial" w:eastAsia="Arial" w:hAnsi="Arial"/>
          <w:b/>
          <w:bCs/>
          <w:color w:val="404040"/>
          <w:sz w:val="22"/>
          <w:szCs w:val="22"/>
        </w:rPr>
        <w:t xml:space="preserve">Weather conditions: </w:t>
      </w:r>
      <w:r>
        <w:rPr>
          <w:rFonts w:ascii="Arial" w:cs="Arial" w:eastAsia="Arial" w:hAnsi="Arial"/>
          <w:color w:val="404040"/>
          <w:sz w:val="22"/>
          <w:szCs w:val="22"/>
        </w:rPr>
        <w:t xml:space="preserve">wind and rain reduce goal counts and narrow the quality gap between teams. Available via public weather APIs matched to match date and venue.</w:t>
      </w:r>
    </w:p>
    <w:p/>
    <w:p>
      <w:pPr>
        <w:pStyle w:val="Heading1"/>
        <w:spacing w:after="120" w:before="360"/>
      </w:pPr>
      <w:r>
        <w:rPr>
          <w:rFonts w:ascii="Arial" w:cs="Arial" w:eastAsia="Arial" w:hAnsi="Arial"/>
          <w:b/>
          <w:bCs/>
          <w:color w:val="1F4E79"/>
          <w:sz w:val="32"/>
          <w:szCs w:val="32"/>
        </w:rPr>
        <w:t xml:space="preserve">7.  References</w:t>
      </w:r>
    </w:p>
    <w:p>
      <w:pPr>
        <w:pBdr>
          <w:bottom w:val="single" w:color="2E75B6" w:sz="6" w:space="1"/>
        </w:pBdr>
        <w:spacing w:after="200" w:before="200"/>
      </w:pPr>
    </w:p>
    <w:p>
      <w:pPr>
        <w:spacing w:after="120" w:before="80"/>
      </w:pPr>
      <w:r>
        <w:rPr>
          <w:rFonts w:ascii="Arial" w:cs="Arial" w:eastAsia="Arial" w:hAnsi="Arial"/>
          <w:color w:val="404040"/>
          <w:sz w:val="22"/>
          <w:szCs w:val="22"/>
        </w:rPr>
        <w:t xml:space="preserve">Primary papers:</w:t>
      </w:r>
    </w:p>
    <w:p/>
    <w:p>
      <w:pPr>
        <w:spacing w:after="100" w:before="60"/>
        <w:ind w:left="720" w:hanging="720"/>
      </w:pPr>
      <w:r>
        <w:rPr>
          <w:rFonts w:ascii="Arial" w:cs="Arial" w:eastAsia="Arial" w:hAnsi="Arial"/>
          <w:b/>
          <w:bCs/>
          <w:color w:val="404040"/>
          <w:sz w:val="22"/>
          <w:szCs w:val="22"/>
        </w:rPr>
        <w:t xml:space="preserve">Wolpert, D. H. (1992). </w:t>
      </w:r>
      <w:r>
        <w:rPr>
          <w:rFonts w:ascii="Arial" w:cs="Arial" w:eastAsia="Arial" w:hAnsi="Arial"/>
          <w:i/>
          <w:iCs/>
          <w:color w:val="404040"/>
          <w:sz w:val="22"/>
          <w:szCs w:val="22"/>
        </w:rPr>
        <w:t xml:space="preserve">Stacked Generalization. </w:t>
      </w:r>
      <w:r>
        <w:rPr>
          <w:rFonts w:ascii="Arial" w:cs="Arial" w:eastAsia="Arial" w:hAnsi="Arial"/>
          <w:color w:val="404040"/>
          <w:sz w:val="22"/>
          <w:szCs w:val="22"/>
        </w:rPr>
        <w:t xml:space="preserve">Neural Networks, 5(2), 241–259. https://doi.org/10.1016/S0893-6080(05)80023-1</w:t>
      </w:r>
    </w:p>
    <w:p>
      <w:pPr>
        <w:spacing w:after="100" w:before="60"/>
        <w:ind w:left="720" w:hanging="720"/>
      </w:pPr>
      <w:r>
        <w:rPr>
          <w:rFonts w:ascii="Arial" w:cs="Arial" w:eastAsia="Arial" w:hAnsi="Arial"/>
          <w:b/>
          <w:bCs/>
          <w:color w:val="404040"/>
          <w:sz w:val="22"/>
          <w:szCs w:val="22"/>
        </w:rPr>
        <w:t xml:space="preserve">Breiman, L. (1996). </w:t>
      </w:r>
      <w:r>
        <w:rPr>
          <w:rFonts w:ascii="Arial" w:cs="Arial" w:eastAsia="Arial" w:hAnsi="Arial"/>
          <w:i/>
          <w:iCs/>
          <w:color w:val="404040"/>
          <w:sz w:val="22"/>
          <w:szCs w:val="22"/>
        </w:rPr>
        <w:t xml:space="preserve">Bagging Predictors. </w:t>
      </w:r>
      <w:r>
        <w:rPr>
          <w:rFonts w:ascii="Arial" w:cs="Arial" w:eastAsia="Arial" w:hAnsi="Arial"/>
          <w:color w:val="404040"/>
          <w:sz w:val="22"/>
          <w:szCs w:val="22"/>
        </w:rPr>
        <w:t xml:space="preserve">Machine Learning, 24(2), 123–140. https://doi.org/10.1007/BF00058655</w:t>
      </w:r>
    </w:p>
    <w:p>
      <w:pPr>
        <w:spacing w:after="100" w:before="60"/>
        <w:ind w:left="720" w:hanging="720"/>
      </w:pPr>
      <w:r>
        <w:rPr>
          <w:rFonts w:ascii="Arial" w:cs="Arial" w:eastAsia="Arial" w:hAnsi="Arial"/>
          <w:b/>
          <w:bCs/>
          <w:color w:val="404040"/>
          <w:sz w:val="22"/>
          <w:szCs w:val="22"/>
        </w:rPr>
        <w:t xml:space="preserve">Breiman, L. (1996). </w:t>
      </w:r>
      <w:r>
        <w:rPr>
          <w:rFonts w:ascii="Arial" w:cs="Arial" w:eastAsia="Arial" w:hAnsi="Arial"/>
          <w:i/>
          <w:iCs/>
          <w:color w:val="404040"/>
          <w:sz w:val="22"/>
          <w:szCs w:val="22"/>
        </w:rPr>
        <w:t xml:space="preserve">Stacked Regressions. </w:t>
      </w:r>
      <w:r>
        <w:rPr>
          <w:rFonts w:ascii="Arial" w:cs="Arial" w:eastAsia="Arial" w:hAnsi="Arial"/>
          <w:color w:val="404040"/>
          <w:sz w:val="22"/>
          <w:szCs w:val="22"/>
        </w:rPr>
        <w:t xml:space="preserve">Machine Learning, 24(1), 49–64.</w:t>
      </w:r>
    </w:p>
    <w:p>
      <w:pPr>
        <w:spacing w:after="100" w:before="60"/>
        <w:ind w:left="720" w:hanging="720"/>
      </w:pPr>
      <w:r>
        <w:rPr>
          <w:rFonts w:ascii="Arial" w:cs="Arial" w:eastAsia="Arial" w:hAnsi="Arial"/>
          <w:b/>
          <w:bCs/>
          <w:color w:val="404040"/>
          <w:sz w:val="22"/>
          <w:szCs w:val="22"/>
        </w:rPr>
        <w:t xml:space="preserve">Freund, Y. &amp; Schapire, R. (1997). </w:t>
      </w:r>
      <w:r>
        <w:rPr>
          <w:rFonts w:ascii="Arial" w:cs="Arial" w:eastAsia="Arial" w:hAnsi="Arial"/>
          <w:i/>
          <w:iCs/>
          <w:color w:val="404040"/>
          <w:sz w:val="22"/>
          <w:szCs w:val="22"/>
        </w:rPr>
        <w:t xml:space="preserve">A Decision-Theoretic Generalization of On-line Learning and an Application to Boosting. </w:t>
      </w:r>
      <w:r>
        <w:rPr>
          <w:rFonts w:ascii="Arial" w:cs="Arial" w:eastAsia="Arial" w:hAnsi="Arial"/>
          <w:color w:val="404040"/>
          <w:sz w:val="22"/>
          <w:szCs w:val="22"/>
        </w:rPr>
        <w:t xml:space="preserve">Journal of Computer and System Sciences, 55(1), 119–139.</w:t>
      </w:r>
    </w:p>
    <w:p>
      <w:pPr>
        <w:spacing w:after="100" w:before="60"/>
        <w:ind w:left="720" w:hanging="720"/>
      </w:pPr>
      <w:r>
        <w:rPr>
          <w:rFonts w:ascii="Arial" w:cs="Arial" w:eastAsia="Arial" w:hAnsi="Arial"/>
          <w:b/>
          <w:bCs/>
          <w:color w:val="404040"/>
          <w:sz w:val="22"/>
          <w:szCs w:val="22"/>
        </w:rPr>
        <w:t xml:space="preserve">Breiman, L. (2001). </w:t>
      </w:r>
      <w:r>
        <w:rPr>
          <w:rFonts w:ascii="Arial" w:cs="Arial" w:eastAsia="Arial" w:hAnsi="Arial"/>
          <w:i/>
          <w:iCs/>
          <w:color w:val="404040"/>
          <w:sz w:val="22"/>
          <w:szCs w:val="22"/>
        </w:rPr>
        <w:t xml:space="preserve">Random Forests. </w:t>
      </w:r>
      <w:r>
        <w:rPr>
          <w:rFonts w:ascii="Arial" w:cs="Arial" w:eastAsia="Arial" w:hAnsi="Arial"/>
          <w:color w:val="404040"/>
          <w:sz w:val="22"/>
          <w:szCs w:val="22"/>
        </w:rPr>
        <w:t xml:space="preserve">Machine Learning, 45(1), 5–32. https://doi.org/10.1023/A:1010933404324</w:t>
      </w:r>
    </w:p>
    <w:p>
      <w:pPr>
        <w:spacing w:after="100" w:before="60"/>
        <w:ind w:left="720" w:hanging="720"/>
      </w:pPr>
      <w:r>
        <w:rPr>
          <w:rFonts w:ascii="Arial" w:cs="Arial" w:eastAsia="Arial" w:hAnsi="Arial"/>
          <w:b/>
          <w:bCs/>
          <w:color w:val="404040"/>
          <w:sz w:val="22"/>
          <w:szCs w:val="22"/>
        </w:rPr>
        <w:t xml:space="preserve">Friedman, J. H. (2001). </w:t>
      </w:r>
      <w:r>
        <w:rPr>
          <w:rFonts w:ascii="Arial" w:cs="Arial" w:eastAsia="Arial" w:hAnsi="Arial"/>
          <w:i/>
          <w:iCs/>
          <w:color w:val="404040"/>
          <w:sz w:val="22"/>
          <w:szCs w:val="22"/>
        </w:rPr>
        <w:t xml:space="preserve">Greedy Function Approximation: A Gradient Boosting Machine. </w:t>
      </w:r>
      <w:r>
        <w:rPr>
          <w:rFonts w:ascii="Arial" w:cs="Arial" w:eastAsia="Arial" w:hAnsi="Arial"/>
          <w:color w:val="404040"/>
          <w:sz w:val="22"/>
          <w:szCs w:val="22"/>
        </w:rPr>
        <w:t xml:space="preserve">Annals of Statistics, 29(5), 1189–1232. https://doi.org/10.1214/aos/1013203451</w:t>
      </w:r>
    </w:p>
    <w:p>
      <w:pPr>
        <w:spacing w:after="100" w:before="60"/>
        <w:ind w:left="720" w:hanging="720"/>
      </w:pPr>
      <w:r>
        <w:rPr>
          <w:rFonts w:ascii="Arial" w:cs="Arial" w:eastAsia="Arial" w:hAnsi="Arial"/>
          <w:b/>
          <w:bCs/>
          <w:color w:val="404040"/>
          <w:sz w:val="22"/>
          <w:szCs w:val="22"/>
        </w:rPr>
        <w:t xml:space="preserve">Ting, K. M. &amp; Witten, I. H. (1999). </w:t>
      </w:r>
      <w:r>
        <w:rPr>
          <w:rFonts w:ascii="Arial" w:cs="Arial" w:eastAsia="Arial" w:hAnsi="Arial"/>
          <w:i/>
          <w:iCs/>
          <w:color w:val="404040"/>
          <w:sz w:val="22"/>
          <w:szCs w:val="22"/>
        </w:rPr>
        <w:t xml:space="preserve">Issues in Stacked Generalization. </w:t>
      </w:r>
      <w:r>
        <w:rPr>
          <w:rFonts w:ascii="Arial" w:cs="Arial" w:eastAsia="Arial" w:hAnsi="Arial"/>
          <w:color w:val="404040"/>
          <w:sz w:val="22"/>
          <w:szCs w:val="22"/>
        </w:rPr>
        <w:t xml:space="preserve">Journal of Artificial Intelligence Research, 10, 271–289.</w:t>
      </w:r>
    </w:p>
    <w:p/>
    <w:p>
      <w:pPr>
        <w:spacing w:after="120" w:before="80"/>
      </w:pPr>
      <w:r>
        <w:rPr>
          <w:rFonts w:ascii="Arial" w:cs="Arial" w:eastAsia="Arial" w:hAnsi="Arial"/>
          <w:color w:val="404040"/>
          <w:sz w:val="22"/>
          <w:szCs w:val="22"/>
        </w:rPr>
        <w:t xml:space="preserve">Recommended textbooks:</w:t>
      </w:r>
    </w:p>
    <w:p/>
    <w:p>
      <w:pPr>
        <w:spacing w:after="100" w:before="60"/>
        <w:ind w:left="720" w:hanging="720"/>
      </w:pPr>
      <w:r>
        <w:rPr>
          <w:rFonts w:ascii="Arial" w:cs="Arial" w:eastAsia="Arial" w:hAnsi="Arial"/>
          <w:b/>
          <w:bCs/>
          <w:color w:val="404040"/>
          <w:sz w:val="22"/>
          <w:szCs w:val="22"/>
        </w:rPr>
        <w:t xml:space="preserve">Hastie, T., Tibshirani, R. &amp; Friedman, J. (2009). </w:t>
      </w:r>
      <w:r>
        <w:rPr>
          <w:rFonts w:ascii="Arial" w:cs="Arial" w:eastAsia="Arial" w:hAnsi="Arial"/>
          <w:i/>
          <w:iCs/>
          <w:color w:val="404040"/>
          <w:sz w:val="22"/>
          <w:szCs w:val="22"/>
        </w:rPr>
        <w:t xml:space="preserve">The Elements of Statistical Learning (2nd ed.), Chapter 16. </w:t>
      </w:r>
      <w:r>
        <w:rPr>
          <w:rFonts w:ascii="Arial" w:cs="Arial" w:eastAsia="Arial" w:hAnsi="Arial"/>
          <w:color w:val="404040"/>
          <w:sz w:val="22"/>
          <w:szCs w:val="22"/>
        </w:rPr>
        <w:t xml:space="preserve">Springer. https://hastie.su.domains/ElemStatLearn/</w:t>
      </w:r>
    </w:p>
    <w:p>
      <w:pPr>
        <w:spacing w:after="100" w:before="60"/>
        <w:ind w:left="720" w:hanging="720"/>
      </w:pPr>
      <w:r>
        <w:rPr>
          <w:rFonts w:ascii="Arial" w:cs="Arial" w:eastAsia="Arial" w:hAnsi="Arial"/>
          <w:b/>
          <w:bCs/>
          <w:color w:val="404040"/>
          <w:sz w:val="22"/>
          <w:szCs w:val="22"/>
        </w:rPr>
        <w:t xml:space="preserve">James, G., Witten, D., Hastie, T. &amp; Tibshirani, R. (2021). </w:t>
      </w:r>
      <w:r>
        <w:rPr>
          <w:rFonts w:ascii="Arial" w:cs="Arial" w:eastAsia="Arial" w:hAnsi="Arial"/>
          <w:i/>
          <w:iCs/>
          <w:color w:val="404040"/>
          <w:sz w:val="22"/>
          <w:szCs w:val="22"/>
        </w:rPr>
        <w:t xml:space="preserve">An Introduction to Statistical Learning (2nd ed.), Chapter 8. </w:t>
      </w:r>
      <w:r>
        <w:rPr>
          <w:rFonts w:ascii="Arial" w:cs="Arial" w:eastAsia="Arial" w:hAnsi="Arial"/>
          <w:color w:val="404040"/>
          <w:sz w:val="22"/>
          <w:szCs w:val="22"/>
        </w:rPr>
        <w:t xml:space="preserve">Springer. https://www.statlearning.com</w:t>
      </w:r>
    </w:p>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Stacked Generalisation — Lecture Notes   |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2026-04-20T14:17:12.890Z</dcterms:created>
  <dcterms:modified xsi:type="dcterms:W3CDTF">2026-04-20T14:17:12.891Z</dcterms:modified>
</cp:coreProperties>
</file>

<file path=docProps/custom.xml><?xml version="1.0" encoding="utf-8"?>
<Properties xmlns="http://schemas.openxmlformats.org/officeDocument/2006/custom-properties" xmlns:vt="http://schemas.openxmlformats.org/officeDocument/2006/docPropsVTypes"/>
</file>