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69091B" w:rsidRDefault="00A11900" w:rsidP="00FA63AA">
      <w:pPr>
        <w:pStyle w:val="Ttulo"/>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FA63AA"/>
    <w:p w14:paraId="0D79816B" w14:textId="77777777" w:rsidR="00A11900" w:rsidRDefault="00A11900" w:rsidP="00A11900">
      <w:pPr>
        <w:pStyle w:val="PargrafodaLista"/>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A11900">
      <w:pPr>
        <w:pStyle w:val="PargrafodaLista"/>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A11900">
      <w:pPr>
        <w:pStyle w:val="PargrafodaLista"/>
      </w:pPr>
    </w:p>
    <w:p w14:paraId="40B20F2F" w14:textId="77777777" w:rsidR="00A11900" w:rsidRDefault="00A11900" w:rsidP="00A11900">
      <w:pPr>
        <w:pStyle w:val="PargrafodaLista"/>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e portanto o alias não foi criado</w:t>
      </w:r>
    </w:p>
    <w:p w14:paraId="09FD6794" w14:textId="77777777" w:rsidR="00A11900" w:rsidRDefault="00A11900" w:rsidP="00A11900">
      <w:pPr>
        <w:pStyle w:val="PargrafodaLista"/>
      </w:pPr>
    </w:p>
    <w:p w14:paraId="597B42A6" w14:textId="77777777" w:rsidR="00A11900" w:rsidRDefault="00A11900" w:rsidP="00A11900">
      <w:pPr>
        <w:pStyle w:val="PargrafodaLista"/>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A11900">
      <w:pPr>
        <w:pStyle w:val="PargrafodaLista"/>
      </w:pPr>
    </w:p>
    <w:p w14:paraId="13FA3D8D" w14:textId="77777777" w:rsidR="00A11900" w:rsidRDefault="00A11900" w:rsidP="00A11900">
      <w:pPr>
        <w:pStyle w:val="PargrafodaLista"/>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A11900">
      <w:pPr>
        <w:pStyle w:val="PargrafodaLista"/>
      </w:pPr>
    </w:p>
    <w:p w14:paraId="6FFED015" w14:textId="77777777" w:rsidR="00A11900" w:rsidRDefault="00A11900" w:rsidP="00A11900">
      <w:pPr>
        <w:pStyle w:val="PargrafodaLista"/>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A11900">
      <w:pPr>
        <w:pStyle w:val="PargrafodaLista"/>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A11900">
      <w:pPr>
        <w:pStyle w:val="PargrafodaLista"/>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A11900">
      <w:pPr>
        <w:pStyle w:val="PargrafodaLista"/>
      </w:pPr>
    </w:p>
    <w:p w14:paraId="3EBC879E" w14:textId="77777777" w:rsidR="00A11900" w:rsidRDefault="00F977DC" w:rsidP="00F977DC">
      <w:pPr>
        <w:pStyle w:val="PargrafodaLista"/>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F977DC">
      <w:pPr>
        <w:pStyle w:val="PargrafodaLista"/>
      </w:pPr>
    </w:p>
    <w:p w14:paraId="103B0722" w14:textId="77777777" w:rsidR="00F977DC" w:rsidRDefault="00F977DC" w:rsidP="00F977DC">
      <w:pPr>
        <w:pStyle w:val="PargrafodaLista"/>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F977DC">
      <w:pPr>
        <w:pStyle w:val="PargrafodaLista"/>
      </w:pPr>
    </w:p>
    <w:p w14:paraId="22FD9586" w14:textId="77777777" w:rsidR="00F977DC" w:rsidRDefault="00F977DC" w:rsidP="00F977DC">
      <w:pPr>
        <w:pStyle w:val="PargrafodaLista"/>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F977DC">
      <w:pPr>
        <w:pStyle w:val="PargrafodaLista"/>
      </w:pPr>
      <w:proofErr w:type="spellStart"/>
      <w:r>
        <w:t>deterministic</w:t>
      </w:r>
      <w:proofErr w:type="spellEnd"/>
      <w:r>
        <w:t xml:space="preserve"> </w:t>
      </w:r>
      <w:proofErr w:type="spellStart"/>
      <w:r>
        <w:t>functions</w:t>
      </w:r>
      <w:proofErr w:type="spellEnd"/>
      <w:r>
        <w:t>?</w:t>
      </w:r>
    </w:p>
    <w:p w14:paraId="2F590E9C" w14:textId="77777777" w:rsidR="00F977DC" w:rsidRDefault="00F977DC" w:rsidP="00F977DC">
      <w:pPr>
        <w:pStyle w:val="PargrafodaLista"/>
      </w:pPr>
    </w:p>
    <w:p w14:paraId="06923DC8" w14:textId="77777777" w:rsidR="00F977DC" w:rsidRDefault="00F977DC" w:rsidP="00F977DC">
      <w:pPr>
        <w:pStyle w:val="PargrafodaLista"/>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GETDATE(), que </w:t>
      </w:r>
      <w:r>
        <w:rPr>
          <w:b/>
        </w:rPr>
        <w:t>não retornará</w:t>
      </w:r>
      <w:r>
        <w:t xml:space="preserve"> o mesmo resultado se executada em momentos diferentes.</w:t>
      </w:r>
    </w:p>
    <w:p w14:paraId="3358E398" w14:textId="77777777" w:rsidR="00F977DC" w:rsidRDefault="00F977DC" w:rsidP="00F977DC">
      <w:pPr>
        <w:pStyle w:val="PargrafodaLista"/>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F977DC">
      <w:pPr>
        <w:pStyle w:val="PargrafodaLista"/>
      </w:pPr>
    </w:p>
    <w:p w14:paraId="0D61D378" w14:textId="77777777" w:rsidR="00E851FC" w:rsidRDefault="00E851FC" w:rsidP="00E851FC">
      <w:pPr>
        <w:pStyle w:val="PargrafodaLista"/>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E851FC">
      <w:pPr>
        <w:pStyle w:val="PargrafodaLista"/>
      </w:pPr>
    </w:p>
    <w:p w14:paraId="2E231B6A" w14:textId="77777777" w:rsidR="00E851FC" w:rsidRDefault="005E4668" w:rsidP="00E851FC">
      <w:pPr>
        <w:pStyle w:val="PargrafodaLista"/>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E851FC">
      <w:pPr>
        <w:pStyle w:val="PargrafodaLista"/>
      </w:pPr>
    </w:p>
    <w:p w14:paraId="0098B687" w14:textId="77777777" w:rsidR="005E4668" w:rsidRDefault="005E4668" w:rsidP="00E851FC">
      <w:pPr>
        <w:pStyle w:val="PargrafodaLista"/>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E851FC">
      <w:pPr>
        <w:pStyle w:val="PargrafodaLista"/>
      </w:pPr>
    </w:p>
    <w:p w14:paraId="58FDE402" w14:textId="77777777" w:rsidR="00ED6DF8" w:rsidRDefault="00ED6DF8" w:rsidP="00E851FC">
      <w:pPr>
        <w:pStyle w:val="PargrafodaLista"/>
      </w:pPr>
    </w:p>
    <w:p w14:paraId="1F20F89F" w14:textId="77777777" w:rsidR="00ED6DF8" w:rsidRDefault="00ED6DF8" w:rsidP="00E851FC">
      <w:pPr>
        <w:pStyle w:val="PargrafodaLista"/>
      </w:pPr>
    </w:p>
    <w:p w14:paraId="4EEEA1B6" w14:textId="77777777" w:rsidR="00ED6DF8" w:rsidRDefault="00ED6DF8" w:rsidP="00ED6DF8">
      <w:pPr>
        <w:pStyle w:val="PargrafodaLista"/>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target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ED6DF8">
      <w:pPr>
        <w:pStyle w:val="PargrafodaLista"/>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ED6DF8">
      <w:pPr>
        <w:pStyle w:val="PargrafodaLista"/>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ED6DF8">
      <w:pPr>
        <w:pStyle w:val="PargrafodaLista"/>
      </w:pPr>
    </w:p>
    <w:p w14:paraId="2C119DAD" w14:textId="77777777" w:rsidR="00324A51" w:rsidRDefault="00324A51" w:rsidP="00ED6DF8">
      <w:pPr>
        <w:pStyle w:val="PargrafodaLista"/>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ED6DF8">
      <w:pPr>
        <w:pStyle w:val="PargrafodaLista"/>
      </w:pPr>
    </w:p>
    <w:p w14:paraId="76DFEA4C" w14:textId="77777777" w:rsidR="00324A51" w:rsidRDefault="00324A51" w:rsidP="00324A51">
      <w:pPr>
        <w:pStyle w:val="PargrafodaLista"/>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324A51">
      <w:pPr>
        <w:pStyle w:val="PargrafodaLista"/>
      </w:pPr>
      <w:r>
        <w:t xml:space="preserve">a </w:t>
      </w:r>
      <w:proofErr w:type="spellStart"/>
      <w:r>
        <w:t>table</w:t>
      </w:r>
      <w:proofErr w:type="spellEnd"/>
      <w:r>
        <w:t>?</w:t>
      </w:r>
    </w:p>
    <w:p w14:paraId="4BA70131" w14:textId="77777777" w:rsidR="00324A51" w:rsidRDefault="00324A51" w:rsidP="00324A51">
      <w:pPr>
        <w:pStyle w:val="PargrafodaLista"/>
      </w:pPr>
    </w:p>
    <w:p w14:paraId="60E58905" w14:textId="77777777" w:rsidR="00324A51" w:rsidRDefault="00324A51" w:rsidP="00324A51">
      <w:pPr>
        <w:pStyle w:val="PargrafodaLista"/>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324A51">
      <w:pPr>
        <w:pStyle w:val="PargrafodaLista"/>
      </w:pPr>
    </w:p>
    <w:p w14:paraId="361B99D7" w14:textId="77777777" w:rsidR="00324A51" w:rsidRDefault="00324A51" w:rsidP="00324A51">
      <w:pPr>
        <w:pStyle w:val="PargrafodaLista"/>
      </w:pPr>
    </w:p>
    <w:p w14:paraId="5BE9A598" w14:textId="77777777" w:rsidR="00ED6DF8" w:rsidRDefault="00FA63AA" w:rsidP="00A909FB">
      <w:pPr>
        <w:pStyle w:val="Ttulo"/>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14248C"/>
    <w:p w14:paraId="0823D8DA" w14:textId="77777777" w:rsidR="0014248C" w:rsidRDefault="00504A13" w:rsidP="0014248C">
      <w:r>
        <w:t xml:space="preserve">Pontos de destaque deste capítulo: </w:t>
      </w:r>
      <w:r w:rsidRPr="006F3853">
        <w:rPr>
          <w:b/>
          <w:bCs/>
        </w:rPr>
        <w:t>O operador APPLY, nos modos CROSS APPLY ou OUTER APPLY:</w:t>
      </w:r>
      <w:r>
        <w:t xml:space="preserve"> </w:t>
      </w:r>
    </w:p>
    <w:p w14:paraId="6242EAAD" w14:textId="77777777"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504A13">
      <w:pPr>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A909FB">
      <w:r>
        <w:lastRenderedPageBreak/>
        <w:t xml:space="preserve">Na direita, nós vemos o resultado retornado pela expressão da tabela da direita, para cada linha da tabela da esquerda. </w:t>
      </w:r>
    </w:p>
    <w:p w14:paraId="728564A4" w14:textId="77777777"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0272CA43" w14:textId="77777777" w:rsidR="00F34089" w:rsidRDefault="00F34089" w:rsidP="00A909FB">
      <w:r>
        <w:rPr>
          <w:b/>
        </w:rPr>
        <w:tab/>
        <w:t xml:space="preserve">Expressões de tabela </w:t>
      </w:r>
      <w:r>
        <w:t xml:space="preserve">são construções em T-SQL que, basicamente, são queries nomeadas. Você escreve uma query interna que retorna um resultado em tabela, você nomeia esse resultado e consulta o </w:t>
      </w:r>
      <w:r>
        <w:rPr>
          <w:b/>
        </w:rPr>
        <w:t>resultado</w:t>
      </w:r>
      <w:r>
        <w:t xml:space="preserve"> para uma query externa. Os tipos de expressões de tabela são </w:t>
      </w:r>
      <w:r>
        <w:rPr>
          <w:b/>
        </w:rPr>
        <w:t xml:space="preserve">CTE, tabelas derivadas, </w:t>
      </w:r>
      <w:proofErr w:type="spellStart"/>
      <w:r>
        <w:rPr>
          <w:b/>
        </w:rPr>
        <w:t>views</w:t>
      </w:r>
      <w:proofErr w:type="spellEnd"/>
      <w:r>
        <w:rPr>
          <w:b/>
        </w:rPr>
        <w:t xml:space="preserve"> e funções que retornam tabelas (</w:t>
      </w:r>
      <w:proofErr w:type="spellStart"/>
      <w:r>
        <w:rPr>
          <w:b/>
        </w:rPr>
        <w:t>table</w:t>
      </w:r>
      <w:proofErr w:type="spellEnd"/>
      <w:r>
        <w:rPr>
          <w:b/>
        </w:rPr>
        <w:t xml:space="preserve"> </w:t>
      </w:r>
      <w:proofErr w:type="spellStart"/>
      <w:r>
        <w:rPr>
          <w:b/>
        </w:rPr>
        <w:t>valued</w:t>
      </w:r>
      <w:proofErr w:type="spellEnd"/>
      <w:r>
        <w:rPr>
          <w:b/>
        </w:rPr>
        <w:t xml:space="preserve"> </w:t>
      </w:r>
      <w:proofErr w:type="spellStart"/>
      <w:r>
        <w:rPr>
          <w:b/>
        </w:rPr>
        <w:t>functions</w:t>
      </w:r>
      <w:proofErr w:type="spellEnd"/>
      <w:r>
        <w:rPr>
          <w:b/>
        </w:rPr>
        <w:t>)</w:t>
      </w:r>
      <w:r>
        <w:t>.</w:t>
      </w:r>
    </w:p>
    <w:p w14:paraId="08C6285C" w14:textId="77777777" w:rsidR="00EF3E87" w:rsidRDefault="00F34089" w:rsidP="00A909FB">
      <w:r>
        <w:tab/>
        <w:t xml:space="preserve">As queries internas não podem ter a cláusula ORDER BY, todas colunas precisam possuir nomes, ou seja, os seus resultados precisam ser relacionais. </w:t>
      </w:r>
    </w:p>
    <w:p w14:paraId="350717DC" w14:textId="77777777" w:rsidR="00EF3E87" w:rsidRDefault="00F34089" w:rsidP="00A909FB">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A909FB">
      <w:r w:rsidRPr="00F00F54">
        <w:rPr>
          <w:b/>
        </w:rPr>
        <w:tab/>
        <w:t>Tipos de expressões de tabela que o T-SQL suporta</w:t>
      </w:r>
      <w:r>
        <w:rPr>
          <w:b/>
        </w:rPr>
        <w:t xml:space="preserve"> </w:t>
      </w:r>
      <w:r>
        <w:t xml:space="preserve">são os seguintes: </w:t>
      </w:r>
    </w:p>
    <w:p w14:paraId="4B97F61F" w14:textId="436A5E92" w:rsidR="00F00F54" w:rsidRDefault="00F00F54" w:rsidP="00F00F54">
      <w:pPr>
        <w:pStyle w:val="PargrafodaLista"/>
        <w:numPr>
          <w:ilvl w:val="0"/>
          <w:numId w:val="3"/>
        </w:numPr>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12309D">
      <w:pPr>
        <w:pStyle w:val="PargrafodaLista"/>
        <w:ind w:left="2490"/>
      </w:pPr>
    </w:p>
    <w:p w14:paraId="727961BD" w14:textId="55C3C186" w:rsidR="00682103" w:rsidRDefault="00895F89" w:rsidP="00682103">
      <w:pPr>
        <w:pStyle w:val="PargrafodaLista"/>
        <w:numPr>
          <w:ilvl w:val="0"/>
          <w:numId w:val="3"/>
        </w:numPr>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682103">
      <w:pPr>
        <w:pStyle w:val="PargrafodaLista"/>
        <w:numPr>
          <w:ilvl w:val="3"/>
          <w:numId w:val="3"/>
        </w:numPr>
      </w:pPr>
      <w:r>
        <w:t>Query interna</w:t>
      </w:r>
    </w:p>
    <w:p w14:paraId="3E9C2EE2" w14:textId="60D136F0" w:rsidR="00682103" w:rsidRDefault="00682103" w:rsidP="00682103">
      <w:pPr>
        <w:pStyle w:val="PargrafodaLista"/>
        <w:numPr>
          <w:ilvl w:val="3"/>
          <w:numId w:val="3"/>
        </w:numPr>
      </w:pPr>
      <w:r>
        <w:t>Nome que você dá para a query</w:t>
      </w:r>
    </w:p>
    <w:p w14:paraId="553574F2" w14:textId="77DCBA1C" w:rsidR="00682103" w:rsidRDefault="00682103" w:rsidP="00682103">
      <w:pPr>
        <w:pStyle w:val="PargrafodaLista"/>
        <w:numPr>
          <w:ilvl w:val="3"/>
          <w:numId w:val="3"/>
        </w:numPr>
      </w:pPr>
      <w:r>
        <w:t>Query externa</w:t>
      </w:r>
    </w:p>
    <w:p w14:paraId="69DCBA7B" w14:textId="032F400D" w:rsidR="00682103" w:rsidRDefault="00682103" w:rsidP="00682103">
      <w:pPr>
        <w:pStyle w:val="PargrafodaLista"/>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682103">
      <w:pPr>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682103">
      <w:pPr>
        <w:ind w:left="2410" w:firstLine="3"/>
        <w:rPr>
          <w:rFonts w:cs="Tahoma"/>
        </w:rPr>
      </w:pPr>
      <w:r>
        <w:rPr>
          <w:rFonts w:cs="Tahoma"/>
        </w:rPr>
        <w:t>Exemplo de CTE:</w:t>
      </w:r>
    </w:p>
    <w:p w14:paraId="1938487D"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682103">
      <w:pPr>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682103">
      <w:pPr>
        <w:ind w:left="5950" w:firstLine="3"/>
        <w:rPr>
          <w:rFonts w:ascii="Consolas" w:hAnsi="Consolas" w:cs="Consolas"/>
          <w:color w:val="000000"/>
          <w:sz w:val="19"/>
          <w:szCs w:val="19"/>
        </w:rPr>
      </w:pPr>
    </w:p>
    <w:p w14:paraId="03A9EF5C" w14:textId="6C013B16" w:rsidR="00682103" w:rsidRDefault="00682103" w:rsidP="00682103">
      <w:pPr>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682103">
      <w:pPr>
        <w:ind w:left="2410" w:firstLine="3"/>
        <w:rPr>
          <w:rFonts w:cs="Tahoma"/>
          <w:color w:val="000000"/>
        </w:rPr>
      </w:pPr>
      <w:r>
        <w:rPr>
          <w:rFonts w:cs="Tahoma"/>
          <w:color w:val="000000"/>
        </w:rPr>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C1</w:t>
      </w:r>
    </w:p>
    <w:p w14:paraId="488688C4"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C26953">
      <w:pPr>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C26953">
      <w:pPr>
        <w:pStyle w:val="PargrafodaLista"/>
        <w:numPr>
          <w:ilvl w:val="0"/>
          <w:numId w:val="3"/>
        </w:numPr>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773330">
      <w:pPr>
        <w:pStyle w:val="PargrafodaLista"/>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as necessidades da primeira query que montamos:</w:t>
      </w:r>
    </w:p>
    <w:p w14:paraId="28C433E4" w14:textId="35AB4CA3"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773330">
      <w:pPr>
        <w:ind w:left="3540"/>
        <w:rPr>
          <w:rFonts w:cs="Tahoma"/>
        </w:rPr>
      </w:pPr>
      <w:r w:rsidRPr="00773330">
        <w:rPr>
          <w:rFonts w:ascii="Consolas" w:hAnsi="Consolas" w:cs="Consolas"/>
          <w:color w:val="0000FF"/>
          <w:sz w:val="19"/>
          <w:szCs w:val="19"/>
        </w:rPr>
        <w:t>GO</w:t>
      </w:r>
    </w:p>
    <w:p w14:paraId="559418CA" w14:textId="5AA34C96" w:rsidR="00682103" w:rsidRDefault="00773330" w:rsidP="00773330">
      <w:pPr>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246DE035" w14:textId="77777777" w:rsidR="00773330" w:rsidRDefault="00773330" w:rsidP="00773330">
      <w:pPr>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 </w:t>
      </w:r>
    </w:p>
    <w:p w14:paraId="5A96EC40" w14:textId="77777777" w:rsidR="00773330" w:rsidRDefault="00773330" w:rsidP="00773330">
      <w:pPr>
        <w:ind w:left="2410"/>
        <w:rPr>
          <w:rFonts w:cs="Tahoma"/>
        </w:rPr>
      </w:pPr>
    </w:p>
    <w:p w14:paraId="6ABDDA3D" w14:textId="77777777" w:rsidR="00773330" w:rsidRDefault="00773330" w:rsidP="00773330">
      <w:pPr>
        <w:ind w:left="2410"/>
        <w:rPr>
          <w:rFonts w:cs="Tahoma"/>
        </w:rPr>
      </w:pPr>
    </w:p>
    <w:p w14:paraId="554A3B77" w14:textId="77777777" w:rsidR="00773330" w:rsidRDefault="00773330" w:rsidP="00773330">
      <w:pPr>
        <w:ind w:left="2410"/>
        <w:rPr>
          <w:rFonts w:cs="Tahoma"/>
        </w:rPr>
      </w:pPr>
    </w:p>
    <w:p w14:paraId="4C0F3555" w14:textId="77777777" w:rsidR="00773330" w:rsidRDefault="00773330" w:rsidP="00773330">
      <w:pPr>
        <w:ind w:left="2410"/>
        <w:rPr>
          <w:rFonts w:cs="Tahoma"/>
        </w:rPr>
      </w:pPr>
    </w:p>
    <w:p w14:paraId="45BE035D" w14:textId="1BD817A1" w:rsidR="00773330" w:rsidRDefault="00773330" w:rsidP="00773330">
      <w:pPr>
        <w:ind w:left="2410"/>
        <w:rPr>
          <w:rFonts w:cs="Tahoma"/>
        </w:rPr>
      </w:pPr>
      <w:r>
        <w:rPr>
          <w:rFonts w:cs="Tahoma"/>
        </w:rPr>
        <w:lastRenderedPageBreak/>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r>
        <w:rPr>
          <w:rFonts w:ascii="Consolas" w:hAnsi="Consolas" w:cs="Consolas"/>
          <w:color w:val="808080"/>
          <w:sz w:val="19"/>
          <w:szCs w:val="19"/>
        </w:rPr>
        <w:t>;</w:t>
      </w:r>
    </w:p>
    <w:p w14:paraId="64024E2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
    <w:p w14:paraId="4D1DBC1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773330">
      <w:pPr>
        <w:ind w:left="2832"/>
        <w:rPr>
          <w:rFonts w:cs="Tahoma"/>
        </w:rPr>
      </w:pPr>
      <w:r>
        <w:rPr>
          <w:rFonts w:ascii="Consolas" w:hAnsi="Consolas" w:cs="Consolas"/>
          <w:color w:val="0000FF"/>
          <w:sz w:val="19"/>
          <w:szCs w:val="19"/>
        </w:rPr>
        <w:t>GO</w:t>
      </w:r>
    </w:p>
    <w:p w14:paraId="7D151D43" w14:textId="4B8449C4" w:rsidR="00773330" w:rsidRDefault="00773330" w:rsidP="00773330">
      <w:pPr>
        <w:ind w:left="2410"/>
        <w:rPr>
          <w:rFonts w:cs="Tahoma"/>
        </w:rPr>
      </w:pPr>
      <w:r>
        <w:rPr>
          <w:rFonts w:cs="Tahoma"/>
        </w:rPr>
        <w:t>Perceba que o cabeçalho define o nome da função (</w:t>
      </w:r>
      <w:proofErr w:type="spellStart"/>
      <w:r>
        <w:rPr>
          <w:rFonts w:cs="Tahoma"/>
        </w:rPr>
        <w:t>HR.GetManagers</w:t>
      </w:r>
      <w:proofErr w:type="spell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52E3B29C" w14:textId="77777777" w:rsidR="005B2C53" w:rsidRDefault="006F3853" w:rsidP="006F3853">
      <w:pPr>
        <w:rPr>
          <w:b/>
          <w:bCs/>
        </w:rPr>
      </w:pPr>
      <w:r>
        <w:t xml:space="preserve">Pontos de destaque deste capítulo: </w:t>
      </w:r>
      <w:r w:rsidRPr="006F3853">
        <w:rPr>
          <w:b/>
          <w:bCs/>
        </w:rPr>
        <w:t xml:space="preserve">agrupando e </w:t>
      </w:r>
      <w:proofErr w:type="spellStart"/>
      <w:r w:rsidRPr="006F3853">
        <w:rPr>
          <w:b/>
          <w:bCs/>
        </w:rPr>
        <w:t>pivoteando</w:t>
      </w:r>
      <w:proofErr w:type="spellEnd"/>
      <w:r w:rsidRPr="006F3853">
        <w:rPr>
          <w:b/>
          <w:bCs/>
        </w:rPr>
        <w:t xml:space="preserve"> dados utilizando queries:</w:t>
      </w:r>
    </w:p>
    <w:p w14:paraId="35663D82" w14:textId="340040A9" w:rsidR="006F3853" w:rsidRDefault="005B2C53" w:rsidP="005B2C53">
      <w:pPr>
        <w:jc w:val="center"/>
      </w:pPr>
      <w:r w:rsidRPr="005B2C53">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494" cy="1693342"/>
                    </a:xfrm>
                    <a:prstGeom prst="rect">
                      <a:avLst/>
                    </a:prstGeom>
                  </pic:spPr>
                </pic:pic>
              </a:graphicData>
            </a:graphic>
          </wp:inline>
        </w:drawing>
      </w:r>
    </w:p>
    <w:p w14:paraId="1C70B27B" w14:textId="5FD522DD" w:rsidR="005B2C53" w:rsidRDefault="005B2C53" w:rsidP="006F3853">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5B2C53">
      <w:pPr>
        <w:pStyle w:val="PargrafodaLista"/>
        <w:numPr>
          <w:ilvl w:val="0"/>
          <w:numId w:val="3"/>
        </w:numPr>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
    <w:p w14:paraId="5A8C6469"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r w:rsidRPr="00787E25">
        <w:rPr>
          <w:rFonts w:ascii="Consolas" w:hAnsi="Consolas" w:cs="Consolas"/>
          <w:color w:val="FF00FF"/>
          <w:sz w:val="19"/>
          <w:szCs w:val="19"/>
        </w:rPr>
        <w:t>COUNT</w:t>
      </w:r>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787E25">
      <w:pPr>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787E25">
      <w:pPr>
        <w:ind w:left="2130"/>
      </w:pPr>
      <w:r>
        <w:t>O resultado apresentado é uma única linha, já que não foi especificado uma função de agrupamento ou uma clausula para tal:</w:t>
      </w:r>
    </w:p>
    <w:p w14:paraId="45DDDF08" w14:textId="77698CFF" w:rsidR="00787E25" w:rsidRDefault="00787E25" w:rsidP="00787E25">
      <w:pPr>
        <w:ind w:left="2130"/>
      </w:pPr>
      <w:r w:rsidRPr="00787E25">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752580"/>
                    </a:xfrm>
                    <a:prstGeom prst="rect">
                      <a:avLst/>
                    </a:prstGeom>
                  </pic:spPr>
                </pic:pic>
              </a:graphicData>
            </a:graphic>
          </wp:inline>
        </w:drawing>
      </w:r>
    </w:p>
    <w:p w14:paraId="27530C8C" w14:textId="24FC704A" w:rsidR="00787E25" w:rsidRDefault="00787E25" w:rsidP="00787E25">
      <w:pPr>
        <w:ind w:left="2130"/>
      </w:pPr>
      <w:r>
        <w:lastRenderedPageBreak/>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787E25">
      <w:pPr>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8457D3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787E25">
      <w:pPr>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787E25">
      <w:pPr>
        <w:ind w:left="2130"/>
      </w:pPr>
      <w:r>
        <w:t>A query acima produz o seguinte resultado:</w:t>
      </w:r>
    </w:p>
    <w:p w14:paraId="22352199" w14:textId="657B4CAA" w:rsidR="00787E25" w:rsidRDefault="00787E25" w:rsidP="00787E25">
      <w:pPr>
        <w:ind w:left="3544"/>
      </w:pPr>
      <w:r w:rsidRPr="00787E25">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77" cy="2400635"/>
                    </a:xfrm>
                    <a:prstGeom prst="rect">
                      <a:avLst/>
                    </a:prstGeom>
                  </pic:spPr>
                </pic:pic>
              </a:graphicData>
            </a:graphic>
          </wp:inline>
        </w:drawing>
      </w:r>
    </w:p>
    <w:p w14:paraId="4638F6CA" w14:textId="71273D07" w:rsidR="00787E25" w:rsidRDefault="00787E25" w:rsidP="00787E25">
      <w:pPr>
        <w:ind w:left="3544"/>
      </w:pPr>
    </w:p>
    <w:p w14:paraId="095D38AC" w14:textId="41B4B45F" w:rsidR="00787E25" w:rsidRDefault="00787E25" w:rsidP="00787E25">
      <w:pPr>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787E25">
      <w:pPr>
        <w:ind w:left="1985"/>
      </w:pPr>
      <w:r>
        <w:t>Podemos especificar mais de um grupo dentro da clausula GROUP BY, por exemplo na query abaixo onde especificamos o ano:</w:t>
      </w:r>
    </w:p>
    <w:p w14:paraId="5D1787F1"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C4AADA5"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6C01EF6C" w14:textId="193D1B59" w:rsidR="00787E25" w:rsidRDefault="00787E25" w:rsidP="00787E25">
      <w:pPr>
        <w:autoSpaceDE w:val="0"/>
        <w:autoSpaceDN w:val="0"/>
        <w:adjustRightInd w:val="0"/>
        <w:spacing w:after="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D0DB828" w14:textId="69E862FD" w:rsidR="00787E25" w:rsidRDefault="00787E25" w:rsidP="00787E25">
      <w:pPr>
        <w:ind w:left="1985"/>
      </w:pPr>
      <w:r>
        <w:t xml:space="preserve">A query produz o seguinte resultado: </w:t>
      </w:r>
    </w:p>
    <w:p w14:paraId="132A7C53" w14:textId="612B6BA6" w:rsidR="00787E25" w:rsidRDefault="00787E25" w:rsidP="00787E25">
      <w:pPr>
        <w:ind w:left="3544"/>
      </w:pPr>
      <w:r w:rsidRPr="00787E25">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0816" cy="1700331"/>
                    </a:xfrm>
                    <a:prstGeom prst="rect">
                      <a:avLst/>
                    </a:prstGeom>
                  </pic:spPr>
                </pic:pic>
              </a:graphicData>
            </a:graphic>
          </wp:inline>
        </w:drawing>
      </w:r>
    </w:p>
    <w:p w14:paraId="4C60B812" w14:textId="18AA31D4" w:rsidR="00787E25" w:rsidRDefault="00787E25" w:rsidP="00787E25">
      <w:pPr>
        <w:ind w:left="1843"/>
      </w:pPr>
      <w:r>
        <w:lastRenderedPageBreak/>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787E25">
      <w:pPr>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E02F7DB"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32EB6C3E"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62450E19" w14:textId="60D4FA00" w:rsidR="007059C4" w:rsidRDefault="007059C4" w:rsidP="00787E25">
      <w:pPr>
        <w:ind w:left="1843"/>
      </w:pPr>
      <w:r>
        <w:t>A query produz o seguinte resultado:</w:t>
      </w:r>
    </w:p>
    <w:p w14:paraId="6587C4A3" w14:textId="4F13462B" w:rsidR="007059C4" w:rsidRDefault="007059C4" w:rsidP="00787E25">
      <w:pPr>
        <w:ind w:left="1843"/>
      </w:pPr>
      <w:r w:rsidRPr="007059C4">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876422"/>
                    </a:xfrm>
                    <a:prstGeom prst="rect">
                      <a:avLst/>
                    </a:prstGeom>
                  </pic:spPr>
                </pic:pic>
              </a:graphicData>
            </a:graphic>
          </wp:inline>
        </w:drawing>
      </w:r>
    </w:p>
    <w:p w14:paraId="3177AFCC" w14:textId="644379DB" w:rsidR="007059C4" w:rsidRDefault="007059C4" w:rsidP="00787E25">
      <w:pPr>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xml:space="preserve">, ano e </w:t>
      </w:r>
      <w:proofErr w:type="spellStart"/>
      <w:r>
        <w:t>numero</w:t>
      </w:r>
      <w:proofErr w:type="spellEnd"/>
      <w:r>
        <w:t xml:space="preserve"> de pedidos.</w:t>
      </w:r>
    </w:p>
    <w:p w14:paraId="0BA6B262" w14:textId="55221100" w:rsidR="007059C4" w:rsidRDefault="007059C4" w:rsidP="007059C4">
      <w:pPr>
        <w:pStyle w:val="PargrafodaLista"/>
        <w:numPr>
          <w:ilvl w:val="0"/>
          <w:numId w:val="3"/>
        </w:numPr>
      </w:pPr>
      <w:r>
        <w:rPr>
          <w:b/>
          <w:bCs/>
        </w:rPr>
        <w:t xml:space="preserve">Trabalhando com vários conjuntos de agrupamento - </w:t>
      </w:r>
      <w:bookmarkStart w:id="0" w:name="_GoBack"/>
      <w:bookmarkEnd w:id="0"/>
    </w:p>
    <w:p w14:paraId="39BD3FB9" w14:textId="77777777" w:rsidR="00787E25" w:rsidRDefault="00787E25" w:rsidP="00787E25">
      <w:pPr>
        <w:ind w:left="1985"/>
      </w:pPr>
    </w:p>
    <w:p w14:paraId="63376972" w14:textId="77777777" w:rsidR="005B2C53" w:rsidRDefault="005B2C53" w:rsidP="006F3853"/>
    <w:p w14:paraId="006D7C94" w14:textId="77777777" w:rsidR="005B2C53" w:rsidRDefault="005B2C53" w:rsidP="006F3853"/>
    <w:p w14:paraId="2D0EBEB8" w14:textId="29B75C81" w:rsidR="006F3853" w:rsidRDefault="006F3853" w:rsidP="006F3853">
      <w:pPr>
        <w:rPr>
          <w:rFonts w:cs="Tahoma"/>
        </w:rPr>
      </w:pPr>
    </w:p>
    <w:p w14:paraId="7A649B86" w14:textId="00AF5BA5" w:rsidR="006F3853" w:rsidRDefault="006F3853" w:rsidP="00773330">
      <w:pPr>
        <w:ind w:left="2410"/>
        <w:rPr>
          <w:rFonts w:cs="Tahoma"/>
        </w:rPr>
      </w:pPr>
    </w:p>
    <w:p w14:paraId="625B7513" w14:textId="69A73337" w:rsidR="006F3853" w:rsidRDefault="006F3853" w:rsidP="00773330">
      <w:pPr>
        <w:ind w:left="2410"/>
        <w:rPr>
          <w:rFonts w:cs="Tahoma"/>
        </w:rPr>
      </w:pPr>
    </w:p>
    <w:p w14:paraId="4E64BE10" w14:textId="09DC5A09" w:rsidR="006F3853" w:rsidRDefault="006F3853" w:rsidP="00773330">
      <w:pPr>
        <w:ind w:left="2410"/>
        <w:rPr>
          <w:rFonts w:cs="Tahoma"/>
        </w:rPr>
      </w:pPr>
    </w:p>
    <w:p w14:paraId="6576C629" w14:textId="189D0A42" w:rsidR="006F3853" w:rsidRDefault="006F3853" w:rsidP="00773330">
      <w:pPr>
        <w:ind w:left="2410"/>
        <w:rPr>
          <w:rFonts w:cs="Tahoma"/>
        </w:rPr>
      </w:pPr>
    </w:p>
    <w:p w14:paraId="5B9F4703" w14:textId="08743168" w:rsidR="006F3853" w:rsidRDefault="006F3853" w:rsidP="00773330">
      <w:pPr>
        <w:ind w:left="2410"/>
        <w:rPr>
          <w:rFonts w:cs="Tahoma"/>
        </w:rPr>
      </w:pPr>
    </w:p>
    <w:p w14:paraId="6C982B29" w14:textId="24BCAF92" w:rsidR="006F3853" w:rsidRDefault="006F3853" w:rsidP="00773330">
      <w:pPr>
        <w:ind w:left="2410"/>
        <w:rPr>
          <w:rFonts w:cs="Tahoma"/>
        </w:rPr>
      </w:pPr>
    </w:p>
    <w:p w14:paraId="75A82843" w14:textId="4F1D8355" w:rsidR="006F3853" w:rsidRDefault="006F3853" w:rsidP="00773330">
      <w:pPr>
        <w:ind w:left="2410"/>
        <w:rPr>
          <w:rFonts w:cs="Tahoma"/>
        </w:rPr>
      </w:pPr>
    </w:p>
    <w:p w14:paraId="3A442A6C" w14:textId="641C4334" w:rsidR="006F3853" w:rsidRDefault="006F3853" w:rsidP="00773330">
      <w:pPr>
        <w:ind w:left="2410"/>
        <w:rPr>
          <w:rFonts w:cs="Tahoma"/>
        </w:rPr>
      </w:pPr>
    </w:p>
    <w:p w14:paraId="2B4B1728" w14:textId="7AC41745" w:rsidR="006F3853" w:rsidRDefault="006F3853" w:rsidP="00773330">
      <w:pPr>
        <w:ind w:left="2410"/>
        <w:rPr>
          <w:rFonts w:cs="Tahoma"/>
        </w:rPr>
      </w:pPr>
    </w:p>
    <w:p w14:paraId="7AAAD849" w14:textId="745CE7C2" w:rsidR="006F3853" w:rsidRDefault="006F3853" w:rsidP="006F3853">
      <w:pPr>
        <w:rPr>
          <w:rFonts w:cs="Tahoma"/>
        </w:rPr>
      </w:pPr>
      <w:r>
        <w:rPr>
          <w:rFonts w:cs="Tahoma"/>
        </w:rPr>
        <w:t>--------</w:t>
      </w:r>
    </w:p>
    <w:p w14:paraId="2B340147" w14:textId="77777777" w:rsidR="006F3853" w:rsidRDefault="006F3853" w:rsidP="006F3853">
      <w:pPr>
        <w:rPr>
          <w:rFonts w:cs="Tahoma"/>
        </w:rPr>
      </w:pPr>
    </w:p>
    <w:p w14:paraId="308EDAC9" w14:textId="736C23AA" w:rsidR="00773330" w:rsidRDefault="00773330" w:rsidP="00773330">
      <w:pPr>
        <w:ind w:left="2410"/>
        <w:rPr>
          <w:rFonts w:cs="Tahoma"/>
        </w:rPr>
      </w:pPr>
    </w:p>
    <w:p w14:paraId="16A11803" w14:textId="3D22EA41" w:rsidR="00773330" w:rsidRDefault="00773330" w:rsidP="00773330">
      <w:pPr>
        <w:ind w:left="2410"/>
        <w:rPr>
          <w:rFonts w:cs="Tahoma"/>
        </w:rPr>
      </w:pPr>
    </w:p>
    <w:p w14:paraId="7F819E2B" w14:textId="77777777" w:rsidR="00773330" w:rsidRDefault="00773330" w:rsidP="00773330">
      <w:pPr>
        <w:ind w:left="2410"/>
        <w:rPr>
          <w:rFonts w:cs="Tahoma"/>
        </w:rPr>
      </w:pPr>
    </w:p>
    <w:p w14:paraId="3E555AB2" w14:textId="77777777" w:rsidR="00773330" w:rsidRDefault="00773330" w:rsidP="00773330">
      <w:pPr>
        <w:pStyle w:val="PargrafodaLista"/>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773330">
      <w:pPr>
        <w:pStyle w:val="PargrafodaLista"/>
      </w:pPr>
    </w:p>
    <w:p w14:paraId="6F7C8E0D" w14:textId="77777777" w:rsidR="00773330" w:rsidRDefault="00773330" w:rsidP="00773330">
      <w:pPr>
        <w:pStyle w:val="PargrafodaLista"/>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773330">
      <w:pPr>
        <w:pStyle w:val="PargrafodaLista"/>
      </w:pPr>
    </w:p>
    <w:p w14:paraId="167F459B" w14:textId="77777777" w:rsidR="00773330" w:rsidRDefault="00773330" w:rsidP="00773330">
      <w:pPr>
        <w:pStyle w:val="PargrafodaLista"/>
        <w:numPr>
          <w:ilvl w:val="0"/>
          <w:numId w:val="2"/>
        </w:numPr>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773330">
      <w:pPr>
        <w:pStyle w:val="PargrafodaLista"/>
      </w:pPr>
    </w:p>
    <w:p w14:paraId="6ACDADF4" w14:textId="77777777" w:rsidR="00773330" w:rsidRDefault="00773330" w:rsidP="00773330">
      <w:pPr>
        <w:pStyle w:val="PargrafodaLista"/>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773330">
      <w:pPr>
        <w:pStyle w:val="PargrafodaLista"/>
      </w:pPr>
    </w:p>
    <w:p w14:paraId="19E1ED66" w14:textId="77777777" w:rsidR="00773330" w:rsidRDefault="00773330" w:rsidP="00773330">
      <w:pPr>
        <w:pStyle w:val="PargrafodaLista"/>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773330">
      <w:pPr>
        <w:pStyle w:val="PargrafodaLista"/>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773330">
      <w:pPr>
        <w:pStyle w:val="PargrafodaLista"/>
      </w:pPr>
    </w:p>
    <w:p w14:paraId="3880146B" w14:textId="3F1D7A15" w:rsidR="00773330" w:rsidRPr="00A909FB" w:rsidRDefault="00773330" w:rsidP="00773330">
      <w:pPr>
        <w:pStyle w:val="PargrafodaLista"/>
      </w:pPr>
    </w:p>
    <w:p w14:paraId="34AD10D7" w14:textId="7B757B8D" w:rsidR="00773330" w:rsidRDefault="00773330" w:rsidP="00773330">
      <w:pPr>
        <w:pBdr>
          <w:bottom w:val="single" w:sz="12" w:space="9" w:color="auto"/>
        </w:pBdr>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2309D"/>
    <w:rsid w:val="0014248C"/>
    <w:rsid w:val="00324A51"/>
    <w:rsid w:val="004564FD"/>
    <w:rsid w:val="00504A13"/>
    <w:rsid w:val="005B2C53"/>
    <w:rsid w:val="005E4668"/>
    <w:rsid w:val="00682103"/>
    <w:rsid w:val="006F3853"/>
    <w:rsid w:val="007059C4"/>
    <w:rsid w:val="00773330"/>
    <w:rsid w:val="00787E25"/>
    <w:rsid w:val="00895F89"/>
    <w:rsid w:val="009E657B"/>
    <w:rsid w:val="00A11900"/>
    <w:rsid w:val="00A909FB"/>
    <w:rsid w:val="00C26953"/>
    <w:rsid w:val="00CE0C52"/>
    <w:rsid w:val="00DE65A4"/>
    <w:rsid w:val="00DE7857"/>
    <w:rsid w:val="00E50F4A"/>
    <w:rsid w:val="00E851FC"/>
    <w:rsid w:val="00ED6DF8"/>
    <w:rsid w:val="00EF3E87"/>
    <w:rsid w:val="00F00F54"/>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1900"/>
    <w:pPr>
      <w:ind w:left="720"/>
      <w:contextualSpacing/>
    </w:pPr>
  </w:style>
  <w:style w:type="paragraph" w:styleId="Ttulo">
    <w:name w:val="Title"/>
    <w:basedOn w:val="Normal"/>
    <w:next w:val="Normal"/>
    <w:link w:val="Ttulo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2172</Words>
  <Characters>11731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Iteris Consultoria e Software Ltda</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cp:lastModifiedBy>
  <cp:revision>11</cp:revision>
  <dcterms:created xsi:type="dcterms:W3CDTF">2020-01-22T11:47:00Z</dcterms:created>
  <dcterms:modified xsi:type="dcterms:W3CDTF">2020-01-25T18:37:00Z</dcterms:modified>
</cp:coreProperties>
</file>