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455D0C" w:rsidRDefault="00400DD9" w:rsidP="009A33D6">
      <w:pPr>
        <w:pStyle w:val="Ttulo2"/>
        <w:spacing w:before="0" w:line="360" w:lineRule="auto"/>
        <w:rPr>
          <w:rFonts w:ascii="Arial" w:hAnsi="Arial" w:cs="Arial"/>
          <w:color w:val="auto"/>
          <w:sz w:val="20"/>
          <w:szCs w:val="20"/>
          <w:u w:val="single"/>
          <w:lang w:val="es-MX"/>
        </w:rPr>
      </w:pPr>
      <w:r w:rsidRPr="00455D0C">
        <w:rPr>
          <w:rFonts w:ascii="Arial" w:hAnsi="Arial" w:cs="Arial"/>
          <w:color w:val="auto"/>
          <w:sz w:val="20"/>
          <w:szCs w:val="20"/>
          <w:lang w:val="es-MX"/>
        </w:rPr>
        <w:t>INTRODUCCIÓN</w:t>
      </w:r>
    </w:p>
    <w:p w14:paraId="11B9350A" w14:textId="77777777" w:rsidR="00B0504A" w:rsidRPr="004456A7" w:rsidRDefault="00400DD9" w:rsidP="009A33D6">
      <w:pPr>
        <w:spacing w:after="0" w:line="360" w:lineRule="auto"/>
        <w:jc w:val="both"/>
        <w:rPr>
          <w:rFonts w:ascii="Arial" w:hAnsi="Arial" w:cs="Arial"/>
          <w:color w:val="00B050"/>
          <w:sz w:val="20"/>
          <w:szCs w:val="20"/>
          <w:lang w:val="es-MX"/>
        </w:rPr>
      </w:pPr>
      <w:r w:rsidRPr="004456A7">
        <w:rPr>
          <w:rFonts w:ascii="Arial" w:hAnsi="Arial" w:cs="Arial"/>
          <w:color w:val="00B050"/>
          <w:sz w:val="20"/>
          <w:szCs w:val="20"/>
          <w:lang w:val="es-MX"/>
        </w:rPr>
        <w:t>Los hongos filamentosos constituyen una parte importante del ecosistema y ayudan en gran medida a mantener el balance de la biósfera.</w:t>
      </w:r>
      <w:r w:rsidR="003304C1" w:rsidRPr="004456A7">
        <w:rPr>
          <w:rFonts w:ascii="Arial" w:hAnsi="Arial" w:cs="Arial"/>
          <w:color w:val="00B050"/>
          <w:sz w:val="20"/>
          <w:szCs w:val="20"/>
          <w:lang w:val="es-MX"/>
        </w:rPr>
        <w:t xml:space="preserve"> Además de su papel en el ecosistema, también tienen gran importancia en otros sistemas más relacionados al ser humano como lo es la industria alimenticia </w:t>
      </w:r>
      <w:r w:rsidR="003304C1"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[1]</w:t>
      </w:r>
      <w:r w:rsidR="003304C1" w:rsidRPr="004456A7">
        <w:rPr>
          <w:rFonts w:ascii="Arial" w:hAnsi="Arial" w:cs="Arial"/>
          <w:color w:val="00B050"/>
          <w:sz w:val="20"/>
          <w:szCs w:val="20"/>
          <w:lang w:val="es-MX"/>
        </w:rPr>
        <w:fldChar w:fldCharType="end"/>
      </w:r>
      <w:r w:rsidR="003304C1" w:rsidRPr="004456A7">
        <w:rPr>
          <w:rFonts w:ascii="Arial" w:hAnsi="Arial" w:cs="Arial"/>
          <w:color w:val="00B050"/>
          <w:sz w:val="20"/>
          <w:szCs w:val="20"/>
          <w:lang w:val="es-MX"/>
        </w:rPr>
        <w:t xml:space="preserve">, farmacéutica </w:t>
      </w:r>
      <w:r w:rsidR="003304C1"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[2]</w:t>
      </w:r>
      <w:r w:rsidR="003304C1" w:rsidRPr="004456A7">
        <w:rPr>
          <w:rFonts w:ascii="Arial" w:hAnsi="Arial" w:cs="Arial"/>
          <w:color w:val="00B050"/>
          <w:sz w:val="20"/>
          <w:szCs w:val="20"/>
          <w:lang w:val="es-MX"/>
        </w:rPr>
        <w:fldChar w:fldCharType="end"/>
      </w:r>
      <w:r w:rsidR="003304C1" w:rsidRPr="004456A7">
        <w:rPr>
          <w:rFonts w:ascii="Arial" w:hAnsi="Arial" w:cs="Arial"/>
          <w:color w:val="00B050"/>
          <w:sz w:val="20"/>
          <w:szCs w:val="20"/>
          <w:lang w:val="es-MX"/>
        </w:rPr>
        <w:t xml:space="preserve">, agrícola </w:t>
      </w:r>
      <w:r w:rsidR="003304C1"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[3]</w:t>
      </w:r>
      <w:r w:rsidR="003304C1" w:rsidRPr="004456A7">
        <w:rPr>
          <w:rFonts w:ascii="Arial" w:hAnsi="Arial" w:cs="Arial"/>
          <w:color w:val="00B050"/>
          <w:sz w:val="20"/>
          <w:szCs w:val="20"/>
          <w:lang w:val="es-MX"/>
        </w:rPr>
        <w:fldChar w:fldCharType="end"/>
      </w:r>
      <w:r w:rsidR="003304C1" w:rsidRPr="004456A7">
        <w:rPr>
          <w:rFonts w:ascii="Arial" w:hAnsi="Arial" w:cs="Arial"/>
          <w:color w:val="00B050"/>
          <w:sz w:val="20"/>
          <w:szCs w:val="20"/>
          <w:lang w:val="es-MX"/>
        </w:rPr>
        <w:t xml:space="preserve">, médica </w:t>
      </w:r>
      <w:r w:rsidR="003304C1"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[4]</w:t>
      </w:r>
      <w:r w:rsidR="003304C1" w:rsidRPr="004456A7">
        <w:rPr>
          <w:rFonts w:ascii="Arial" w:hAnsi="Arial" w:cs="Arial"/>
          <w:color w:val="00B050"/>
          <w:sz w:val="20"/>
          <w:szCs w:val="20"/>
          <w:lang w:val="es-MX"/>
        </w:rPr>
        <w:fldChar w:fldCharType="end"/>
      </w:r>
      <w:r w:rsidR="003304C1" w:rsidRPr="004456A7">
        <w:rPr>
          <w:rFonts w:ascii="Arial" w:hAnsi="Arial" w:cs="Arial"/>
          <w:color w:val="00B050"/>
          <w:sz w:val="20"/>
          <w:szCs w:val="20"/>
          <w:lang w:val="es-MX"/>
        </w:rPr>
        <w:t xml:space="preserve"> e investigación científica </w:t>
      </w:r>
      <w:r w:rsidR="003304C1"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[5]</w:t>
      </w:r>
      <w:r w:rsidR="003304C1" w:rsidRPr="004456A7">
        <w:rPr>
          <w:rFonts w:ascii="Arial" w:hAnsi="Arial" w:cs="Arial"/>
          <w:color w:val="00B050"/>
          <w:sz w:val="20"/>
          <w:szCs w:val="20"/>
          <w:lang w:val="es-MX"/>
        </w:rPr>
        <w:fldChar w:fldCharType="end"/>
      </w:r>
      <w:r w:rsidR="003304C1" w:rsidRPr="004456A7">
        <w:rPr>
          <w:rFonts w:ascii="Arial" w:hAnsi="Arial" w:cs="Arial"/>
          <w:color w:val="00B050"/>
          <w:sz w:val="20"/>
          <w:szCs w:val="20"/>
          <w:lang w:val="es-MX"/>
        </w:rPr>
        <w:t xml:space="preserve">. </w:t>
      </w:r>
      <w:r w:rsidRPr="004456A7">
        <w:rPr>
          <w:rFonts w:ascii="Arial" w:hAnsi="Arial" w:cs="Arial"/>
          <w:color w:val="00B050"/>
          <w:sz w:val="20"/>
          <w:szCs w:val="20"/>
          <w:lang w:val="es-MX"/>
        </w:rPr>
        <w:t>Los hongos filamentosos tienen una morfología característica debido al crecimiento de sus hifas, las cuales se desarrollan a partir de puntos de germinación y se ramifican hasta formar diferen</w:t>
      </w:r>
      <w:r w:rsidR="0030541A" w:rsidRPr="004456A7">
        <w:rPr>
          <w:rFonts w:ascii="Arial" w:hAnsi="Arial" w:cs="Arial"/>
          <w:color w:val="00B050"/>
          <w:sz w:val="20"/>
          <w:szCs w:val="20"/>
          <w:lang w:val="es-MX"/>
        </w:rPr>
        <w:t xml:space="preserve">tes estructuras macroscópicas </w:t>
      </w:r>
      <w:r w:rsidR="0030541A"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[6]</w:t>
      </w:r>
      <w:r w:rsidR="0030541A" w:rsidRPr="004456A7">
        <w:rPr>
          <w:rFonts w:ascii="Arial" w:hAnsi="Arial" w:cs="Arial"/>
          <w:color w:val="00B050"/>
          <w:sz w:val="20"/>
          <w:szCs w:val="20"/>
          <w:lang w:val="es-MX"/>
        </w:rPr>
        <w:fldChar w:fldCharType="end"/>
      </w:r>
      <w:r w:rsidRPr="004456A7">
        <w:rPr>
          <w:rFonts w:ascii="Arial" w:hAnsi="Arial" w:cs="Arial"/>
          <w:color w:val="00B050"/>
          <w:sz w:val="20"/>
          <w:szCs w:val="20"/>
          <w:lang w:val="es-MX"/>
        </w:rPr>
        <w:t>. Este grupo de hongos pertenece a la subdivisión “Pezizomycota”, la cual se encuentra dentr</w:t>
      </w:r>
      <w:r w:rsidR="00203BA0" w:rsidRPr="004456A7">
        <w:rPr>
          <w:rFonts w:ascii="Arial" w:hAnsi="Arial" w:cs="Arial"/>
          <w:color w:val="00B050"/>
          <w:sz w:val="20"/>
          <w:szCs w:val="20"/>
          <w:lang w:val="es-MX"/>
        </w:rPr>
        <w:t xml:space="preserve">o de la división “Ascomycota” </w:t>
      </w:r>
      <w:r w:rsidR="00203BA0"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[7]</w:t>
      </w:r>
      <w:r w:rsidR="00203BA0" w:rsidRPr="004456A7">
        <w:rPr>
          <w:rFonts w:ascii="Arial" w:hAnsi="Arial" w:cs="Arial"/>
          <w:color w:val="00B050"/>
          <w:sz w:val="20"/>
          <w:szCs w:val="20"/>
          <w:lang w:val="es-MX"/>
        </w:rPr>
        <w:fldChar w:fldCharType="end"/>
      </w:r>
      <w:r w:rsidRPr="004456A7">
        <w:rPr>
          <w:rFonts w:ascii="Arial" w:hAnsi="Arial" w:cs="Arial"/>
          <w:color w:val="00B050"/>
          <w:sz w:val="20"/>
          <w:szCs w:val="20"/>
          <w:lang w:val="es-MX"/>
        </w:rPr>
        <w:t>, donde se encuentran todos los hongos de morfología filamentosa. Los hongos filamentosos producen esporas como medida de propagación y supervivencia, y se producen por reproducción sexual (as</w:t>
      </w:r>
      <w:r w:rsidR="00674E43" w:rsidRPr="004456A7">
        <w:rPr>
          <w:rFonts w:ascii="Arial" w:hAnsi="Arial" w:cs="Arial"/>
          <w:color w:val="00B050"/>
          <w:sz w:val="20"/>
          <w:szCs w:val="20"/>
          <w:lang w:val="es-MX"/>
        </w:rPr>
        <w:t>cosporas) o asexual (conidios)</w:t>
      </w:r>
      <w:r w:rsidR="002808E7" w:rsidRPr="004456A7">
        <w:rPr>
          <w:rFonts w:ascii="Arial" w:hAnsi="Arial" w:cs="Arial"/>
          <w:color w:val="00B050"/>
          <w:sz w:val="20"/>
          <w:szCs w:val="20"/>
          <w:lang w:val="es-MX"/>
        </w:rPr>
        <w:t xml:space="preserve"> </w:t>
      </w:r>
      <w:r w:rsidR="002808E7"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[8]</w:t>
      </w:r>
      <w:r w:rsidR="002808E7" w:rsidRPr="004456A7">
        <w:rPr>
          <w:rFonts w:ascii="Arial" w:hAnsi="Arial" w:cs="Arial"/>
          <w:color w:val="00B050"/>
          <w:sz w:val="20"/>
          <w:szCs w:val="20"/>
          <w:lang w:val="es-MX"/>
        </w:rPr>
        <w:fldChar w:fldCharType="end"/>
      </w:r>
      <w:r w:rsidR="00674E43" w:rsidRPr="004456A7">
        <w:rPr>
          <w:rFonts w:ascii="Arial" w:hAnsi="Arial" w:cs="Arial"/>
          <w:color w:val="00B050"/>
          <w:sz w:val="20"/>
          <w:szCs w:val="20"/>
          <w:lang w:val="es-MX"/>
        </w:rPr>
        <w:t>. Todos los hongos filamentosos se exponen a diversos factores ambientales abióticos</w:t>
      </w:r>
      <w:r w:rsidR="004B20F4" w:rsidRPr="004456A7">
        <w:rPr>
          <w:rFonts w:ascii="Arial" w:hAnsi="Arial" w:cs="Arial"/>
          <w:color w:val="00B050"/>
          <w:sz w:val="20"/>
          <w:szCs w:val="20"/>
          <w:lang w:val="es-MX"/>
        </w:rPr>
        <w:t xml:space="preserve"> durante todo </w:t>
      </w:r>
      <w:r w:rsidR="00214293" w:rsidRPr="004456A7">
        <w:rPr>
          <w:rFonts w:ascii="Arial" w:hAnsi="Arial" w:cs="Arial"/>
          <w:color w:val="00B050"/>
          <w:sz w:val="20"/>
          <w:szCs w:val="20"/>
          <w:lang w:val="es-MX"/>
        </w:rPr>
        <w:t>su desarrollo.</w:t>
      </w:r>
      <w:r w:rsidR="004B20F4" w:rsidRPr="004456A7">
        <w:rPr>
          <w:rFonts w:ascii="Arial" w:hAnsi="Arial" w:cs="Arial"/>
          <w:color w:val="00B050"/>
          <w:sz w:val="20"/>
          <w:szCs w:val="20"/>
          <w:lang w:val="es-MX"/>
        </w:rPr>
        <w:t xml:space="preserve"> </w:t>
      </w:r>
      <w:r w:rsidR="00FD7C78" w:rsidRPr="004456A7">
        <w:rPr>
          <w:rFonts w:ascii="Arial" w:hAnsi="Arial" w:cs="Arial"/>
          <w:color w:val="00B050"/>
          <w:sz w:val="20"/>
          <w:szCs w:val="20"/>
          <w:lang w:val="es-MX"/>
        </w:rPr>
        <w:t>U</w:t>
      </w:r>
      <w:r w:rsidR="00E212ED" w:rsidRPr="004456A7">
        <w:rPr>
          <w:rFonts w:ascii="Arial" w:hAnsi="Arial" w:cs="Arial"/>
          <w:color w:val="00B050"/>
          <w:sz w:val="20"/>
          <w:szCs w:val="20"/>
          <w:lang w:val="es-MX"/>
        </w:rPr>
        <w:t xml:space="preserve">n factor abiótico </w:t>
      </w:r>
      <w:r w:rsidR="004B20F4" w:rsidRPr="004456A7">
        <w:rPr>
          <w:rFonts w:ascii="Arial" w:hAnsi="Arial" w:cs="Arial"/>
          <w:color w:val="00B050"/>
          <w:sz w:val="20"/>
          <w:szCs w:val="20"/>
          <w:lang w:val="es-MX"/>
        </w:rPr>
        <w:t xml:space="preserve">se define como </w:t>
      </w:r>
      <w:r w:rsidR="00E212ED" w:rsidRPr="004456A7">
        <w:rPr>
          <w:rFonts w:ascii="Arial" w:hAnsi="Arial" w:cs="Arial"/>
          <w:color w:val="00B050"/>
          <w:sz w:val="20"/>
          <w:szCs w:val="20"/>
          <w:lang w:val="es-MX"/>
        </w:rPr>
        <w:t>una condici</w:t>
      </w:r>
      <w:r w:rsidR="00C52B3E" w:rsidRPr="004456A7">
        <w:rPr>
          <w:rFonts w:ascii="Arial" w:hAnsi="Arial" w:cs="Arial"/>
          <w:color w:val="00B050"/>
          <w:sz w:val="20"/>
          <w:szCs w:val="20"/>
          <w:lang w:val="es-MX"/>
        </w:rPr>
        <w:t>ón no viva</w:t>
      </w:r>
      <w:r w:rsidR="00E212ED" w:rsidRPr="004456A7">
        <w:rPr>
          <w:rFonts w:ascii="Arial" w:hAnsi="Arial" w:cs="Arial"/>
          <w:color w:val="00B050"/>
          <w:sz w:val="20"/>
          <w:szCs w:val="20"/>
          <w:lang w:val="es-MX"/>
        </w:rPr>
        <w:t>, como el</w:t>
      </w:r>
      <w:r w:rsidR="00C52B3E" w:rsidRPr="004456A7">
        <w:rPr>
          <w:rFonts w:ascii="Arial" w:hAnsi="Arial" w:cs="Arial"/>
          <w:color w:val="00B050"/>
          <w:sz w:val="20"/>
          <w:szCs w:val="20"/>
          <w:lang w:val="es-MX"/>
        </w:rPr>
        <w:t xml:space="preserve"> clima o hábitat</w:t>
      </w:r>
      <w:r w:rsidR="00E212ED" w:rsidRPr="004456A7">
        <w:rPr>
          <w:rFonts w:ascii="Arial" w:hAnsi="Arial" w:cs="Arial"/>
          <w:color w:val="00B050"/>
          <w:sz w:val="20"/>
          <w:szCs w:val="20"/>
          <w:lang w:val="es-MX"/>
        </w:rPr>
        <w:t xml:space="preserve">, que determina el desarrollo y supervivencia de </w:t>
      </w:r>
      <w:r w:rsidR="004B20F4" w:rsidRPr="004456A7">
        <w:rPr>
          <w:rFonts w:ascii="Arial" w:hAnsi="Arial" w:cs="Arial"/>
          <w:color w:val="00B050"/>
          <w:sz w:val="20"/>
          <w:szCs w:val="20"/>
          <w:lang w:val="es-MX"/>
        </w:rPr>
        <w:t>un</w:t>
      </w:r>
      <w:r w:rsidR="004D02D0" w:rsidRPr="004456A7">
        <w:rPr>
          <w:rFonts w:ascii="Arial" w:hAnsi="Arial" w:cs="Arial"/>
          <w:color w:val="00B050"/>
          <w:sz w:val="20"/>
          <w:szCs w:val="20"/>
          <w:lang w:val="es-MX"/>
        </w:rPr>
        <w:t>a especie, o un</w:t>
      </w:r>
      <w:r w:rsidR="004B20F4" w:rsidRPr="004456A7">
        <w:rPr>
          <w:rFonts w:ascii="Arial" w:hAnsi="Arial" w:cs="Arial"/>
          <w:color w:val="00B050"/>
          <w:sz w:val="20"/>
          <w:szCs w:val="20"/>
          <w:lang w:val="es-MX"/>
        </w:rPr>
        <w:t xml:space="preserve"> organismo</w:t>
      </w:r>
      <w:r w:rsidR="00E212ED" w:rsidRPr="004456A7">
        <w:rPr>
          <w:rFonts w:ascii="Arial" w:hAnsi="Arial" w:cs="Arial"/>
          <w:color w:val="00B050"/>
          <w:sz w:val="20"/>
          <w:szCs w:val="20"/>
          <w:lang w:val="es-MX"/>
        </w:rPr>
        <w:t>.</w:t>
      </w:r>
      <w:r w:rsidR="004B20F4" w:rsidRPr="004456A7">
        <w:rPr>
          <w:rFonts w:ascii="Arial" w:hAnsi="Arial" w:cs="Arial"/>
          <w:color w:val="00B050"/>
          <w:sz w:val="20"/>
          <w:szCs w:val="20"/>
          <w:lang w:val="es-MX"/>
        </w:rPr>
        <w:t xml:space="preserve"> Estos </w:t>
      </w:r>
      <w:r w:rsidR="00674E43" w:rsidRPr="004456A7">
        <w:rPr>
          <w:rFonts w:ascii="Arial" w:hAnsi="Arial" w:cs="Arial"/>
          <w:color w:val="00B050"/>
          <w:sz w:val="20"/>
          <w:szCs w:val="20"/>
          <w:lang w:val="es-MX"/>
        </w:rPr>
        <w:t>factor</w:t>
      </w:r>
      <w:r w:rsidR="009B44F3" w:rsidRPr="004456A7">
        <w:rPr>
          <w:rFonts w:ascii="Arial" w:hAnsi="Arial" w:cs="Arial"/>
          <w:color w:val="00B050"/>
          <w:sz w:val="20"/>
          <w:szCs w:val="20"/>
          <w:lang w:val="es-MX"/>
        </w:rPr>
        <w:t>es</w:t>
      </w:r>
      <w:r w:rsidR="00674E43" w:rsidRPr="004456A7">
        <w:rPr>
          <w:rFonts w:ascii="Arial" w:hAnsi="Arial" w:cs="Arial"/>
          <w:color w:val="00B050"/>
          <w:sz w:val="20"/>
          <w:szCs w:val="20"/>
          <w:lang w:val="es-MX"/>
        </w:rPr>
        <w:t xml:space="preserve"> abiótico</w:t>
      </w:r>
      <w:r w:rsidR="009B44F3" w:rsidRPr="004456A7">
        <w:rPr>
          <w:rFonts w:ascii="Arial" w:hAnsi="Arial" w:cs="Arial"/>
          <w:color w:val="00B050"/>
          <w:sz w:val="20"/>
          <w:szCs w:val="20"/>
          <w:lang w:val="es-MX"/>
        </w:rPr>
        <w:t xml:space="preserve">s </w:t>
      </w:r>
      <w:r w:rsidR="004B20F4" w:rsidRPr="004456A7">
        <w:rPr>
          <w:rFonts w:ascii="Arial" w:hAnsi="Arial" w:cs="Arial"/>
          <w:color w:val="00B050"/>
          <w:sz w:val="20"/>
          <w:szCs w:val="20"/>
          <w:lang w:val="es-MX"/>
        </w:rPr>
        <w:t xml:space="preserve">pueden ser la </w:t>
      </w:r>
      <w:r w:rsidR="008C70D0" w:rsidRPr="004456A7">
        <w:rPr>
          <w:rFonts w:ascii="Arial" w:hAnsi="Arial" w:cs="Arial"/>
          <w:color w:val="00B050"/>
          <w:sz w:val="20"/>
          <w:szCs w:val="20"/>
          <w:lang w:val="es-MX"/>
        </w:rPr>
        <w:t>temperatura, la intensidad de luz y la disponibilidad de minerales y nutrientes</w:t>
      </w:r>
      <w:r w:rsidR="003304C1" w:rsidRPr="004456A7">
        <w:rPr>
          <w:rFonts w:ascii="Arial" w:hAnsi="Arial" w:cs="Arial"/>
          <w:color w:val="00B050"/>
          <w:sz w:val="20"/>
          <w:szCs w:val="20"/>
          <w:lang w:val="es-MX"/>
        </w:rPr>
        <w:t xml:space="preserve"> </w:t>
      </w:r>
      <w:r w:rsidR="003304C1" w:rsidRPr="004456A7">
        <w:rPr>
          <w:rFonts w:ascii="Arial" w:hAnsi="Arial" w:cs="Arial"/>
          <w:color w:val="00B050"/>
          <w:sz w:val="20"/>
          <w:szCs w:val="20"/>
          <w:lang w:val="es-MX"/>
        </w:rPr>
        <w:fldChar w:fldCharType="begin" w:fldLock="1"/>
      </w:r>
      <w:r w:rsidR="006C2332" w:rsidRPr="004456A7">
        <w:rPr>
          <w:rFonts w:ascii="Arial" w:hAnsi="Arial" w:cs="Arial"/>
          <w:color w:val="00B050"/>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4456A7">
        <w:rPr>
          <w:rFonts w:ascii="Arial" w:hAnsi="Arial" w:cs="Arial"/>
          <w:color w:val="00B050"/>
          <w:sz w:val="20"/>
          <w:szCs w:val="20"/>
          <w:lang w:val="es-MX"/>
        </w:rPr>
        <w:fldChar w:fldCharType="separate"/>
      </w:r>
      <w:r w:rsidR="00287500" w:rsidRPr="004456A7">
        <w:rPr>
          <w:rFonts w:ascii="Arial" w:hAnsi="Arial" w:cs="Arial"/>
          <w:noProof/>
          <w:color w:val="00B050"/>
          <w:sz w:val="20"/>
          <w:szCs w:val="20"/>
          <w:lang w:val="es-MX"/>
        </w:rPr>
        <w:t>[9]</w:t>
      </w:r>
      <w:r w:rsidR="003304C1" w:rsidRPr="004456A7">
        <w:rPr>
          <w:rFonts w:ascii="Arial" w:hAnsi="Arial" w:cs="Arial"/>
          <w:color w:val="00B050"/>
          <w:sz w:val="20"/>
          <w:szCs w:val="20"/>
          <w:lang w:val="es-MX"/>
        </w:rPr>
        <w:fldChar w:fldCharType="end"/>
      </w:r>
      <w:r w:rsidR="004B20F4" w:rsidRPr="004456A7">
        <w:rPr>
          <w:rFonts w:ascii="Arial" w:hAnsi="Arial" w:cs="Arial"/>
          <w:color w:val="00B050"/>
          <w:sz w:val="20"/>
          <w:szCs w:val="20"/>
          <w:lang w:val="es-MX"/>
        </w:rPr>
        <w:t>.</w:t>
      </w:r>
      <w:r w:rsidR="00080A96" w:rsidRPr="004456A7">
        <w:rPr>
          <w:rFonts w:ascii="Arial" w:hAnsi="Arial" w:cs="Arial"/>
          <w:color w:val="00B050"/>
          <w:sz w:val="20"/>
          <w:szCs w:val="20"/>
          <w:lang w:val="es-MX"/>
        </w:rPr>
        <w:t xml:space="preserve"> </w:t>
      </w:r>
      <w:r w:rsidR="001539B2" w:rsidRPr="004456A7">
        <w:rPr>
          <w:rFonts w:ascii="Arial" w:hAnsi="Arial" w:cs="Arial"/>
          <w:color w:val="00B050"/>
          <w:sz w:val="20"/>
          <w:szCs w:val="20"/>
          <w:lang w:val="es-MX"/>
        </w:rPr>
        <w:t xml:space="preserve">Cuando los factores abióticos </w:t>
      </w:r>
      <w:r w:rsidR="009426D4" w:rsidRPr="004456A7">
        <w:rPr>
          <w:rFonts w:ascii="Arial" w:hAnsi="Arial" w:cs="Arial"/>
          <w:color w:val="00B050"/>
          <w:sz w:val="20"/>
          <w:szCs w:val="20"/>
          <w:lang w:val="es-MX"/>
        </w:rPr>
        <w:t>se vuelven</w:t>
      </w:r>
      <w:r w:rsidR="001539B2" w:rsidRPr="004456A7">
        <w:rPr>
          <w:rFonts w:ascii="Arial" w:hAnsi="Arial" w:cs="Arial"/>
          <w:color w:val="00B050"/>
          <w:sz w:val="20"/>
          <w:szCs w:val="20"/>
          <w:lang w:val="es-MX"/>
        </w:rPr>
        <w:t xml:space="preserve"> desfavorables</w:t>
      </w:r>
      <w:r w:rsidR="00080A96" w:rsidRPr="004456A7">
        <w:rPr>
          <w:rFonts w:ascii="Arial" w:hAnsi="Arial" w:cs="Arial"/>
          <w:color w:val="00B050"/>
          <w:sz w:val="20"/>
          <w:szCs w:val="20"/>
          <w:lang w:val="es-MX"/>
        </w:rPr>
        <w:t>,</w:t>
      </w:r>
      <w:r w:rsidR="009426D4" w:rsidRPr="004456A7">
        <w:rPr>
          <w:rFonts w:ascii="Arial" w:hAnsi="Arial" w:cs="Arial"/>
          <w:color w:val="00B050"/>
          <w:sz w:val="20"/>
          <w:szCs w:val="20"/>
          <w:lang w:val="es-MX"/>
        </w:rPr>
        <w:t xml:space="preserve"> l</w:t>
      </w:r>
      <w:r w:rsidR="001539B2" w:rsidRPr="004456A7">
        <w:rPr>
          <w:rFonts w:ascii="Arial" w:hAnsi="Arial" w:cs="Arial"/>
          <w:color w:val="00B050"/>
          <w:sz w:val="20"/>
          <w:szCs w:val="20"/>
          <w:lang w:val="es-MX"/>
        </w:rPr>
        <w:t>os hongos</w:t>
      </w:r>
      <w:r w:rsidR="009426D4" w:rsidRPr="004456A7">
        <w:rPr>
          <w:rFonts w:ascii="Arial" w:hAnsi="Arial" w:cs="Arial"/>
          <w:color w:val="00B050"/>
          <w:sz w:val="20"/>
          <w:szCs w:val="20"/>
          <w:lang w:val="es-MX"/>
        </w:rPr>
        <w:t xml:space="preserve"> filamentosos experimentan </w:t>
      </w:r>
      <w:r w:rsidR="00CC5625" w:rsidRPr="004456A7">
        <w:rPr>
          <w:rFonts w:ascii="Arial" w:hAnsi="Arial" w:cs="Arial"/>
          <w:color w:val="00B050"/>
          <w:sz w:val="20"/>
          <w:szCs w:val="20"/>
          <w:lang w:val="es-MX"/>
        </w:rPr>
        <w:t xml:space="preserve">un proceso llamado </w:t>
      </w:r>
      <w:r w:rsidR="009426D4" w:rsidRPr="004456A7">
        <w:rPr>
          <w:rFonts w:ascii="Arial" w:hAnsi="Arial" w:cs="Arial"/>
          <w:color w:val="00B050"/>
          <w:sz w:val="20"/>
          <w:szCs w:val="20"/>
          <w:lang w:val="es-MX"/>
        </w:rPr>
        <w:t>estrés</w:t>
      </w:r>
      <w:r w:rsidR="00CC5625" w:rsidRPr="004456A7">
        <w:rPr>
          <w:rFonts w:ascii="Arial" w:hAnsi="Arial" w:cs="Arial"/>
          <w:color w:val="00B050"/>
          <w:sz w:val="20"/>
          <w:szCs w:val="20"/>
          <w:lang w:val="es-MX"/>
        </w:rPr>
        <w:t>, e</w:t>
      </w:r>
      <w:r w:rsidR="00D02C0D" w:rsidRPr="004456A7">
        <w:rPr>
          <w:rFonts w:ascii="Arial" w:hAnsi="Arial" w:cs="Arial"/>
          <w:color w:val="00B050"/>
          <w:sz w:val="20"/>
          <w:szCs w:val="20"/>
          <w:lang w:val="es-MX"/>
        </w:rPr>
        <w:t>l cual</w:t>
      </w:r>
      <w:r w:rsidR="00CE1BA9" w:rsidRPr="004456A7">
        <w:rPr>
          <w:rFonts w:ascii="Arial" w:hAnsi="Arial" w:cs="Arial"/>
          <w:color w:val="00B050"/>
          <w:sz w:val="20"/>
          <w:szCs w:val="20"/>
          <w:lang w:val="es-MX"/>
        </w:rPr>
        <w:t xml:space="preserve"> </w:t>
      </w:r>
      <w:r w:rsidR="00080A96" w:rsidRPr="004456A7">
        <w:rPr>
          <w:rFonts w:ascii="Arial" w:hAnsi="Arial" w:cs="Arial"/>
          <w:color w:val="00B050"/>
          <w:sz w:val="20"/>
          <w:szCs w:val="20"/>
          <w:lang w:val="es-MX"/>
        </w:rPr>
        <w:t xml:space="preserve">hace referencia a </w:t>
      </w:r>
      <w:r w:rsidR="00D02C0D" w:rsidRPr="004456A7">
        <w:rPr>
          <w:rFonts w:ascii="Arial" w:hAnsi="Arial" w:cs="Arial"/>
          <w:color w:val="00B050"/>
          <w:sz w:val="20"/>
          <w:szCs w:val="20"/>
          <w:lang w:val="es-MX"/>
        </w:rPr>
        <w:t>respuestas</w:t>
      </w:r>
      <w:r w:rsidR="00C120DA" w:rsidRPr="004456A7">
        <w:rPr>
          <w:rFonts w:ascii="Arial" w:hAnsi="Arial" w:cs="Arial"/>
          <w:color w:val="00B050"/>
          <w:sz w:val="20"/>
          <w:szCs w:val="20"/>
          <w:lang w:val="es-MX"/>
        </w:rPr>
        <w:t xml:space="preserve"> asociadas a daños</w:t>
      </w:r>
      <w:r w:rsidR="001539B2" w:rsidRPr="004456A7">
        <w:rPr>
          <w:rFonts w:ascii="Arial" w:hAnsi="Arial" w:cs="Arial"/>
          <w:color w:val="00B050"/>
          <w:sz w:val="20"/>
          <w:szCs w:val="20"/>
          <w:lang w:val="es-MX"/>
        </w:rPr>
        <w:t xml:space="preserve"> </w:t>
      </w:r>
      <w:r w:rsidR="00D02C0D" w:rsidRPr="004456A7">
        <w:rPr>
          <w:rFonts w:ascii="Arial" w:hAnsi="Arial" w:cs="Arial"/>
          <w:color w:val="00B050"/>
          <w:sz w:val="20"/>
          <w:szCs w:val="20"/>
          <w:lang w:val="es-MX"/>
        </w:rPr>
        <w:t xml:space="preserve">intracelulares </w:t>
      </w:r>
      <w:r w:rsidR="00080A96" w:rsidRPr="004456A7">
        <w:rPr>
          <w:rFonts w:ascii="Arial" w:hAnsi="Arial" w:cs="Arial"/>
          <w:color w:val="00B050"/>
          <w:sz w:val="20"/>
          <w:szCs w:val="20"/>
          <w:lang w:val="es-MX"/>
        </w:rPr>
        <w:t>provocadas por cambios ambientales</w:t>
      </w:r>
      <w:r w:rsidR="006C2332" w:rsidRPr="004456A7">
        <w:rPr>
          <w:rFonts w:ascii="Arial" w:hAnsi="Arial" w:cs="Arial"/>
          <w:color w:val="00B050"/>
          <w:sz w:val="20"/>
          <w:szCs w:val="20"/>
          <w:lang w:val="es-MX"/>
        </w:rPr>
        <w:t xml:space="preserve"> </w:t>
      </w:r>
      <w:r w:rsidR="008256C7" w:rsidRPr="004456A7">
        <w:rPr>
          <w:rFonts w:ascii="Arial" w:hAnsi="Arial" w:cs="Arial"/>
          <w:color w:val="00B050"/>
          <w:sz w:val="20"/>
          <w:szCs w:val="20"/>
          <w:lang w:val="es-MX"/>
        </w:rPr>
        <w:fldChar w:fldCharType="begin" w:fldLock="1"/>
      </w:r>
      <w:r w:rsidR="001F1B61" w:rsidRPr="004456A7">
        <w:rPr>
          <w:rFonts w:ascii="Arial" w:hAnsi="Arial" w:cs="Arial"/>
          <w:color w:val="00B050"/>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4456A7">
        <w:rPr>
          <w:rFonts w:ascii="Arial" w:hAnsi="Arial" w:cs="Arial"/>
          <w:color w:val="00B050"/>
          <w:sz w:val="20"/>
          <w:szCs w:val="20"/>
          <w:lang w:val="es-MX"/>
        </w:rPr>
        <w:fldChar w:fldCharType="separate"/>
      </w:r>
      <w:r w:rsidR="008256C7" w:rsidRPr="004456A7">
        <w:rPr>
          <w:rFonts w:ascii="Arial" w:hAnsi="Arial" w:cs="Arial"/>
          <w:noProof/>
          <w:color w:val="00B050"/>
          <w:sz w:val="20"/>
          <w:szCs w:val="20"/>
          <w:lang w:val="es-MX"/>
        </w:rPr>
        <w:t>[10], [11]</w:t>
      </w:r>
      <w:r w:rsidR="008256C7" w:rsidRPr="004456A7">
        <w:rPr>
          <w:rFonts w:ascii="Arial" w:hAnsi="Arial" w:cs="Arial"/>
          <w:color w:val="00B050"/>
          <w:sz w:val="20"/>
          <w:szCs w:val="20"/>
          <w:lang w:val="es-MX"/>
        </w:rPr>
        <w:fldChar w:fldCharType="end"/>
      </w:r>
      <w:r w:rsidR="00D02C0D" w:rsidRPr="004456A7">
        <w:rPr>
          <w:rFonts w:ascii="Arial" w:hAnsi="Arial" w:cs="Arial"/>
          <w:color w:val="00B050"/>
          <w:sz w:val="20"/>
          <w:szCs w:val="20"/>
          <w:lang w:val="es-MX"/>
        </w:rPr>
        <w:t>.</w:t>
      </w:r>
      <w:r w:rsidR="001F7060" w:rsidRPr="004456A7">
        <w:rPr>
          <w:rFonts w:ascii="Arial" w:hAnsi="Arial" w:cs="Arial"/>
          <w:color w:val="00B050"/>
          <w:sz w:val="20"/>
          <w:szCs w:val="20"/>
          <w:lang w:val="es-MX"/>
        </w:rPr>
        <w:t xml:space="preserve"> </w:t>
      </w:r>
      <w:r w:rsidRPr="004456A7">
        <w:rPr>
          <w:rFonts w:ascii="Arial" w:hAnsi="Arial" w:cs="Arial"/>
          <w:color w:val="00B050"/>
          <w:sz w:val="20"/>
          <w:szCs w:val="20"/>
          <w:lang w:val="es-MX"/>
        </w:rPr>
        <w:t xml:space="preserve">Todo tipo de estrés altera la homeostasis celular, </w:t>
      </w:r>
      <w:r w:rsidR="00971372" w:rsidRPr="004456A7">
        <w:rPr>
          <w:rFonts w:ascii="Arial" w:hAnsi="Arial" w:cs="Arial"/>
          <w:color w:val="00B050"/>
          <w:sz w:val="20"/>
          <w:szCs w:val="20"/>
          <w:lang w:val="es-MX"/>
        </w:rPr>
        <w:t>y,</w:t>
      </w:r>
      <w:r w:rsidRPr="004456A7">
        <w:rPr>
          <w:rFonts w:ascii="Arial" w:hAnsi="Arial" w:cs="Arial"/>
          <w:color w:val="00B050"/>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4456A7">
        <w:rPr>
          <w:rFonts w:ascii="Arial" w:hAnsi="Arial" w:cs="Arial"/>
          <w:color w:val="00B050"/>
          <w:sz w:val="20"/>
          <w:szCs w:val="20"/>
          <w:lang w:val="es-MX"/>
        </w:rPr>
        <w:t xml:space="preserve"> </w:t>
      </w:r>
      <w:bookmarkStart w:id="0" w:name="_GoBack"/>
      <w:r w:rsidR="001F1B61" w:rsidRPr="004456A7">
        <w:rPr>
          <w:rFonts w:ascii="Arial" w:hAnsi="Arial" w:cs="Arial"/>
          <w:color w:val="00B050"/>
          <w:sz w:val="20"/>
          <w:szCs w:val="20"/>
          <w:lang w:val="es-MX"/>
        </w:rPr>
        <w:fldChar w:fldCharType="begin" w:fldLock="1"/>
      </w:r>
      <w:r w:rsidR="00E55BFD" w:rsidRPr="004456A7">
        <w:rPr>
          <w:rFonts w:ascii="Arial" w:hAnsi="Arial" w:cs="Arial"/>
          <w:color w:val="00B050"/>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4456A7">
        <w:rPr>
          <w:rFonts w:ascii="Arial" w:hAnsi="Arial" w:cs="Arial"/>
          <w:color w:val="00B050"/>
          <w:sz w:val="20"/>
          <w:szCs w:val="20"/>
          <w:lang w:val="es-MX"/>
        </w:rPr>
        <w:fldChar w:fldCharType="separate"/>
      </w:r>
      <w:r w:rsidR="001F1B61" w:rsidRPr="004456A7">
        <w:rPr>
          <w:rFonts w:ascii="Arial" w:hAnsi="Arial" w:cs="Arial"/>
          <w:noProof/>
          <w:color w:val="00B050"/>
          <w:sz w:val="20"/>
          <w:szCs w:val="20"/>
          <w:lang w:val="es-MX"/>
        </w:rPr>
        <w:t>[12]</w:t>
      </w:r>
      <w:r w:rsidR="001F1B61" w:rsidRPr="004456A7">
        <w:rPr>
          <w:rFonts w:ascii="Arial" w:hAnsi="Arial" w:cs="Arial"/>
          <w:color w:val="00B050"/>
          <w:sz w:val="20"/>
          <w:szCs w:val="20"/>
          <w:lang w:val="es-MX"/>
        </w:rPr>
        <w:fldChar w:fldCharType="end"/>
      </w:r>
      <w:r w:rsidRPr="004456A7">
        <w:rPr>
          <w:rFonts w:ascii="Arial" w:hAnsi="Arial" w:cs="Arial"/>
          <w:color w:val="00B050"/>
          <w:sz w:val="20"/>
          <w:szCs w:val="20"/>
          <w:lang w:val="es-MX"/>
        </w:rPr>
        <w:t>,</w:t>
      </w:r>
      <w:r w:rsidR="008256C7" w:rsidRPr="004456A7">
        <w:rPr>
          <w:rFonts w:ascii="Arial" w:hAnsi="Arial" w:cs="Arial"/>
          <w:color w:val="00B050"/>
          <w:sz w:val="20"/>
          <w:szCs w:val="20"/>
          <w:lang w:val="es-MX"/>
        </w:rPr>
        <w:t xml:space="preserve"> sin embargo, </w:t>
      </w:r>
      <w:r w:rsidRPr="004456A7">
        <w:rPr>
          <w:rFonts w:ascii="Arial" w:hAnsi="Arial" w:cs="Arial"/>
          <w:color w:val="00B050"/>
          <w:sz w:val="20"/>
          <w:szCs w:val="20"/>
          <w:lang w:val="es-MX"/>
        </w:rPr>
        <w:t xml:space="preserve">aunque la mayoría de los hongos comparten mecanismos conservados, estos no </w:t>
      </w:r>
      <w:bookmarkEnd w:id="0"/>
      <w:r w:rsidRPr="004456A7">
        <w:rPr>
          <w:rFonts w:ascii="Arial" w:hAnsi="Arial" w:cs="Arial"/>
          <w:color w:val="00B050"/>
          <w:sz w:val="20"/>
          <w:szCs w:val="20"/>
          <w:lang w:val="es-MX"/>
        </w:rPr>
        <w:t xml:space="preserve">son idénticos. </w:t>
      </w: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 xml:space="preserve">debido a su papel regulador en el desarrollo de los hongos filamentosos y </w:t>
      </w:r>
      <w:r w:rsidR="000D3E6E" w:rsidRPr="00BD2DE8">
        <w:rPr>
          <w:rFonts w:ascii="Arial" w:hAnsi="Arial" w:cs="Arial"/>
          <w:color w:val="FF0000"/>
          <w:sz w:val="20"/>
          <w:szCs w:val="20"/>
          <w:lang w:val="es-MX"/>
        </w:rPr>
        <w:lastRenderedPageBreak/>
        <w:t>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de los hongos ascomycetos</w:t>
      </w:r>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El organismo modelo que ha sido usado para develar varios de los mecanismos descubiertos en estos hongos filamentosos ha sido la levadura Saccharomyces cerevisiae</w:t>
      </w:r>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Saccharomyces cerevisiae es el hongo ascomiceto más estudiado. Las bases de datos SGD (Saccharomyces Genome Database) y YeastMine</w:t>
      </w:r>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S. cerevisiae se han clasificado manualmente X proteínas en respuesta a estrés oxidativo (GO:XXXXXXX),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N. crassa, Aspergillus sp.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w:t>
      </w:r>
      <w:r w:rsidR="00997388" w:rsidRPr="00BD2DE8">
        <w:rPr>
          <w:rFonts w:ascii="Arial" w:hAnsi="Arial" w:cs="Arial"/>
          <w:sz w:val="20"/>
          <w:szCs w:val="20"/>
          <w:lang w:val="es-MX"/>
        </w:rPr>
        <w:t xml:space="preserve">os mecanismos de respuesta a diversos tipos de estrés ha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la interacción entre estos dos factores son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r w:rsidR="0037799B" w:rsidRPr="00BD2DE8">
        <w:rPr>
          <w:rFonts w:ascii="Arial" w:hAnsi="Arial" w:cs="Arial"/>
          <w:color w:val="FF0000"/>
          <w:sz w:val="20"/>
          <w:szCs w:val="20"/>
          <w:lang w:val="es-MX"/>
        </w:rPr>
        <w:t xml:space="preserve">GTPasa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GTPasa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r w:rsidR="000D57E2" w:rsidRPr="000D57E2">
        <w:rPr>
          <w:rFonts w:ascii="Arial" w:hAnsi="Arial" w:cs="Arial"/>
          <w:sz w:val="20"/>
          <w:szCs w:val="20"/>
          <w:lang w:val="es-MX"/>
        </w:rPr>
        <w:t>adenylyl cyclase</w:t>
      </w:r>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r w:rsidR="00D54A32">
        <w:rPr>
          <w:rFonts w:ascii="Arial" w:hAnsi="Arial" w:cs="Arial"/>
          <w:sz w:val="20"/>
          <w:szCs w:val="20"/>
          <w:lang w:val="es-MX"/>
        </w:rPr>
        <w:t>miristoilación</w:t>
      </w:r>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ribosilación</w:t>
      </w:r>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represena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 xml:space="preserve">-palmitoilación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sólo algunos hongos conservan este motivo, y por otro lado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presenta un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pero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Las subunidades del subgrupo I han relacionadas con procesos de . Las del subgrupo II con . Y las del subgrupo III con .</w:t>
      </w:r>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intrones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intrones, como en el caso de magA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intrones</w:t>
      </w:r>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miristoilación y de ADP-ribosilación</w:t>
      </w:r>
      <w:r w:rsidR="002B166E" w:rsidRPr="00BD2DE8">
        <w:rPr>
          <w:rFonts w:ascii="Arial" w:hAnsi="Arial" w:cs="Arial"/>
          <w:color w:val="FF0000"/>
          <w:sz w:val="20"/>
          <w:szCs w:val="20"/>
          <w:lang w:val="es-MX"/>
        </w:rPr>
        <w:t>, solo sitio de miristoilación como en el caso de magA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crassa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M</w:t>
      </w:r>
      <w:r w:rsidR="002B166E" w:rsidRPr="00BD2DE8">
        <w:rPr>
          <w:rFonts w:ascii="Arial" w:hAnsi="Arial" w:cs="Arial"/>
          <w:color w:val="FF0000"/>
          <w:sz w:val="20"/>
          <w:szCs w:val="20"/>
          <w:lang w:val="es-MX"/>
        </w:rPr>
        <w:t>agC</w:t>
      </w:r>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miristoilación  y de ADP-ribosilación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ADP-ribosilación por la toxina pertussis</w:t>
      </w:r>
      <w:r w:rsidRPr="00BD2DE8">
        <w:rPr>
          <w:rFonts w:ascii="Arial" w:hAnsi="Arial" w:cs="Arial"/>
          <w:color w:val="FF0000"/>
          <w:sz w:val="20"/>
          <w:szCs w:val="20"/>
          <w:lang w:val="es-MX"/>
        </w:rPr>
        <w:t xml:space="preserve"> (una ADP-ribosiltransferasa)</w:t>
      </w:r>
      <w:r w:rsidR="002E023D" w:rsidRPr="00BD2DE8">
        <w:rPr>
          <w:rFonts w:ascii="Arial" w:hAnsi="Arial" w:cs="Arial"/>
          <w:color w:val="FF0000"/>
          <w:sz w:val="20"/>
          <w:szCs w:val="20"/>
          <w:lang w:val="es-MX"/>
        </w:rPr>
        <w:t xml:space="preserve"> producida por </w:t>
      </w:r>
      <w:r w:rsidR="002E023D" w:rsidRPr="00BD2DE8">
        <w:rPr>
          <w:rFonts w:ascii="Arial" w:hAnsi="Arial" w:cs="Arial"/>
          <w:i/>
          <w:color w:val="FF0000"/>
          <w:sz w:val="20"/>
          <w:szCs w:val="20"/>
          <w:lang w:val="es-MX"/>
        </w:rPr>
        <w:t>Bordetella pertussis</w:t>
      </w:r>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nicotinamida-adenina)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ADP-ribosilación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 congregatus</w:t>
      </w:r>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miristoilación MGXXXS</w:t>
      </w:r>
      <w:r w:rsidR="002B1EBB" w:rsidRPr="00BD2DE8">
        <w:rPr>
          <w:rFonts w:ascii="Arial" w:hAnsi="Arial" w:cs="Arial"/>
          <w:color w:val="FF0000"/>
          <w:sz w:val="20"/>
          <w:szCs w:val="20"/>
          <w:lang w:val="es-MX"/>
        </w:rPr>
        <w:t xml:space="preserve"> (de adición de ácido mirístico)</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GTPasas se localizaron en la </w:t>
      </w:r>
      <w:r w:rsidR="007A2AFA" w:rsidRPr="00BD2DE8">
        <w:rPr>
          <w:rFonts w:ascii="Arial" w:hAnsi="Arial" w:cs="Arial"/>
          <w:color w:val="FF0000"/>
          <w:sz w:val="20"/>
          <w:szCs w:val="20"/>
          <w:lang w:val="es-MX"/>
        </w:rPr>
        <w:t xml:space="preserve">proteína Gα de </w:t>
      </w:r>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 trifolii</w:t>
      </w:r>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intrones I y II de la Gα de mamíferos en las Gα de </w:t>
      </w:r>
      <w:r w:rsidR="007A2AFA" w:rsidRPr="00BD2DE8">
        <w:rPr>
          <w:rFonts w:ascii="Arial" w:hAnsi="Arial" w:cs="Arial"/>
          <w:i/>
          <w:color w:val="FF0000"/>
          <w:sz w:val="20"/>
          <w:szCs w:val="20"/>
          <w:lang w:val="es-MX"/>
        </w:rPr>
        <w:t>C. trifolii,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de kcat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r w:rsidR="00170429" w:rsidRPr="00BD2DE8">
        <w:rPr>
          <w:rFonts w:ascii="Arial" w:hAnsi="Arial" w:cs="Arial"/>
          <w:sz w:val="20"/>
          <w:szCs w:val="20"/>
          <w:lang w:val="es-MX"/>
        </w:rPr>
        <w:t xml:space="preserve">regulator of G-protein signaling),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GTPasa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A nidulas</w:t>
      </w:r>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FlbA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 xml:space="preserve">dos sitios conservados para el dominio DEP (dishevelled, Egl-10, pleckstrin),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 xml:space="preserve">ress </w:t>
      </w:r>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 xml:space="preserve">esponsive </w:t>
      </w:r>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 , RgsC que contiene  el domino RGS y un dominio Phox (PX) localizado en el C-terminal, actúa como una señal de ordenamiento para que las proteías logren ser ubicadas apropiadamente por unión a fofoinositoles, y un domino PX-associated (PXA) en el N-terminal,  RGS-PX1 tiene un papel bi</w:t>
      </w:r>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(GTPase-activating protein:GAP) for Gα</w:t>
      </w:r>
      <w:r w:rsidR="00422893" w:rsidRPr="00BD2DE8">
        <w:rPr>
          <w:rFonts w:ascii="Arial" w:hAnsi="Arial" w:cs="Arial"/>
          <w:color w:val="FF0000"/>
          <w:sz w:val="20"/>
          <w:szCs w:val="20"/>
          <w:lang w:val="es-MX"/>
        </w:rPr>
        <w:t xml:space="preserve"> y como proteína clasificadora de nexina (SNX: sorting nexin).</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A. nidulas</w:t>
      </w:r>
      <w:r w:rsidRPr="00BD2DE8">
        <w:rPr>
          <w:rFonts w:ascii="Arial" w:hAnsi="Arial" w:cs="Arial"/>
          <w:color w:val="FF0000"/>
          <w:sz w:val="20"/>
          <w:szCs w:val="20"/>
          <w:lang w:val="es-MX"/>
        </w:rPr>
        <w:t xml:space="preserve"> registrada AN1652.2 de 575 a.a.</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G-protein-coupled protein) también con</w:t>
      </w:r>
      <w:r w:rsidR="00BC2D0F" w:rsidRPr="00BD2DE8">
        <w:rPr>
          <w:rFonts w:ascii="Arial" w:hAnsi="Arial" w:cs="Arial"/>
          <w:color w:val="FF0000"/>
          <w:sz w:val="20"/>
          <w:szCs w:val="20"/>
          <w:lang w:val="es-MX"/>
        </w:rPr>
        <w:t>ocidos como receptores trans-memb</w:t>
      </w:r>
      <w:r w:rsidRPr="00BD2DE8">
        <w:rPr>
          <w:rFonts w:ascii="Arial" w:hAnsi="Arial" w:cs="Arial"/>
          <w:color w:val="FF0000"/>
          <w:sz w:val="20"/>
          <w:szCs w:val="20"/>
          <w:lang w:val="es-MX"/>
        </w:rPr>
        <w:t xml:space="preserve">ranales de siete dominios helicoidales, receptores </w:t>
      </w:r>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(ligandos)</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fosfodiesterasa, adenilato ciclasa, canales de iones k+ y Ca+, fosfolipasas, proteínas cinasas, Inositol, 1,4,5 trifosfato, óxido nitrico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Similarmente las proteinas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conidial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interactia con la secuencia sensible a la toxina pertussis de la Gα MagB,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r w:rsidR="008F710C" w:rsidRPr="00730889">
                <w:rPr>
                  <w:lang w:val="es-MX"/>
                </w:rPr>
                <w:t>‬</w:t>
              </w:r>
              <w:r w:rsidR="008F710C" w:rsidRPr="00730889">
                <w:rPr>
                  <w:lang w:val="es-MX"/>
                </w:rPr>
                <w:t>‬</w:t>
              </w:r>
              <w:r w:rsidR="008F710C" w:rsidRPr="00730889">
                <w:rPr>
                  <w:lang w:val="es-MX"/>
                </w:rPr>
                <w:t>‬</w:t>
              </w:r>
              <w:r w:rsidR="008F710C" w:rsidRPr="00730889">
                <w:rPr>
                  <w:lang w:val="es-MX"/>
                </w:rPr>
                <w:t>‬</w:t>
              </w:r>
              <w:r w:rsidR="001D1045">
                <w:t>‬</w:t>
              </w:r>
              <w:r w:rsidR="001D1045">
                <w:t>‬</w:t>
              </w:r>
              <w:r w:rsidR="001D1045">
                <w:t>‬</w:t>
              </w:r>
              <w:r w:rsidR="001D1045">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r w:rsidR="00211033" w:rsidRPr="00BD2DE8">
        <w:rPr>
          <w:rFonts w:ascii="Arial" w:hAnsi="Arial" w:cs="Arial"/>
          <w:i/>
          <w:color w:val="FF0000"/>
          <w:sz w:val="20"/>
          <w:szCs w:val="20"/>
          <w:lang w:val="es-MX"/>
        </w:rPr>
        <w:t>Sporothrix schenckii</w:t>
      </w:r>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proteína-proteina,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r w:rsidR="00431B57" w:rsidRPr="00BD2DE8">
        <w:rPr>
          <w:rFonts w:ascii="Arial" w:hAnsi="Arial" w:cs="Arial"/>
          <w:color w:val="FF0000"/>
          <w:sz w:val="20"/>
          <w:szCs w:val="20"/>
          <w:lang w:val="es-MX"/>
        </w:rPr>
        <w:t xml:space="preserve">super óxido dismutasa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citosólico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schenckii</w:t>
      </w:r>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ayuda en la adquisición del ion metálico para la SOD, que lo integra a su estructura cuando está en la cara externa de la membrana mitocondrial externa, por lo que Gα interactúa con transportadores de metales mitocondriales de la familia Mtm</w:t>
      </w:r>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sideróforo transportador de hierro (SIT), el transportador de cationes </w:t>
      </w:r>
      <w:r w:rsidR="00091E1B" w:rsidRPr="00BD2DE8">
        <w:rPr>
          <w:rFonts w:ascii="Arial" w:hAnsi="Arial" w:cs="Arial"/>
          <w:color w:val="FF0000"/>
          <w:sz w:val="20"/>
          <w:szCs w:val="20"/>
          <w:lang w:val="es-MX"/>
        </w:rPr>
        <w:t xml:space="preserve">(Nram), transporta Magnesio y hierro principalmente y otros catione divalentes como el Zinc, cobre, cadmio, cobalto y nikel, </w:t>
      </w:r>
      <w:r w:rsidR="00431B57" w:rsidRPr="00BD2DE8">
        <w:rPr>
          <w:rFonts w:ascii="Arial" w:hAnsi="Arial" w:cs="Arial"/>
          <w:color w:val="FF0000"/>
          <w:sz w:val="20"/>
          <w:szCs w:val="20"/>
          <w:lang w:val="es-MX"/>
        </w:rPr>
        <w:t xml:space="preserve">  y la </w:t>
      </w:r>
      <w:r w:rsidR="00CE7002" w:rsidRPr="00BD2DE8">
        <w:rPr>
          <w:rFonts w:ascii="Arial" w:hAnsi="Arial" w:cs="Arial"/>
          <w:color w:val="FF0000"/>
          <w:sz w:val="20"/>
          <w:szCs w:val="20"/>
          <w:lang w:val="es-MX"/>
        </w:rPr>
        <w:t>Gliceraldehido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30584389" w:rsidR="0053488D" w:rsidRDefault="0053488D" w:rsidP="008D1AB2">
      <w:pPr>
        <w:spacing w:after="0" w:line="360" w:lineRule="auto"/>
        <w:jc w:val="both"/>
        <w:rPr>
          <w:rFonts w:ascii="Arial" w:hAnsi="Arial" w:cs="Arial"/>
          <w:color w:val="FF0000"/>
          <w:sz w:val="20"/>
          <w:szCs w:val="20"/>
          <w:lang w:val="es-MX"/>
        </w:rPr>
      </w:pP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lang w:val="es-MX" w:eastAsia="es-MX"/>
        </w:rPr>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Aquí antes de comenzar con los tipos de estrés, dar una introducción del porqué se realizaron los heatmap,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Uno de los organismos modelo más estudiados es Saccharomyces cerevisiae</w:t>
      </w:r>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r w:rsidR="00FC6C44" w:rsidRPr="00BD2DE8">
        <w:rPr>
          <w:rFonts w:ascii="Arial" w:hAnsi="Arial" w:cs="Arial"/>
          <w:i/>
          <w:sz w:val="20"/>
          <w:szCs w:val="20"/>
          <w:lang w:val="es-MX"/>
        </w:rPr>
        <w:t>Penicillium</w:t>
      </w:r>
      <w:r w:rsidR="008C13F4" w:rsidRPr="00BD2DE8">
        <w:rPr>
          <w:rFonts w:ascii="Arial" w:hAnsi="Arial" w:cs="Arial"/>
          <w:i/>
          <w:sz w:val="20"/>
          <w:szCs w:val="20"/>
          <w:lang w:val="es-MX"/>
        </w:rPr>
        <w:t xml:space="preserve"> roqueforti</w:t>
      </w:r>
      <w:r w:rsidR="008C13F4" w:rsidRPr="00BD2DE8">
        <w:rPr>
          <w:rFonts w:ascii="Arial" w:hAnsi="Arial" w:cs="Arial"/>
          <w:sz w:val="20"/>
          <w:szCs w:val="20"/>
          <w:lang w:val="es-MX"/>
        </w:rPr>
        <w:t xml:space="preserve">, </w:t>
      </w:r>
      <w:r w:rsidR="008C13F4" w:rsidRPr="00BD2DE8">
        <w:rPr>
          <w:rFonts w:ascii="Arial" w:hAnsi="Arial" w:cs="Arial"/>
          <w:i/>
          <w:sz w:val="20"/>
          <w:szCs w:val="20"/>
          <w:lang w:val="es-MX"/>
        </w:rPr>
        <w:t xml:space="preserve">Penicillium </w:t>
      </w:r>
      <w:r w:rsidR="00FC6C44" w:rsidRPr="00BD2DE8">
        <w:rPr>
          <w:rFonts w:ascii="Arial" w:hAnsi="Arial" w:cs="Arial"/>
          <w:i/>
          <w:sz w:val="20"/>
          <w:szCs w:val="20"/>
          <w:lang w:val="es-ES"/>
        </w:rPr>
        <w:t>camemberti</w:t>
      </w:r>
      <w:r w:rsidR="00A123AD" w:rsidRPr="00BD2DE8">
        <w:rPr>
          <w:rFonts w:ascii="Arial" w:hAnsi="Arial" w:cs="Arial"/>
          <w:sz w:val="20"/>
          <w:szCs w:val="20"/>
          <w:lang w:val="es-ES"/>
        </w:rPr>
        <w:t xml:space="preserve"> y </w:t>
      </w:r>
      <w:r w:rsidR="00A123AD" w:rsidRPr="00BD2DE8">
        <w:rPr>
          <w:rFonts w:ascii="Arial" w:hAnsi="Arial" w:cs="Arial"/>
          <w:i/>
          <w:sz w:val="20"/>
          <w:szCs w:val="20"/>
          <w:lang w:val="es-ES"/>
        </w:rPr>
        <w:t>Penicillium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benzoquinona reductasa,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Pga1 y GNA-1 regulan positivamente los niveles de cAMP</w:t>
      </w:r>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GNA-3 regula positivamente los niveles de cAMP</w:t>
      </w:r>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cAMP</w:t>
      </w:r>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La relación directa entre los niveles de cAMP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r w:rsidR="0099610C" w:rsidRPr="00BD2DE8">
        <w:rPr>
          <w:rFonts w:ascii="Arial" w:hAnsi="Arial" w:cs="Arial"/>
          <w:i/>
          <w:sz w:val="20"/>
          <w:szCs w:val="20"/>
          <w:lang w:val="es-MX"/>
        </w:rPr>
        <w:t>Saccharomyces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r w:rsidR="00AD62B5" w:rsidRPr="00BD2DE8">
        <w:rPr>
          <w:rFonts w:ascii="Arial" w:hAnsi="Arial" w:cs="Arial"/>
          <w:i/>
          <w:sz w:val="20"/>
          <w:szCs w:val="20"/>
          <w:lang w:val="es-MX"/>
        </w:rPr>
        <w:t>Candida albicans</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r w:rsidR="00982D60" w:rsidRPr="00BD2DE8">
        <w:rPr>
          <w:rFonts w:ascii="Arial" w:hAnsi="Arial" w:cs="Arial"/>
          <w:i/>
          <w:sz w:val="20"/>
          <w:szCs w:val="20"/>
          <w:lang w:val="es-MX"/>
        </w:rPr>
        <w:t>Candida albicans</w:t>
      </w:r>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cAMP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En Hypocrea jecorina (anamorfo Trichoderma reesei)</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expuestos a paraquat (Yang, et al (1999),  y sobre el crecimiento de Hypocrea jecorina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de microarreglos</w:t>
      </w:r>
      <w:r w:rsidR="004B1511" w:rsidRPr="00BD2DE8">
        <w:rPr>
          <w:rFonts w:ascii="Arial" w:eastAsia="Times New Roman" w:hAnsi="Arial" w:cs="Arial"/>
          <w:sz w:val="20"/>
          <w:szCs w:val="20"/>
          <w:lang w:val="es-MX" w:eastAsia="es-MX"/>
        </w:rPr>
        <w:t xml:space="preserve"> relizado en </w:t>
      </w:r>
      <w:r w:rsidR="004B1511" w:rsidRPr="00BD2DE8">
        <w:rPr>
          <w:rFonts w:ascii="Arial" w:eastAsia="Times New Roman" w:hAnsi="Arial" w:cs="Arial"/>
          <w:i/>
          <w:sz w:val="20"/>
          <w:szCs w:val="20"/>
          <w:lang w:val="es-MX" w:eastAsia="es-MX"/>
        </w:rPr>
        <w:t>Cryphonectria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r w:rsidR="004B1511" w:rsidRPr="00BD2DE8">
        <w:rPr>
          <w:rFonts w:ascii="Arial" w:eastAsia="Times New Roman" w:hAnsi="Arial" w:cs="Arial"/>
          <w:sz w:val="20"/>
          <w:szCs w:val="20"/>
          <w:lang w:val="es-MX" w:eastAsia="es-MX"/>
        </w:rPr>
        <w:t>glutation S-transferasa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hipovirus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lang w:val="es-MX" w:eastAsia="es-MX"/>
        </w:rPr>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oxidative stress: GO:0006979)</w:t>
      </w:r>
      <w:r w:rsidR="00CA4CE8" w:rsidRPr="00BD2DE8">
        <w:rPr>
          <w:rFonts w:ascii="Arial" w:eastAsia="Times New Roman" w:hAnsi="Arial" w:cs="Arial"/>
          <w:sz w:val="20"/>
          <w:szCs w:val="20"/>
          <w:lang w:val="es-ES" w:eastAsia="es-MX"/>
        </w:rPr>
        <w:t xml:space="preserve"> en Saccharomyces cerevisiae.</w:t>
      </w:r>
      <w:r w:rsidR="00850414" w:rsidRPr="00BD2DE8">
        <w:rPr>
          <w:rFonts w:ascii="Arial" w:eastAsia="Times New Roman" w:hAnsi="Arial" w:cs="Arial"/>
          <w:sz w:val="20"/>
          <w:szCs w:val="20"/>
          <w:lang w:val="es-ES" w:eastAsia="es-MX"/>
        </w:rPr>
        <w:t xml:space="preserve"> Superior) Muestra los hongos filamentosos analizados con su respectivo 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Saccharomyces Genome Database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UniProtKB.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hypero</w:t>
      </w:r>
      <w:r w:rsidR="00720308" w:rsidRPr="00BD2DE8">
        <w:rPr>
          <w:rFonts w:ascii="Arial" w:hAnsi="Arial" w:cs="Arial"/>
          <w:sz w:val="20"/>
          <w:szCs w:val="20"/>
          <w:lang w:val="es-MX"/>
        </w:rPr>
        <w:t>smóticas</w:t>
      </w:r>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r w:rsidR="00B63307" w:rsidRPr="00BD2DE8">
        <w:rPr>
          <w:rFonts w:ascii="Arial" w:hAnsi="Arial" w:cs="Arial"/>
          <w:i/>
          <w:sz w:val="20"/>
          <w:szCs w:val="20"/>
          <w:lang w:val="es-MX"/>
        </w:rPr>
        <w:t>Penicillium marneffei</w:t>
      </w:r>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GasC</w:t>
      </w:r>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GasC,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lang w:val="es-MX" w:eastAsia="es-MX"/>
        </w:rPr>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response to osmotic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en Saccharomyces cerevisiae. Superior) Muestra los hongos filamentosos analizados con su 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Saccharomyces Genome Database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UniProtKB.</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Hypocrea jecorina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 relación entre las proteínas G y la luz fue demostrado en Hypocrea jecorina.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r w:rsidR="00724BD4" w:rsidRPr="00724BD4">
        <w:rPr>
          <w:rFonts w:ascii="Arial" w:hAnsi="Arial" w:cs="Arial"/>
          <w:sz w:val="20"/>
          <w:szCs w:val="20"/>
          <w:lang w:val="es-MX"/>
        </w:rPr>
        <w:t>heat shock proteins</w:t>
      </w:r>
      <w:r w:rsidR="00724BD4">
        <w:rPr>
          <w:rFonts w:ascii="Arial" w:hAnsi="Arial" w:cs="Arial"/>
          <w:sz w:val="20"/>
          <w:szCs w:val="20"/>
          <w:lang w:val="es-MX"/>
        </w:rPr>
        <w:t>: H</w:t>
      </w:r>
      <w:r w:rsidR="00C21EA9">
        <w:rPr>
          <w:rFonts w:ascii="Arial" w:hAnsi="Arial" w:cs="Arial"/>
          <w:sz w:val="20"/>
          <w:szCs w:val="20"/>
          <w:lang w:val="es-MX"/>
        </w:rPr>
        <w:t>sp</w:t>
      </w:r>
      <w:r w:rsidR="00724BD4">
        <w:rPr>
          <w:rFonts w:ascii="Arial" w:hAnsi="Arial" w:cs="Arial"/>
          <w:sz w:val="20"/>
          <w:szCs w:val="20"/>
          <w:lang w:val="es-MX"/>
        </w:rPr>
        <w:t>s</w:t>
      </w:r>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Hsps,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r w:rsidR="00095824">
        <w:rPr>
          <w:rFonts w:ascii="Arial" w:hAnsi="Arial" w:cs="Arial"/>
          <w:sz w:val="20"/>
          <w:szCs w:val="20"/>
          <w:lang w:val="es-MX"/>
        </w:rPr>
        <w:t xml:space="preserve">citosol,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pequeñas Hsps las cuales tienen masas entre los 8 y 40 kDa</w:t>
      </w:r>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Hsps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r w:rsidR="00BF7CE9" w:rsidRPr="00BF7CE9">
        <w:rPr>
          <w:rFonts w:ascii="Arial" w:hAnsi="Arial" w:cs="Arial"/>
          <w:sz w:val="20"/>
          <w:szCs w:val="20"/>
          <w:lang w:val="es-MX"/>
        </w:rPr>
        <w:t>heat shock transcription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Gγ</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Bölker</w:t>
      </w:r>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P. camemberti</w:t>
      </w:r>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P. roqueforti</w:t>
      </w:r>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oxysporum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r w:rsidR="00EA40F9" w:rsidRPr="006209A6">
        <w:rPr>
          <w:rFonts w:ascii="Arial" w:hAnsi="Arial" w:cs="Arial"/>
          <w:sz w:val="20"/>
          <w:szCs w:val="20"/>
        </w:rPr>
        <w:t>y</w:t>
      </w:r>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estudios realizados en las </w:t>
      </w:r>
      <w:r w:rsidR="003A62DA" w:rsidRPr="006209A6">
        <w:rPr>
          <w:rFonts w:ascii="Arial" w:hAnsi="Arial" w:cs="Arial"/>
          <w:sz w:val="20"/>
          <w:szCs w:val="20"/>
        </w:rPr>
        <w:t xml:space="preserve">tres especies del </w:t>
      </w:r>
      <w:r w:rsidR="003675BE" w:rsidRPr="006209A6">
        <w:rPr>
          <w:rFonts w:ascii="Arial" w:hAnsi="Arial" w:cs="Arial"/>
          <w:sz w:val="20"/>
          <w:szCs w:val="20"/>
        </w:rPr>
        <w:t>género Penicillium,</w:t>
      </w:r>
      <w:r w:rsidR="003A62DA" w:rsidRPr="006209A6">
        <w:rPr>
          <w:rFonts w:ascii="Arial" w:hAnsi="Arial" w:cs="Arial"/>
          <w:sz w:val="20"/>
          <w:szCs w:val="20"/>
        </w:rPr>
        <w:t xml:space="preserve"> </w:t>
      </w:r>
      <w:r w:rsidR="00223DF4" w:rsidRPr="006209A6">
        <w:rPr>
          <w:rFonts w:ascii="Arial" w:hAnsi="Arial" w:cs="Arial"/>
          <w:sz w:val="20"/>
          <w:szCs w:val="20"/>
        </w:rPr>
        <w:t xml:space="preserve">han revelado </w:t>
      </w:r>
      <w:r w:rsidR="00835AEF" w:rsidRPr="006209A6">
        <w:rPr>
          <w:rFonts w:ascii="Arial" w:hAnsi="Arial" w:cs="Arial"/>
          <w:sz w:val="20"/>
          <w:szCs w:val="20"/>
        </w:rPr>
        <w:t>respuestas</w:t>
      </w:r>
      <w:r w:rsidR="003675BE" w:rsidRPr="006209A6">
        <w:rPr>
          <w:rFonts w:ascii="Arial" w:hAnsi="Arial" w:cs="Arial"/>
          <w:sz w:val="20"/>
          <w:szCs w:val="20"/>
        </w:rPr>
        <w:t xml:space="preserve"> </w:t>
      </w:r>
      <w:r w:rsidR="00835AEF" w:rsidRPr="006209A6">
        <w:rPr>
          <w:rFonts w:ascii="Arial" w:hAnsi="Arial" w:cs="Arial"/>
          <w:sz w:val="20"/>
          <w:szCs w:val="20"/>
        </w:rPr>
        <w:t xml:space="preserve">idénticas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estrés térmico.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análisis por Blas</w:t>
      </w:r>
      <w:r w:rsidR="00CA01CF">
        <w:rPr>
          <w:rFonts w:ascii="Arial" w:hAnsi="Arial" w:cs="Arial"/>
          <w:sz w:val="20"/>
          <w:szCs w:val="20"/>
          <w:lang w:val="es-ES"/>
        </w:rPr>
        <w:t>t</w:t>
      </w:r>
      <w:r w:rsidR="00E42FFF">
        <w:rPr>
          <w:rFonts w:ascii="Arial" w:hAnsi="Arial" w:cs="Arial"/>
          <w:sz w:val="20"/>
          <w:szCs w:val="20"/>
          <w:lang w:val="es-ES"/>
        </w:rPr>
        <w:t>p</w:t>
      </w:r>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ATP-dependent molecular chaperone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730889">
        <w:rPr>
          <w:rFonts w:ascii="Arial" w:hAnsi="Arial" w:cs="Arial"/>
          <w:sz w:val="20"/>
          <w:szCs w:val="20"/>
          <w:lang w:val="es-MX"/>
        </w:rPr>
        <w:instrText>he proper activation signal. We speculate that</w:instrText>
      </w:r>
      <w:r w:rsidR="00172E53" w:rsidRPr="00D617C9">
        <w:rPr>
          <w:rFonts w:ascii="Arial" w:hAnsi="Arial" w:cs="Arial"/>
          <w:sz w:val="20"/>
          <w:szCs w:val="20"/>
        </w:rPr>
        <w:instrText xml:space="preserve">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w:instrText>
      </w:r>
      <w:r w:rsidR="00172E53" w:rsidRPr="00730889">
        <w:rPr>
          <w:rFonts w:ascii="Arial" w:hAnsi="Arial" w:cs="Arial"/>
          <w:sz w:val="20"/>
          <w:szCs w:val="20"/>
          <w:lang w:val="es-MX"/>
        </w:rPr>
        <w:instrTex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730889">
        <w:rPr>
          <w:rFonts w:ascii="Arial" w:hAnsi="Arial" w:cs="Arial"/>
          <w:noProof/>
          <w:sz w:val="20"/>
          <w:szCs w:val="20"/>
          <w:lang w:val="es-MX"/>
        </w:rPr>
        <w:t>[67]</w:t>
      </w:r>
      <w:r w:rsidR="0036291D">
        <w:rPr>
          <w:rFonts w:ascii="Arial" w:hAnsi="Arial" w:cs="Arial"/>
          <w:sz w:val="20"/>
          <w:szCs w:val="20"/>
          <w:lang w:val="es-ES"/>
        </w:rPr>
        <w:fldChar w:fldCharType="end"/>
      </w:r>
      <w:r w:rsidR="00F47170" w:rsidRPr="00730889">
        <w:rPr>
          <w:rFonts w:ascii="Arial" w:hAnsi="Arial" w:cs="Arial"/>
          <w:sz w:val="20"/>
          <w:szCs w:val="20"/>
          <w:lang w:val="es-MX"/>
        </w:rPr>
        <w:t>), respectivamente, de S. cerevisiae</w:t>
      </w:r>
      <w:r w:rsidR="00E42FFF" w:rsidRPr="00730889">
        <w:rPr>
          <w:rFonts w:ascii="Arial" w:hAnsi="Arial" w:cs="Arial"/>
          <w:sz w:val="20"/>
          <w:szCs w:val="20"/>
          <w:lang w:val="es-MX"/>
        </w:rPr>
        <w:t>, mostrando más del 70% de identidad</w:t>
      </w:r>
      <w:r w:rsidR="0096048C" w:rsidRPr="00730889">
        <w:rPr>
          <w:rFonts w:ascii="Arial" w:hAnsi="Arial" w:cs="Arial"/>
          <w:sz w:val="20"/>
          <w:szCs w:val="20"/>
          <w:lang w:val="es-MX"/>
        </w:rPr>
        <w:t xml:space="preserve"> en sus secuencias</w:t>
      </w:r>
      <w:r w:rsidR="007D0ADA" w:rsidRPr="00730889">
        <w:rPr>
          <w:rFonts w:ascii="Arial" w:hAnsi="Arial" w:cs="Arial"/>
          <w:sz w:val="20"/>
          <w:szCs w:val="20"/>
          <w:lang w:val="es-MX"/>
        </w:rPr>
        <w:t xml:space="preserve"> (Figura </w:t>
      </w:r>
      <w:r w:rsidR="00B713D3" w:rsidRPr="00730889">
        <w:rPr>
          <w:rFonts w:ascii="Arial" w:hAnsi="Arial" w:cs="Arial"/>
          <w:sz w:val="20"/>
          <w:szCs w:val="20"/>
          <w:lang w:val="es-MX"/>
        </w:rPr>
        <w:t>4</w:t>
      </w:r>
      <w:r w:rsidR="007D0ADA" w:rsidRPr="00730889">
        <w:rPr>
          <w:rFonts w:ascii="Arial" w:hAnsi="Arial" w:cs="Arial"/>
          <w:sz w:val="20"/>
          <w:szCs w:val="20"/>
          <w:lang w:val="es-MX"/>
        </w:rPr>
        <w:t>)</w:t>
      </w:r>
      <w:r w:rsidR="00E82704" w:rsidRPr="00730889">
        <w:rPr>
          <w:rFonts w:ascii="Arial" w:hAnsi="Arial" w:cs="Arial"/>
          <w:sz w:val="20"/>
          <w:szCs w:val="20"/>
          <w:lang w:val="es-MX"/>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En Neurospora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Neurospora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posiblemente por modulación de los niveles de cAMP</w:t>
      </w:r>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r w:rsidRPr="009B1E9B">
        <w:rPr>
          <w:rFonts w:ascii="Arial" w:hAnsi="Arial" w:cs="Arial"/>
          <w:sz w:val="20"/>
          <w:szCs w:val="20"/>
          <w:lang w:val="es-MX"/>
        </w:rPr>
        <w:t>Evolutionary analyses were conducted in MEGA X [4].</w:t>
      </w:r>
    </w:p>
    <w:p w14:paraId="6498FAB8" w14:textId="77777777" w:rsidR="009B1E9B" w:rsidRPr="009B1E9B" w:rsidRDefault="009B1E9B" w:rsidP="009B1E9B">
      <w:pPr>
        <w:spacing w:after="0" w:line="360" w:lineRule="auto"/>
        <w:jc w:val="both"/>
        <w:rPr>
          <w:rFonts w:ascii="Arial" w:hAnsi="Arial" w:cs="Arial"/>
          <w:sz w:val="20"/>
          <w:szCs w:val="20"/>
          <w:lang w:val="es-MX"/>
        </w:rPr>
      </w:pPr>
    </w:p>
    <w:p w14:paraId="5BD74546" w14:textId="77777777" w:rsidR="009B1E9B" w:rsidRPr="009B1E9B" w:rsidRDefault="009B1E9B" w:rsidP="009B1E9B">
      <w:pPr>
        <w:spacing w:after="0" w:line="360" w:lineRule="auto"/>
        <w:jc w:val="both"/>
        <w:rPr>
          <w:rFonts w:ascii="Arial" w:hAnsi="Arial" w:cs="Arial"/>
          <w:sz w:val="20"/>
          <w:szCs w:val="20"/>
          <w:lang w:val="es-MX"/>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1. Sneath P.H.A. and Sokal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2. Felsenstein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3. Zuckerkandl E. and Pauling L. (1965). Evolutionary divergence and convergence in proteins. Edited in Evolving Genes and Proteins by V. Bryson and H.J. Vogel, pp. 97-166. Academic Press, New York.</w:t>
      </w:r>
    </w:p>
    <w:p w14:paraId="11F3CCFD" w14:textId="77777777" w:rsidR="009B1E9B" w:rsidRPr="00730889"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4. Kumar S., Stecher G., Li M., Knyaz C., and Tamura K. (2018). MEGA X: Molecular Evolutionary Genetics Analysis across computing platforms. </w:t>
      </w:r>
      <w:r w:rsidRPr="00730889">
        <w:rPr>
          <w:rFonts w:ascii="Arial" w:hAnsi="Arial" w:cs="Arial"/>
          <w:sz w:val="20"/>
          <w:szCs w:val="20"/>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lang w:val="es-MX" w:eastAsia="es-MX"/>
        </w:rPr>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A. nidulans se observó que RgsA inhibe a GanB,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Pisum sativum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Fusarium oxysporum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M. grisea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r w:rsidR="00981E66">
            <w:t>‬</w:t>
          </w:r>
          <w:r w:rsidR="00981E66">
            <w:t>‬</w:t>
          </w:r>
          <w:r w:rsidR="00472D6E">
            <w:t>‬</w:t>
          </w:r>
          <w:r w:rsidR="00472D6E">
            <w:t>‬</w:t>
          </w:r>
          <w:r w:rsidR="008F710C">
            <w:t>‬</w:t>
          </w:r>
          <w:r w:rsidR="008F710C">
            <w:t>‬</w:t>
          </w:r>
          <w:r w:rsidR="001D1045">
            <w:t>‬</w:t>
          </w:r>
          <w:r w:rsidR="001D1045">
            <w:t>‬</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1"/>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CEA8C" w14:textId="77777777" w:rsidR="001D1045" w:rsidRDefault="001D1045" w:rsidP="0076361C">
      <w:pPr>
        <w:spacing w:after="0" w:line="240" w:lineRule="auto"/>
      </w:pPr>
      <w:r>
        <w:separator/>
      </w:r>
    </w:p>
  </w:endnote>
  <w:endnote w:type="continuationSeparator" w:id="0">
    <w:p w14:paraId="40204AFA" w14:textId="77777777" w:rsidR="001D1045" w:rsidRDefault="001D1045"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1CB01130" w:rsidR="001536F9" w:rsidRDefault="001536F9">
        <w:pPr>
          <w:pStyle w:val="Piedepgina"/>
          <w:jc w:val="right"/>
        </w:pPr>
        <w:r>
          <w:fldChar w:fldCharType="begin"/>
        </w:r>
        <w:r>
          <w:instrText>PAGE   \* MERGEFORMAT</w:instrText>
        </w:r>
        <w:r>
          <w:fldChar w:fldCharType="separate"/>
        </w:r>
        <w:r w:rsidR="001D1045" w:rsidRPr="001D1045">
          <w:rPr>
            <w:noProof/>
            <w:lang w:val="es-ES"/>
          </w:rPr>
          <w:t>1</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B618C" w14:textId="77777777" w:rsidR="001D1045" w:rsidRDefault="001D1045" w:rsidP="0076361C">
      <w:pPr>
        <w:spacing w:after="0" w:line="240" w:lineRule="auto"/>
      </w:pPr>
      <w:r>
        <w:separator/>
      </w:r>
    </w:p>
  </w:footnote>
  <w:footnote w:type="continuationSeparator" w:id="0">
    <w:p w14:paraId="038B29DF" w14:textId="77777777" w:rsidR="001D1045" w:rsidRDefault="001D1045"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33A35"/>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10C"/>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44F3"/>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546E3AE9-B70C-4430-99A3-F1B5ABB90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6699</TotalTime>
  <Pages>27</Pages>
  <Words>47842</Words>
  <Characters>263135</Characters>
  <Application>Microsoft Office Word</Application>
  <DocSecurity>0</DocSecurity>
  <Lines>2192</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96</cp:revision>
  <cp:lastPrinted>2018-10-10T04:01:00Z</cp:lastPrinted>
  <dcterms:created xsi:type="dcterms:W3CDTF">2018-10-07T08:04:00Z</dcterms:created>
  <dcterms:modified xsi:type="dcterms:W3CDTF">2018-10-15T01:44:00Z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