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2323D7">
      <w:pPr>
        <w:pStyle w:val="Ttulo1"/>
        <w:spacing w:before="0" w:line="360" w:lineRule="auto"/>
        <w:rPr>
          <w:rFonts w:cs="Arial"/>
          <w:szCs w:val="24"/>
          <w:u w:val="single"/>
          <w:lang w:val="es-MX"/>
        </w:rPr>
      </w:pPr>
      <w:r w:rsidRPr="001133CE">
        <w:rPr>
          <w:rFonts w:cs="Arial"/>
          <w:szCs w:val="24"/>
          <w:lang w:val="es-MX"/>
        </w:rPr>
        <w:t>INTRODUCCIÓN</w:t>
      </w:r>
    </w:p>
    <w:p w14:paraId="27F90D2E" w14:textId="77777777" w:rsidR="000228D9" w:rsidRPr="001133CE" w:rsidRDefault="00400DD9" w:rsidP="002323D7">
      <w:pPr>
        <w:spacing w:after="0" w:line="360" w:lineRule="auto"/>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2323D7">
      <w:pPr>
        <w:spacing w:after="0" w:line="360" w:lineRule="auto"/>
        <w:rPr>
          <w:rFonts w:cs="Arial"/>
          <w:szCs w:val="24"/>
          <w:lang w:val="es-MX"/>
        </w:rPr>
      </w:pPr>
    </w:p>
    <w:p w14:paraId="0DA83971" w14:textId="77777777" w:rsidR="00796A8B" w:rsidRPr="001133CE" w:rsidRDefault="00400DD9" w:rsidP="002323D7">
      <w:pPr>
        <w:spacing w:after="0" w:line="360" w:lineRule="auto"/>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2323D7">
      <w:pPr>
        <w:spacing w:after="0" w:line="360" w:lineRule="auto"/>
        <w:rPr>
          <w:rFonts w:cs="Arial"/>
          <w:szCs w:val="24"/>
          <w:lang w:val="es-MX"/>
        </w:rPr>
      </w:pPr>
    </w:p>
    <w:p w14:paraId="11B9350A" w14:textId="3C48B338" w:rsidR="00B0504A" w:rsidRPr="001133CE" w:rsidRDefault="00400DD9" w:rsidP="002323D7">
      <w:pPr>
        <w:spacing w:after="0" w:line="360" w:lineRule="auto"/>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w:t>
      </w:r>
      <w:r w:rsidRPr="001133CE">
        <w:rPr>
          <w:rFonts w:cs="Arial"/>
          <w:szCs w:val="24"/>
          <w:lang w:val="es-MX"/>
        </w:rPr>
        <w:lastRenderedPageBreak/>
        <w:t>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2323D7">
      <w:pPr>
        <w:spacing w:after="0" w:line="360" w:lineRule="auto"/>
        <w:rPr>
          <w:rFonts w:cs="Arial"/>
          <w:szCs w:val="24"/>
          <w:lang w:val="es-MX"/>
        </w:rPr>
      </w:pPr>
    </w:p>
    <w:p w14:paraId="285F19A5" w14:textId="458EC8C6" w:rsidR="001F1B61" w:rsidRPr="001133CE" w:rsidRDefault="00400DD9" w:rsidP="002323D7">
      <w:pPr>
        <w:spacing w:after="0" w:line="360" w:lineRule="auto"/>
        <w:rPr>
          <w:rFonts w:cs="Arial"/>
          <w:szCs w:val="24"/>
          <w:lang w:val="es-MX"/>
        </w:rPr>
      </w:pPr>
      <w:r w:rsidRPr="001133CE">
        <w:rPr>
          <w:rFonts w:cs="Arial"/>
          <w:szCs w:val="24"/>
          <w:lang w:val="es-MX"/>
        </w:rPr>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2323D7">
      <w:pPr>
        <w:spacing w:after="0" w:line="360" w:lineRule="auto"/>
        <w:rPr>
          <w:rFonts w:cs="Arial"/>
          <w:szCs w:val="24"/>
          <w:lang w:val="es-MX"/>
        </w:rPr>
      </w:pPr>
      <w:r w:rsidRPr="001133CE">
        <w:rPr>
          <w:rFonts w:cs="Arial"/>
          <w:szCs w:val="24"/>
          <w:lang w:val="es-MX"/>
        </w:rPr>
        <w:t xml:space="preserve"> </w:t>
      </w:r>
    </w:p>
    <w:p w14:paraId="77A374D0" w14:textId="4B1F8572" w:rsidR="00A661FD" w:rsidRPr="001133CE" w:rsidRDefault="00400DD9" w:rsidP="002323D7">
      <w:pPr>
        <w:spacing w:after="0" w:line="360" w:lineRule="auto"/>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2323D7">
      <w:pPr>
        <w:spacing w:after="0" w:line="360" w:lineRule="auto"/>
        <w:rPr>
          <w:rFonts w:cs="Arial"/>
          <w:szCs w:val="24"/>
          <w:lang w:val="es-MX"/>
        </w:rPr>
      </w:pPr>
    </w:p>
    <w:p w14:paraId="192AC114" w14:textId="5F28F72F" w:rsidR="000228D9" w:rsidRPr="001133CE" w:rsidRDefault="000228D9" w:rsidP="002323D7">
      <w:pPr>
        <w:spacing w:after="0" w:line="360" w:lineRule="auto"/>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2323D7">
      <w:pPr>
        <w:spacing w:after="0" w:line="360" w:lineRule="auto"/>
        <w:rPr>
          <w:rFonts w:cs="Arial"/>
          <w:szCs w:val="24"/>
          <w:lang w:val="es-MX"/>
        </w:rPr>
      </w:pPr>
    </w:p>
    <w:p w14:paraId="2DE64B15" w14:textId="0CC02CC3" w:rsidR="000D3E6E" w:rsidRPr="001133CE" w:rsidRDefault="000228D9" w:rsidP="002323D7">
      <w:pPr>
        <w:spacing w:after="0" w:line="360" w:lineRule="auto"/>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2323D7">
      <w:pPr>
        <w:spacing w:after="0" w:line="360" w:lineRule="auto"/>
        <w:rPr>
          <w:rFonts w:cs="Arial"/>
          <w:szCs w:val="24"/>
          <w:lang w:val="es-MX"/>
        </w:rPr>
      </w:pPr>
    </w:p>
    <w:p w14:paraId="664E6DC6" w14:textId="4500DD10" w:rsidR="00854967" w:rsidRPr="001133CE" w:rsidRDefault="00E35BB3" w:rsidP="002323D7">
      <w:pPr>
        <w:spacing w:after="0" w:line="360" w:lineRule="auto"/>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2323D7">
      <w:pPr>
        <w:spacing w:after="0" w:line="360" w:lineRule="auto"/>
        <w:rPr>
          <w:rFonts w:cs="Arial"/>
          <w:szCs w:val="24"/>
          <w:lang w:val="es-MX"/>
        </w:rPr>
      </w:pPr>
    </w:p>
    <w:p w14:paraId="7CFB5AB2" w14:textId="44C9508D" w:rsidR="005C6477" w:rsidRPr="001133CE" w:rsidRDefault="005C6477" w:rsidP="002323D7">
      <w:pPr>
        <w:spacing w:after="0" w:line="360" w:lineRule="auto"/>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2323D7">
      <w:pPr>
        <w:spacing w:after="0" w:line="360" w:lineRule="auto"/>
        <w:rPr>
          <w:rFonts w:cs="Arial"/>
          <w:szCs w:val="24"/>
          <w:lang w:val="es-MX"/>
        </w:rPr>
      </w:pPr>
    </w:p>
    <w:p w14:paraId="1B6A8C47" w14:textId="77777777" w:rsidR="006948E0" w:rsidRPr="001133CE" w:rsidRDefault="00A21391" w:rsidP="002323D7">
      <w:pPr>
        <w:spacing w:after="0" w:line="360" w:lineRule="auto"/>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2323D7">
      <w:pPr>
        <w:spacing w:after="0" w:line="360" w:lineRule="auto"/>
        <w:rPr>
          <w:rFonts w:cs="Arial"/>
          <w:szCs w:val="24"/>
          <w:lang w:val="es-MX"/>
        </w:rPr>
      </w:pPr>
    </w:p>
    <w:p w14:paraId="016E5513" w14:textId="30FD1F72" w:rsidR="0017250A" w:rsidRPr="001133CE" w:rsidRDefault="00A42432" w:rsidP="002323D7">
      <w:pPr>
        <w:spacing w:after="0" w:line="360" w:lineRule="auto"/>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2323D7">
      <w:pPr>
        <w:spacing w:after="0" w:line="360" w:lineRule="auto"/>
        <w:rPr>
          <w:rFonts w:cs="Arial"/>
          <w:szCs w:val="24"/>
          <w:lang w:val="es-MX"/>
        </w:rPr>
      </w:pPr>
    </w:p>
    <w:p w14:paraId="02C1FA41" w14:textId="554FDB3D" w:rsidR="00400DD9" w:rsidRPr="001133CE" w:rsidRDefault="00A42432" w:rsidP="002323D7">
      <w:pPr>
        <w:pStyle w:val="Ttulo1"/>
        <w:spacing w:before="0" w:line="360" w:lineRule="auto"/>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2323D7">
      <w:pPr>
        <w:spacing w:after="0" w:line="360" w:lineRule="auto"/>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2323D7">
      <w:pPr>
        <w:spacing w:after="0" w:line="360" w:lineRule="auto"/>
        <w:rPr>
          <w:rFonts w:cs="Arial"/>
          <w:szCs w:val="24"/>
          <w:lang w:val="es-MX"/>
        </w:rPr>
      </w:pPr>
    </w:p>
    <w:p w14:paraId="21E12DDC" w14:textId="19A59E9F" w:rsidR="009F7CF4" w:rsidRPr="001133CE" w:rsidRDefault="00766C53" w:rsidP="002323D7">
      <w:pPr>
        <w:spacing w:after="0" w:line="360" w:lineRule="auto"/>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2323D7">
      <w:pPr>
        <w:spacing w:after="0" w:line="360" w:lineRule="auto"/>
        <w:rPr>
          <w:rFonts w:cs="Arial"/>
          <w:szCs w:val="24"/>
          <w:lang w:val="es-MX"/>
        </w:rPr>
      </w:pPr>
    </w:p>
    <w:p w14:paraId="307D4648" w14:textId="65DF64D0" w:rsidR="0037799B" w:rsidRPr="001133CE" w:rsidRDefault="002B166E" w:rsidP="002323D7">
      <w:pPr>
        <w:spacing w:after="0" w:line="360" w:lineRule="auto"/>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2323D7">
      <w:pPr>
        <w:spacing w:after="0" w:line="360" w:lineRule="auto"/>
        <w:rPr>
          <w:rFonts w:cs="Arial"/>
          <w:szCs w:val="24"/>
          <w:lang w:val="es-MX"/>
        </w:rPr>
      </w:pPr>
    </w:p>
    <w:p w14:paraId="7F55E9ED" w14:textId="6D340CD6" w:rsidR="0080694B" w:rsidRPr="001133CE" w:rsidRDefault="00794FE2" w:rsidP="002323D7">
      <w:pPr>
        <w:spacing w:after="0" w:line="360" w:lineRule="auto"/>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2323D7">
      <w:pPr>
        <w:spacing w:after="0" w:line="360" w:lineRule="auto"/>
        <w:rPr>
          <w:rFonts w:cs="Arial"/>
          <w:szCs w:val="24"/>
          <w:lang w:val="es-MX"/>
        </w:rPr>
      </w:pPr>
    </w:p>
    <w:p w14:paraId="14832668" w14:textId="4FD67A31" w:rsidR="009A33A3" w:rsidRPr="001133CE" w:rsidRDefault="009A33A3" w:rsidP="002323D7">
      <w:pPr>
        <w:spacing w:after="0" w:line="360" w:lineRule="auto"/>
        <w:rPr>
          <w:rFonts w:cs="Arial"/>
          <w:szCs w:val="24"/>
          <w:lang w:val="es-MX"/>
        </w:rPr>
      </w:pPr>
    </w:p>
    <w:p w14:paraId="3FA0D1FF" w14:textId="41516EB8" w:rsidR="002F238E" w:rsidRPr="001133CE" w:rsidRDefault="00F66A6C" w:rsidP="002323D7">
      <w:pPr>
        <w:spacing w:after="0" w:line="360" w:lineRule="auto"/>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0975FA" w:rsidRDefault="002F238E" w:rsidP="000975FA">
      <w:pPr>
        <w:spacing w:after="0" w:line="240" w:lineRule="auto"/>
        <w:rPr>
          <w:rFonts w:cs="Arial"/>
          <w:sz w:val="18"/>
          <w:szCs w:val="24"/>
          <w:lang w:val="es-MX"/>
        </w:rPr>
      </w:pPr>
      <w:r w:rsidRPr="000975FA">
        <w:rPr>
          <w:rFonts w:cs="Arial"/>
          <w:sz w:val="18"/>
          <w:szCs w:val="24"/>
          <w:lang w:val="es-MX"/>
        </w:rPr>
        <w:t xml:space="preserve">Figura </w:t>
      </w:r>
      <w:r w:rsidRPr="000975FA">
        <w:rPr>
          <w:rFonts w:cs="Arial"/>
          <w:sz w:val="18"/>
          <w:szCs w:val="24"/>
        </w:rPr>
        <w:fldChar w:fldCharType="begin"/>
      </w:r>
      <w:r w:rsidRPr="000975FA">
        <w:rPr>
          <w:rFonts w:cs="Arial"/>
          <w:sz w:val="18"/>
          <w:szCs w:val="24"/>
          <w:lang w:val="es-MX"/>
        </w:rPr>
        <w:instrText xml:space="preserve"> SEQ Figura \* ARABIC </w:instrText>
      </w:r>
      <w:r w:rsidRPr="000975FA">
        <w:rPr>
          <w:rFonts w:cs="Arial"/>
          <w:sz w:val="18"/>
          <w:szCs w:val="24"/>
        </w:rPr>
        <w:fldChar w:fldCharType="separate"/>
      </w:r>
      <w:r w:rsidR="00B700A9" w:rsidRPr="000975FA">
        <w:rPr>
          <w:rFonts w:cs="Arial"/>
          <w:noProof/>
          <w:sz w:val="18"/>
          <w:szCs w:val="24"/>
          <w:lang w:val="es-MX"/>
        </w:rPr>
        <w:t>1</w:t>
      </w:r>
      <w:r w:rsidRPr="000975FA">
        <w:rPr>
          <w:rFonts w:cs="Arial"/>
          <w:sz w:val="18"/>
          <w:szCs w:val="24"/>
        </w:rPr>
        <w:fldChar w:fldCharType="end"/>
      </w:r>
      <w:r w:rsidR="00B0369A" w:rsidRPr="000975FA">
        <w:rPr>
          <w:rFonts w:cs="Arial"/>
          <w:sz w:val="18"/>
          <w:szCs w:val="24"/>
          <w:lang w:val="es-MX"/>
        </w:rPr>
        <w:t xml:space="preserve"> Análisis F</w:t>
      </w:r>
      <w:r w:rsidR="001A04A0" w:rsidRPr="000975FA">
        <w:rPr>
          <w:rFonts w:cs="Arial"/>
          <w:sz w:val="18"/>
          <w:szCs w:val="24"/>
          <w:lang w:val="es-MX"/>
        </w:rPr>
        <w:t>i</w:t>
      </w:r>
      <w:r w:rsidR="00B0369A" w:rsidRPr="000975FA">
        <w:rPr>
          <w:rFonts w:cs="Arial"/>
          <w:sz w:val="18"/>
          <w:szCs w:val="24"/>
          <w:lang w:val="es-MX"/>
        </w:rPr>
        <w:t>logenético Molecular por el método de Máximo Likelihood (ML)</w:t>
      </w:r>
      <w:r w:rsidR="00F66A6C" w:rsidRPr="000975FA">
        <w:rPr>
          <w:rFonts w:cs="Arial"/>
          <w:sz w:val="18"/>
          <w:szCs w:val="24"/>
          <w:lang w:val="es-MX"/>
        </w:rPr>
        <w:t xml:space="preserve">. </w:t>
      </w:r>
      <w:r w:rsidR="001A04A0" w:rsidRPr="000975FA">
        <w:rPr>
          <w:rFonts w:cs="Arial"/>
          <w:sz w:val="18"/>
          <w:szCs w:val="24"/>
          <w:lang w:val="es-MX"/>
        </w:rPr>
        <w:t xml:space="preserve"> </w:t>
      </w:r>
      <w:r w:rsidR="00B0369A" w:rsidRPr="000975FA">
        <w:rPr>
          <w:rFonts w:cs="Arial"/>
          <w:sz w:val="18"/>
          <w:szCs w:val="24"/>
          <w:lang w:val="es-MX"/>
        </w:rPr>
        <w:t xml:space="preserve">La </w:t>
      </w:r>
      <w:r w:rsidR="001A04A0" w:rsidRPr="000975FA">
        <w:rPr>
          <w:rFonts w:cs="Arial"/>
          <w:sz w:val="18"/>
          <w:szCs w:val="24"/>
          <w:lang w:val="es-MX"/>
        </w:rPr>
        <w:t>historia evolucionaria</w:t>
      </w:r>
      <w:r w:rsidR="00B0369A" w:rsidRPr="000975FA">
        <w:rPr>
          <w:rFonts w:cs="Arial"/>
          <w:sz w:val="18"/>
          <w:szCs w:val="24"/>
          <w:lang w:val="es-MX"/>
        </w:rPr>
        <w:t xml:space="preserve"> de las Subunidades G</w:t>
      </w:r>
      <w:r w:rsidR="00B0369A" w:rsidRPr="000975FA">
        <w:rPr>
          <w:rFonts w:cs="Arial"/>
          <w:sz w:val="18"/>
          <w:szCs w:val="24"/>
        </w:rPr>
        <w:t>α</w:t>
      </w:r>
      <w:r w:rsidR="00B0369A" w:rsidRPr="000975FA">
        <w:rPr>
          <w:rFonts w:cs="Arial"/>
          <w:sz w:val="18"/>
          <w:szCs w:val="24"/>
          <w:lang w:val="es-MX"/>
        </w:rPr>
        <w:t xml:space="preserve"> heterotriméricas present</w:t>
      </w:r>
      <w:r w:rsidR="0073196C" w:rsidRPr="000975FA">
        <w:rPr>
          <w:rFonts w:cs="Arial"/>
          <w:sz w:val="18"/>
          <w:szCs w:val="24"/>
          <w:lang w:val="es-MX"/>
        </w:rPr>
        <w:t>e</w:t>
      </w:r>
      <w:r w:rsidR="00B0369A" w:rsidRPr="000975FA">
        <w:rPr>
          <w:rFonts w:cs="Arial"/>
          <w:sz w:val="18"/>
          <w:szCs w:val="24"/>
          <w:lang w:val="es-MX"/>
        </w:rPr>
        <w:t>s en ascomicetos fue inferida usando el m</w:t>
      </w:r>
      <w:r w:rsidR="00EC4DA1" w:rsidRPr="000975FA">
        <w:rPr>
          <w:rFonts w:cs="Arial"/>
          <w:sz w:val="18"/>
          <w:szCs w:val="24"/>
          <w:lang w:val="es-MX"/>
        </w:rPr>
        <w:t>é</w:t>
      </w:r>
      <w:r w:rsidR="00B0369A" w:rsidRPr="000975FA">
        <w:rPr>
          <w:rFonts w:cs="Arial"/>
          <w:sz w:val="18"/>
          <w:szCs w:val="24"/>
          <w:lang w:val="es-MX"/>
        </w:rPr>
        <w:t xml:space="preserve">todo de ML con base en el modelo de corrección de Poisson.  </w:t>
      </w:r>
      <w:r w:rsidR="0073196C" w:rsidRPr="000975FA">
        <w:rPr>
          <w:rFonts w:cs="Arial"/>
          <w:sz w:val="18"/>
          <w:szCs w:val="24"/>
          <w:lang w:val="es-MX"/>
        </w:rPr>
        <w:t>El á</w:t>
      </w:r>
      <w:r w:rsidR="00B0369A" w:rsidRPr="000975FA">
        <w:rPr>
          <w:rFonts w:cs="Arial"/>
          <w:sz w:val="18"/>
          <w:szCs w:val="24"/>
          <w:lang w:val="es-MX"/>
        </w:rPr>
        <w:t xml:space="preserve">rbol consenso obtenido por bootstrap realizando 100 </w:t>
      </w:r>
      <w:r w:rsidR="001A04A0" w:rsidRPr="000975FA">
        <w:rPr>
          <w:rFonts w:cs="Arial"/>
          <w:sz w:val="18"/>
          <w:szCs w:val="24"/>
          <w:lang w:val="es-MX"/>
        </w:rPr>
        <w:t>réplicas</w:t>
      </w:r>
      <w:r w:rsidR="00B0369A" w:rsidRPr="000975FA">
        <w:rPr>
          <w:rFonts w:cs="Arial"/>
          <w:sz w:val="18"/>
          <w:szCs w:val="24"/>
          <w:lang w:val="es-MX"/>
        </w:rPr>
        <w:t>, es tomado como representación de la historia evolutiva de las Gα de los taxa analizados</w:t>
      </w:r>
      <w:r w:rsidR="001A04A0" w:rsidRPr="000975FA">
        <w:rPr>
          <w:rFonts w:cs="Arial"/>
          <w:sz w:val="18"/>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5E2FB9B9" w14:textId="77777777" w:rsidR="000975FA" w:rsidRDefault="000975FA" w:rsidP="002323D7">
      <w:pPr>
        <w:spacing w:after="0" w:line="360" w:lineRule="auto"/>
        <w:rPr>
          <w:rFonts w:cs="Arial"/>
          <w:szCs w:val="24"/>
          <w:lang w:val="es-MX"/>
        </w:rPr>
      </w:pPr>
    </w:p>
    <w:p w14:paraId="1DD57461" w14:textId="61FB88A6" w:rsidR="00D572DC" w:rsidRPr="001133CE" w:rsidRDefault="00A472EA" w:rsidP="002323D7">
      <w:pPr>
        <w:spacing w:after="0" w:line="360" w:lineRule="auto"/>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C06EBA">
        <w:rPr>
          <w:rFonts w:cs="Arial"/>
          <w:szCs w:val="24"/>
          <w:lang w:val="es-MX"/>
        </w:rPr>
        <w:t xml:space="preserve">El análisis molecular muestra </w:t>
      </w:r>
      <w:r w:rsidR="00F871C8" w:rsidRPr="001133CE">
        <w:rPr>
          <w:rFonts w:cs="Arial"/>
          <w:szCs w:val="24"/>
          <w:lang w:val="es-MX"/>
        </w:rPr>
        <w:t>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2323D7">
      <w:pPr>
        <w:spacing w:after="0" w:line="360" w:lineRule="auto"/>
        <w:rPr>
          <w:rFonts w:cs="Arial"/>
          <w:szCs w:val="24"/>
          <w:lang w:val="es-MX"/>
        </w:rPr>
      </w:pPr>
    </w:p>
    <w:p w14:paraId="6328D4E9" w14:textId="5AF6107B" w:rsidR="00D477DE" w:rsidRPr="001133CE" w:rsidRDefault="00D572DC" w:rsidP="002323D7">
      <w:pPr>
        <w:spacing w:after="0" w:line="360" w:lineRule="auto"/>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2323D7">
      <w:pPr>
        <w:spacing w:after="0" w:line="360" w:lineRule="auto"/>
        <w:rPr>
          <w:rFonts w:cs="Arial"/>
          <w:szCs w:val="24"/>
          <w:lang w:val="es-MX"/>
        </w:rPr>
      </w:pPr>
    </w:p>
    <w:p w14:paraId="7A619034" w14:textId="1F210662" w:rsidR="008F3B15" w:rsidRPr="001133CE" w:rsidRDefault="00A55F28" w:rsidP="002323D7">
      <w:pPr>
        <w:spacing w:after="0" w:line="360" w:lineRule="auto"/>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2323D7">
      <w:pPr>
        <w:spacing w:after="0" w:line="360" w:lineRule="auto"/>
        <w:rPr>
          <w:rFonts w:cs="Arial"/>
          <w:szCs w:val="24"/>
          <w:lang w:val="es-MX"/>
        </w:rPr>
      </w:pPr>
    </w:p>
    <w:p w14:paraId="4E2F0F04" w14:textId="671E8F67" w:rsidR="005C41C8" w:rsidRPr="001133CE" w:rsidRDefault="009A33A3" w:rsidP="002323D7">
      <w:pPr>
        <w:spacing w:after="0" w:line="360" w:lineRule="auto"/>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r w:rsidR="008B6FC9">
        <w:rPr>
          <w:rFonts w:cs="Arial"/>
          <w:szCs w:val="24"/>
          <w:lang w:val="es-MX"/>
        </w:rPr>
        <w:t xml:space="preserve">.  </w:t>
      </w:r>
      <w:r w:rsidR="005C41C8" w:rsidRPr="001133CE">
        <w:rPr>
          <w:rFonts w:cs="Arial"/>
          <w:szCs w:val="24"/>
          <w:lang w:val="es-MX"/>
        </w:rPr>
        <w:t xml:space="preserve">El motivo DEP en </w:t>
      </w:r>
      <w:r w:rsidR="005C41C8" w:rsidRPr="001133CE">
        <w:rPr>
          <w:rFonts w:cs="Arial"/>
          <w:i/>
          <w:szCs w:val="24"/>
          <w:lang w:val="es-MX"/>
        </w:rPr>
        <w:t>S. cerevisiae</w:t>
      </w:r>
      <w:r w:rsidR="005C41C8" w:rsidRPr="001133CE">
        <w:rPr>
          <w:rFonts w:cs="Arial"/>
          <w:szCs w:val="24"/>
          <w:lang w:val="es-MX"/>
        </w:rPr>
        <w:t xml:space="preserve"> se une a Msn2p y Msn4p, proteínas reguladoras del estrés tipo dedo de Zinc C</w:t>
      </w:r>
      <w:r w:rsidR="005C41C8" w:rsidRPr="001133CE">
        <w:rPr>
          <w:rFonts w:cs="Arial"/>
          <w:szCs w:val="24"/>
          <w:vertAlign w:val="subscript"/>
          <w:lang w:val="es-MX"/>
        </w:rPr>
        <w:t>2</w:t>
      </w:r>
      <w:r w:rsidR="005C41C8" w:rsidRPr="001133CE">
        <w:rPr>
          <w:rFonts w:cs="Arial"/>
          <w:szCs w:val="24"/>
          <w:lang w:val="es-MX"/>
        </w:rPr>
        <w:t>H</w:t>
      </w:r>
      <w:r w:rsidR="005C41C8" w:rsidRPr="001133CE">
        <w:rPr>
          <w:rFonts w:cs="Arial"/>
          <w:szCs w:val="24"/>
          <w:vertAlign w:val="subscript"/>
          <w:lang w:val="es-MX"/>
        </w:rPr>
        <w:t xml:space="preserve">2 </w:t>
      </w:r>
      <w:r w:rsidR="005C41C8" w:rsidRPr="001133CE">
        <w:rPr>
          <w:rFonts w:cs="Arial"/>
          <w:szCs w:val="24"/>
          <w:lang w:val="es-MX"/>
        </w:rPr>
        <w:t xml:space="preserve">homólogo a las proteínas dedo de zinc de </w:t>
      </w:r>
      <w:r w:rsidR="005C41C8" w:rsidRPr="001133CE">
        <w:rPr>
          <w:rFonts w:cs="Arial"/>
          <w:i/>
          <w:szCs w:val="24"/>
          <w:lang w:val="es-MX"/>
        </w:rPr>
        <w:t>A. nidulas</w:t>
      </w:r>
      <w:r w:rsidR="005C41C8" w:rsidRPr="001133CE">
        <w:rPr>
          <w:rFonts w:cs="Arial"/>
          <w:szCs w:val="24"/>
          <w:lang w:val="es-MX"/>
        </w:rPr>
        <w:t xml:space="preserve"> registrada AN1652.2 de 575 a.a.</w:t>
      </w:r>
      <w:r w:rsidR="005C41C8" w:rsidRPr="001133CE">
        <w:rPr>
          <w:rFonts w:cs="Arial"/>
          <w:szCs w:val="24"/>
          <w:lang w:val="es-MX"/>
        </w:rPr>
        <w:fldChar w:fldCharType="begin" w:fldLock="1"/>
      </w:r>
      <w:r w:rsidR="008E7700">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p>
    <w:p w14:paraId="3AFB843A" w14:textId="4B763697" w:rsidR="00066A98" w:rsidRPr="001133CE" w:rsidRDefault="00066A98" w:rsidP="002323D7">
      <w:pPr>
        <w:spacing w:after="0" w:line="360" w:lineRule="auto"/>
        <w:rPr>
          <w:rFonts w:cs="Arial"/>
          <w:szCs w:val="24"/>
          <w:lang w:val="es-MX"/>
        </w:rPr>
      </w:pPr>
    </w:p>
    <w:p w14:paraId="006A0B80" w14:textId="6319946F" w:rsidR="00170429" w:rsidRPr="001133CE" w:rsidRDefault="00170429" w:rsidP="002323D7">
      <w:pPr>
        <w:spacing w:after="0" w:line="360" w:lineRule="auto"/>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2323D7">
      <w:pPr>
        <w:spacing w:after="0" w:line="360" w:lineRule="auto"/>
        <w:rPr>
          <w:rFonts w:cs="Arial"/>
          <w:szCs w:val="24"/>
          <w:lang w:val="es-MX"/>
        </w:rPr>
      </w:pPr>
    </w:p>
    <w:p w14:paraId="5905043C" w14:textId="4A00E48C" w:rsidR="00773774" w:rsidRPr="001133CE" w:rsidRDefault="008D1AB2" w:rsidP="002323D7">
      <w:pPr>
        <w:spacing w:after="0" w:line="360" w:lineRule="auto"/>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8A125F" w:rsidRPr="00096D42">
                <w:rPr>
                  <w:lang w:val="es-MX"/>
                </w:rPr>
                <w:t>‬</w:t>
              </w:r>
              <w:r w:rsidR="008A125F" w:rsidRPr="00096D42">
                <w:rPr>
                  <w:lang w:val="es-MX"/>
                </w:rPr>
                <w:t>‬</w:t>
              </w:r>
              <w:r w:rsidR="008A125F" w:rsidRPr="00096D42">
                <w:rPr>
                  <w:lang w:val="es-MX"/>
                </w:rPr>
                <w:t>‬</w:t>
              </w:r>
              <w:r w:rsidR="008A125F" w:rsidRPr="00096D42">
                <w:rPr>
                  <w:lang w:val="es-MX"/>
                </w:rPr>
                <w:t>‬</w:t>
              </w:r>
              <w:r w:rsidR="008E7700" w:rsidRPr="009B5FEF">
                <w:rPr>
                  <w:lang w:val="es-MX"/>
                </w:rPr>
                <w:t>‬</w:t>
              </w:r>
              <w:r w:rsidR="008E7700" w:rsidRPr="009B5FEF">
                <w:rPr>
                  <w:lang w:val="es-MX"/>
                </w:rPr>
                <w:t>‬</w:t>
              </w:r>
              <w:r w:rsidR="008E7700" w:rsidRPr="009B5FEF">
                <w:rPr>
                  <w:lang w:val="es-MX"/>
                </w:rPr>
                <w:t>‬</w:t>
              </w:r>
              <w:r w:rsidR="008E7700" w:rsidRPr="009B5FEF">
                <w:rPr>
                  <w:lang w:val="es-MX"/>
                </w:rPr>
                <w:t>‬</w:t>
              </w:r>
              <w:r w:rsidR="00427CB0" w:rsidRPr="000975FA">
                <w:rPr>
                  <w:lang w:val="es-MX"/>
                </w:rPr>
                <w:t>‬</w:t>
              </w:r>
              <w:r w:rsidR="00427CB0" w:rsidRPr="000975FA">
                <w:rPr>
                  <w:lang w:val="es-MX"/>
                </w:rPr>
                <w:t>‬</w:t>
              </w:r>
              <w:r w:rsidR="00427CB0" w:rsidRPr="000975FA">
                <w:rPr>
                  <w:lang w:val="es-MX"/>
                </w:rPr>
                <w:t>‬</w:t>
              </w:r>
              <w:r w:rsidR="00427CB0" w:rsidRPr="000975FA">
                <w:rPr>
                  <w:lang w:val="es-MX"/>
                </w:rPr>
                <w:t>‬</w:t>
              </w:r>
              <w:r w:rsidR="006A7A15" w:rsidRPr="00381EF7">
                <w:rPr>
                  <w:lang w:val="es-MX"/>
                </w:rPr>
                <w:t>‬</w:t>
              </w:r>
              <w:r w:rsidR="006A7A15" w:rsidRPr="00381EF7">
                <w:rPr>
                  <w:lang w:val="es-MX"/>
                </w:rPr>
                <w:t>‬</w:t>
              </w:r>
              <w:r w:rsidR="006A7A15" w:rsidRPr="00381EF7">
                <w:rPr>
                  <w:lang w:val="es-MX"/>
                </w:rPr>
                <w:t>‬</w:t>
              </w:r>
              <w:r w:rsidR="006A7A15" w:rsidRPr="00381EF7">
                <w:rPr>
                  <w:lang w:val="es-MX"/>
                </w:rPr>
                <w:t>‬</w:t>
              </w:r>
              <w:r w:rsidR="007508C9" w:rsidRPr="00381EF7">
                <w:rPr>
                  <w:lang w:val="es-MX"/>
                </w:rPr>
                <w:t>‬</w:t>
              </w:r>
              <w:r w:rsidR="007508C9" w:rsidRPr="00381EF7">
                <w:rPr>
                  <w:lang w:val="es-MX"/>
                </w:rPr>
                <w:t>‬</w:t>
              </w:r>
              <w:r w:rsidR="007508C9" w:rsidRPr="00381EF7">
                <w:rPr>
                  <w:lang w:val="es-MX"/>
                </w:rPr>
                <w:t>‬</w:t>
              </w:r>
              <w:r w:rsidR="007508C9" w:rsidRPr="00381EF7">
                <w:rPr>
                  <w:lang w:val="es-MX"/>
                </w:rPr>
                <w:t>‬</w:t>
              </w:r>
              <w:r w:rsidR="00C06EBA" w:rsidRPr="00C06EBA">
                <w:rPr>
                  <w:lang w:val="es-MX"/>
                </w:rPr>
                <w:t>‬</w:t>
              </w:r>
              <w:r w:rsidR="00C06EBA" w:rsidRPr="00C06EBA">
                <w:rPr>
                  <w:lang w:val="es-MX"/>
                </w:rPr>
                <w:t>‬</w:t>
              </w:r>
              <w:r w:rsidR="00C06EBA" w:rsidRPr="00C06EBA">
                <w:rPr>
                  <w:lang w:val="es-MX"/>
                </w:rPr>
                <w:t>‬</w:t>
              </w:r>
              <w:r w:rsidR="00C06EBA" w:rsidRPr="00C06EBA">
                <w:rPr>
                  <w:lang w:val="es-MX"/>
                </w:rPr>
                <w:t>‬</w:t>
              </w:r>
              <w:r w:rsidR="00B24486" w:rsidRPr="003808EC">
                <w:rPr>
                  <w:lang w:val="es-MX"/>
                </w:rPr>
                <w:t>‬</w:t>
              </w:r>
              <w:r w:rsidR="00B24486" w:rsidRPr="003808EC">
                <w:rPr>
                  <w:lang w:val="es-MX"/>
                </w:rPr>
                <w:t>‬</w:t>
              </w:r>
              <w:r w:rsidR="00B24486" w:rsidRPr="003808EC">
                <w:rPr>
                  <w:lang w:val="es-MX"/>
                </w:rPr>
                <w:t>‬</w:t>
              </w:r>
              <w:r w:rsidR="00B24486" w:rsidRPr="003808EC">
                <w:rPr>
                  <w:lang w:val="es-MX"/>
                </w:rPr>
                <w:t>‬</w:t>
              </w:r>
            </w:dir>
          </w:dir>
        </w:dir>
      </w:dir>
    </w:p>
    <w:p w14:paraId="1F4CA255" w14:textId="31C6F14D" w:rsidR="00773774" w:rsidRPr="001133CE" w:rsidRDefault="00773774" w:rsidP="002323D7">
      <w:pPr>
        <w:spacing w:after="0" w:line="360" w:lineRule="auto"/>
        <w:rPr>
          <w:rFonts w:cs="Arial"/>
          <w:szCs w:val="24"/>
          <w:lang w:val="es-MX"/>
        </w:rPr>
      </w:pPr>
    </w:p>
    <w:p w14:paraId="6BCB3D2E" w14:textId="7D15855D" w:rsidR="00FA4723" w:rsidRPr="001133CE" w:rsidRDefault="00773774" w:rsidP="002323D7">
      <w:pPr>
        <w:spacing w:after="0" w:line="360" w:lineRule="auto"/>
        <w:rPr>
          <w:rFonts w:eastAsiaTheme="majorEastAsia"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r w:rsidR="004A7D39">
        <w:rPr>
          <w:rFonts w:cs="Arial"/>
          <w:szCs w:val="24"/>
          <w:lang w:val="es-MX"/>
        </w:rPr>
        <w:t xml:space="preserve"> </w:t>
      </w:r>
      <w:r w:rsidR="004A7D39" w:rsidRPr="001133CE">
        <w:rPr>
          <w:rFonts w:eastAsia="Times New Roman" w:cs="Arial"/>
          <w:szCs w:val="24"/>
          <w:lang w:val="es-ES" w:eastAsia="es-MX"/>
        </w:rPr>
        <w:t xml:space="preserve">Aunque no se ha observado un patrón de comportamiento en la respuesta a estrés, </w:t>
      </w:r>
      <w:r w:rsidR="004A7D39">
        <w:rPr>
          <w:rFonts w:eastAsia="Times New Roman" w:cs="Arial"/>
          <w:szCs w:val="24"/>
          <w:lang w:val="es-ES" w:eastAsia="es-MX"/>
        </w:rPr>
        <w:t xml:space="preserve">los hongos </w:t>
      </w:r>
      <w:r w:rsidR="008B6FC9">
        <w:rPr>
          <w:rFonts w:eastAsia="Times New Roman" w:cs="Arial"/>
          <w:szCs w:val="24"/>
          <w:lang w:val="es-ES" w:eastAsia="es-MX"/>
        </w:rPr>
        <w:t xml:space="preserve">filamentosos </w:t>
      </w:r>
      <w:r w:rsidR="004A7D39" w:rsidRPr="001133CE">
        <w:rPr>
          <w:rFonts w:eastAsia="Times New Roman" w:cs="Arial"/>
          <w:szCs w:val="24"/>
          <w:lang w:val="es-ES" w:eastAsia="es-MX"/>
        </w:rPr>
        <w:t xml:space="preserve">comparten varios </w:t>
      </w:r>
      <w:r w:rsidR="004A7D39">
        <w:rPr>
          <w:rFonts w:eastAsia="Times New Roman" w:cs="Arial"/>
          <w:szCs w:val="24"/>
          <w:lang w:val="es-ES" w:eastAsia="es-MX"/>
        </w:rPr>
        <w:t>intermediarios en las rutas de respuesta a estrés</w:t>
      </w:r>
      <w:r w:rsidR="008B6FC9">
        <w:rPr>
          <w:rFonts w:eastAsia="Times New Roman" w:cs="Arial"/>
          <w:szCs w:val="24"/>
          <w:lang w:val="es-ES" w:eastAsia="es-MX"/>
        </w:rPr>
        <w:t xml:space="preserve"> (algunos participan en más de una ruta)</w:t>
      </w:r>
      <w:r w:rsidR="004A7D39">
        <w:rPr>
          <w:rFonts w:eastAsia="Times New Roman" w:cs="Arial"/>
          <w:szCs w:val="24"/>
          <w:lang w:val="es-ES" w:eastAsia="es-MX"/>
        </w:rPr>
        <w:t xml:space="preserve"> </w:t>
      </w:r>
      <w:r w:rsidR="008B6FC9">
        <w:rPr>
          <w:rFonts w:eastAsia="Times New Roman" w:cs="Arial"/>
          <w:szCs w:val="24"/>
          <w:lang w:val="es-ES" w:eastAsia="es-MX"/>
        </w:rPr>
        <w:t xml:space="preserve">los cuales </w:t>
      </w:r>
      <w:r w:rsidR="004A7D39">
        <w:rPr>
          <w:rFonts w:eastAsia="Times New Roman" w:cs="Arial"/>
          <w:szCs w:val="24"/>
          <w:lang w:val="es-ES" w:eastAsia="es-MX"/>
        </w:rPr>
        <w:t>han sido representados mediante mapas de calor (heatmaps) para cada uno de los tipos de estrés analizados a continuación</w:t>
      </w:r>
      <w:r w:rsidR="00FA4723" w:rsidRPr="001133CE">
        <w:rPr>
          <w:rFonts w:cs="Arial"/>
          <w:szCs w:val="24"/>
          <w:lang w:val="es-MX"/>
        </w:rPr>
        <w:br w:type="page"/>
      </w:r>
    </w:p>
    <w:p w14:paraId="72911659" w14:textId="3B09388D" w:rsidR="00B934EF" w:rsidRPr="001133CE" w:rsidRDefault="00760321" w:rsidP="002323D7">
      <w:pPr>
        <w:pStyle w:val="Ttulo1"/>
        <w:spacing w:before="0" w:line="360" w:lineRule="auto"/>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2323D7">
      <w:pPr>
        <w:spacing w:after="0" w:line="360" w:lineRule="auto"/>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2323D7">
      <w:pPr>
        <w:spacing w:after="0" w:line="360" w:lineRule="auto"/>
        <w:rPr>
          <w:rFonts w:cs="Arial"/>
          <w:szCs w:val="24"/>
          <w:lang w:val="es-MX"/>
        </w:rPr>
      </w:pPr>
    </w:p>
    <w:p w14:paraId="57A17EE6" w14:textId="7D6CEC30" w:rsidR="00F10F64" w:rsidRPr="001133CE" w:rsidRDefault="003743FC" w:rsidP="002323D7">
      <w:pPr>
        <w:spacing w:after="0" w:line="360" w:lineRule="auto"/>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2323D7">
      <w:pPr>
        <w:spacing w:after="0" w:line="360" w:lineRule="auto"/>
        <w:rPr>
          <w:rFonts w:cs="Arial"/>
          <w:szCs w:val="24"/>
          <w:lang w:val="es-ES"/>
        </w:rPr>
      </w:pPr>
    </w:p>
    <w:p w14:paraId="05003711" w14:textId="36C6F45C" w:rsidR="00F10F64" w:rsidRPr="001133CE" w:rsidRDefault="00DA24AA" w:rsidP="002323D7">
      <w:pPr>
        <w:spacing w:after="0" w:line="360" w:lineRule="auto"/>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5177419D" w:rsidR="00F10F64" w:rsidRPr="001133CE" w:rsidRDefault="00F10F64" w:rsidP="002323D7">
      <w:pPr>
        <w:spacing w:after="0" w:line="360" w:lineRule="auto"/>
        <w:rPr>
          <w:rFonts w:cs="Arial"/>
          <w:szCs w:val="24"/>
          <w:lang w:val="es-MX"/>
        </w:rPr>
      </w:pPr>
    </w:p>
    <w:p w14:paraId="43134ACB" w14:textId="4CA1DFBD" w:rsidR="009500A6" w:rsidRDefault="004A4399" w:rsidP="002323D7">
      <w:pPr>
        <w:spacing w:after="0" w:line="360" w:lineRule="auto"/>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79113DF5" w14:textId="77777777" w:rsidR="00C06EBA" w:rsidRDefault="00C06EBA" w:rsidP="002323D7">
      <w:pPr>
        <w:spacing w:after="0" w:line="360" w:lineRule="auto"/>
        <w:rPr>
          <w:rFonts w:cs="Arial"/>
          <w:szCs w:val="24"/>
          <w:lang w:val="es-MX"/>
        </w:rPr>
      </w:pPr>
    </w:p>
    <w:p w14:paraId="63523E9F" w14:textId="7B858238" w:rsidR="000975FA" w:rsidRDefault="000975FA" w:rsidP="000975FA">
      <w:pPr>
        <w:spacing w:after="0" w:line="360" w:lineRule="auto"/>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Pr="001133CE">
        <w:rPr>
          <w:rFonts w:eastAsia="Times New Roman" w:cs="Arial"/>
          <w:i/>
          <w:szCs w:val="24"/>
          <w:lang w:val="es-ES" w:eastAsia="es-MX"/>
        </w:rPr>
        <w:t xml:space="preserve">N. crassa </w:t>
      </w:r>
      <w:r w:rsidRPr="001133CE">
        <w:rPr>
          <w:rFonts w:eastAsia="Times New Roman" w:cs="Arial"/>
          <w:szCs w:val="24"/>
          <w:lang w:val="es-ES" w:eastAsia="es-MX"/>
        </w:rPr>
        <w:t>expuestos a paraquat</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E7700">
        <w:rPr>
          <w:rFonts w:eastAsia="Times New Roman" w:cs="Arial"/>
          <w:noProof/>
          <w:szCs w:val="24"/>
          <w:lang w:val="es-ES" w:eastAsia="es-MX"/>
        </w:rPr>
        <w:t>[40]</w:t>
      </w:r>
      <w:r>
        <w:rPr>
          <w:rFonts w:eastAsia="Times New Roman" w:cs="Arial"/>
          <w:szCs w:val="24"/>
          <w:lang w:val="es-ES" w:eastAsia="es-MX"/>
        </w:rPr>
        <w:fldChar w:fldCharType="end"/>
      </w:r>
      <w:r w:rsidRPr="001133CE">
        <w:rPr>
          <w:rFonts w:eastAsia="Times New Roman" w:cs="Arial"/>
          <w:szCs w:val="24"/>
          <w:lang w:val="es-ES" w:eastAsia="es-MX"/>
        </w:rPr>
        <w:t xml:space="preserve">,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w:t>
      </w:r>
      <w:r>
        <w:rPr>
          <w:rFonts w:eastAsia="Times New Roman" w:cs="Arial"/>
          <w:szCs w:val="24"/>
          <w:lang w:val="es-ES" w:eastAsia="es-MX"/>
        </w:rPr>
        <w:t xml:space="preserve">aquellas con </w:t>
      </w:r>
      <w:r w:rsidRPr="001133CE">
        <w:rPr>
          <w:rFonts w:eastAsia="Times New Roman" w:cs="Arial"/>
          <w:szCs w:val="24"/>
          <w:lang w:val="es-ES" w:eastAsia="es-MX"/>
        </w:rPr>
        <w:t xml:space="preserve">el alelo gna-1Q204L </w:t>
      </w:r>
      <w:r>
        <w:rPr>
          <w:rFonts w:eastAsia="Times New Roman" w:cs="Arial"/>
          <w:szCs w:val="24"/>
          <w:lang w:val="es-ES" w:eastAsia="es-MX"/>
        </w:rPr>
        <w:t xml:space="preserve">de señal constitutivamente activa de la subunidad Gα, </w:t>
      </w:r>
      <w:r w:rsidRPr="001133CE">
        <w:rPr>
          <w:rFonts w:eastAsia="Times New Roman" w:cs="Arial"/>
          <w:szCs w:val="24"/>
          <w:lang w:val="es-ES" w:eastAsia="es-MX"/>
        </w:rPr>
        <w:t xml:space="preserve">creció ligeramente un poco más que las cepas con deleción del gen, situación que se vio alterada por acción de la luz, donde en condiciones de </w:t>
      </w:r>
      <w:r w:rsidR="00C06EBA">
        <w:rPr>
          <w:rFonts w:eastAsia="Times New Roman" w:cs="Arial"/>
          <w:szCs w:val="24"/>
          <w:lang w:val="es-ES" w:eastAsia="es-MX"/>
        </w:rPr>
        <w:t>LL (</w:t>
      </w:r>
      <w:r w:rsidRPr="001133CE">
        <w:rPr>
          <w:rFonts w:eastAsia="Times New Roman" w:cs="Arial"/>
          <w:szCs w:val="24"/>
          <w:lang w:val="es-ES" w:eastAsia="es-MX"/>
        </w:rPr>
        <w:t>L</w:t>
      </w:r>
      <w:r w:rsidR="00C06EBA">
        <w:rPr>
          <w:rFonts w:eastAsia="Times New Roman" w:cs="Arial"/>
          <w:szCs w:val="24"/>
          <w:lang w:val="es-ES" w:eastAsia="es-MX"/>
        </w:rPr>
        <w:t>ight-Light)</w:t>
      </w:r>
      <w:r w:rsidR="00852E92">
        <w:rPr>
          <w:rFonts w:eastAsia="Times New Roman" w:cs="Arial"/>
          <w:szCs w:val="24"/>
          <w:lang w:val="es-ES" w:eastAsia="es-MX"/>
        </w:rPr>
        <w:t xml:space="preserve">, ∆gna-1 </w:t>
      </w:r>
      <w:r w:rsidRPr="001133CE">
        <w:rPr>
          <w:rFonts w:eastAsia="Times New Roman" w:cs="Arial"/>
          <w:szCs w:val="24"/>
          <w:lang w:val="es-ES" w:eastAsia="es-MX"/>
        </w:rPr>
        <w:t xml:space="preserve">presenta un mayor crecimiento que gna-1Q204L  en presencia de menadiona y crece menos que gna-1Q204L  en ausencia de menadiona </w:t>
      </w:r>
      <w:r w:rsidR="00C06EBA">
        <w:rPr>
          <w:rFonts w:eastAsia="Times New Roman" w:cs="Arial"/>
          <w:szCs w:val="24"/>
          <w:lang w:val="es-ES" w:eastAsia="es-MX"/>
        </w:rPr>
        <w:t xml:space="preserve"> </w:t>
      </w:r>
      <w:r w:rsidR="00C06EBA">
        <w:rPr>
          <w:rFonts w:eastAsia="Times New Roman" w:cs="Arial"/>
          <w:szCs w:val="24"/>
          <w:lang w:val="es-ES" w:eastAsia="es-MX"/>
        </w:rPr>
        <w:fldChar w:fldCharType="begin" w:fldLock="1"/>
      </w:r>
      <w:r w:rsidR="00C20246">
        <w:rPr>
          <w:rFonts w:eastAsia="Times New Roman" w:cs="Arial"/>
          <w:szCs w:val="24"/>
          <w:lang w:val="es-ES" w:eastAsia="es-MX"/>
        </w:rPr>
        <w:instrText>ADDIN CSL_CITATION {"citationItems":[{"id":"ITEM-1","itemData":{"DOI":"10.1186/1741-7007-7-58","ISBN":"1741-7007 (Electronic)\\r1741-7007 (Linking)","ISSN":"17417007","PMID":"19728862","abstract":"BACKGROUND: The filamentous ascomycete Hypocrea jecorina (anamorph Trichoderma reesei) is primarily known for its efficient enzymatic machinery that it utilizes to decompose cellulosic substrates. Nevertheless, the nature and transmission of the signals initiating and modulating this machinery are largely unknown. Heterotrimeric G-protein signaling represents one of the best studied signal transduction pathways in fungi. RESULTS: Analysis of the regulatory targets of the G-protein alpha subunit GNA1 in H. jecorina revealed a carbon source and light-dependent role in signal transduction. Deletion of gna1 led to significantly decreased biomass formation in darkness in submersed culture but had only minor effects on morphology and hyphal apical extension rates on solid medium. Cellulase gene transcription was abolished in Deltagna1 on cellulose in light and enhanced in darkness. However, analysis of strains expressing a constitutively activated GNA1 revealed that GNA1 does not transmit the essential inducing signal. Instead, it relates a modulating signal with light-dependent significance, since induction still required the presence of an inducer. We show that regulation of transcription and activity of GNA1 involves a carbon source-dependent feedback cycle. Additionally we found a function of GNA1 in hydrophobin regulation as well as effects on conidiation and tolerance of osmotic and oxidative stress. CONCLUSION: We conclude that GNA1 transmits a signal the physiological relevance of which is dependent on both the carbon source as well as the light status. The widespread consequences of mutations in GNA1 indicate a broad function of this Galpha subunit in appropriation of intracellular resources to environmental (especially nutritional) conditions.","author":[{"dropping-particle":"","family":"Seibel","given":"Christian","non-dropping-particle":"","parse-names":false,"suffix":""},{"dropping-particle":"","family":"Gremel","given":"Gabriela","non-dropping-particle":"","parse-names":false,"suffix":""},{"dropping-particle":"","family":"Nascimento Silva","given":"Roberto","non-dropping-particle":"do","parse-names":false,"suffix":""},{"dropping-particle":"","family":"Schuster","given":"Andr??","non-dropping-particle":"","parse-names":false,"suffix":""},{"dropping-particle":"","family":"Kubicek","given":"Christian P.","non-dropping-particle":"","parse-names":false,"suffix":""},{"dropping-particle":"","family":"Schmoll","given":"Monika","non-dropping-particle":"","parse-names":false,"suffix":""}],"container-title":"BMC Biology","id":"ITEM-1","issued":{"date-parts":[["2009"]]},"page":"58","title":"Light-dependent roles of the G-protein ?? subunit GNA1 of Hypocrea jecorina (anamorph Trichoderma reesei)","type":"article-journal","volume":"7"},"uris":["http://www.mendeley.com/documents/?uuid=c960c8b3-d775-4a61-8f68-870d28ebc9be"]}],"mendeley":{"formattedCitation":"[47]","plainTextFormattedCitation":"[47]","previouslyFormattedCitation":"[47]"},"properties":{"noteIndex":0},"schema":"https://github.com/citation-style-language/schema/raw/master/csl-citation.json"}</w:instrText>
      </w:r>
      <w:r w:rsidR="00C06EBA">
        <w:rPr>
          <w:rFonts w:eastAsia="Times New Roman" w:cs="Arial"/>
          <w:szCs w:val="24"/>
          <w:lang w:val="es-ES" w:eastAsia="es-MX"/>
        </w:rPr>
        <w:fldChar w:fldCharType="separate"/>
      </w:r>
      <w:r w:rsidR="00C06EBA" w:rsidRPr="00C06EBA">
        <w:rPr>
          <w:rFonts w:eastAsia="Times New Roman" w:cs="Arial"/>
          <w:noProof/>
          <w:szCs w:val="24"/>
          <w:lang w:val="es-ES" w:eastAsia="es-MX"/>
        </w:rPr>
        <w:t>[47]</w:t>
      </w:r>
      <w:r w:rsidR="00C06EBA">
        <w:rPr>
          <w:rFonts w:eastAsia="Times New Roman" w:cs="Arial"/>
          <w:szCs w:val="24"/>
          <w:lang w:val="es-ES" w:eastAsia="es-MX"/>
        </w:rPr>
        <w:fldChar w:fldCharType="end"/>
      </w:r>
      <w:r w:rsidRPr="001133CE">
        <w:rPr>
          <w:rFonts w:eastAsia="Times New Roman" w:cs="Arial"/>
          <w:szCs w:val="24"/>
          <w:lang w:val="es-ES" w:eastAsia="es-MX"/>
        </w:rPr>
        <w:t>.</w:t>
      </w:r>
    </w:p>
    <w:p w14:paraId="4D04A934" w14:textId="77777777" w:rsidR="007508C9" w:rsidRPr="001133CE" w:rsidRDefault="007508C9" w:rsidP="000975FA">
      <w:pPr>
        <w:spacing w:after="0" w:line="360" w:lineRule="auto"/>
        <w:rPr>
          <w:rFonts w:eastAsia="Times New Roman" w:cs="Arial"/>
          <w:szCs w:val="24"/>
          <w:lang w:val="es-ES" w:eastAsia="es-MX"/>
        </w:rPr>
      </w:pPr>
    </w:p>
    <w:p w14:paraId="6539347F" w14:textId="1C8A6B55" w:rsidR="000975FA" w:rsidRDefault="000975FA" w:rsidP="000975FA">
      <w:pPr>
        <w:spacing w:after="0" w:line="360" w:lineRule="auto"/>
        <w:rPr>
          <w:rFonts w:eastAsia="Times New Roman" w:cs="Arial"/>
          <w:szCs w:val="24"/>
          <w:lang w:val="es-ES" w:eastAsia="es-MX"/>
        </w:rPr>
      </w:pPr>
      <w:r>
        <w:rPr>
          <w:rFonts w:eastAsia="Times New Roman" w:cs="Arial"/>
          <w:szCs w:val="24"/>
          <w:lang w:val="es-ES" w:eastAsia="es-MX"/>
        </w:rPr>
        <w:t xml:space="preserve">La luz interviene en la biosíntesis de pigmentos que actúan como antioxidantes, como en el caso de los carotenos cuya biosíntesis es inducida por luz azul en </w:t>
      </w:r>
      <w:r w:rsidRPr="00F94677">
        <w:rPr>
          <w:rFonts w:eastAsia="Times New Roman" w:cs="Arial"/>
          <w:i/>
          <w:szCs w:val="24"/>
          <w:lang w:val="es-ES" w:eastAsia="es-MX"/>
        </w:rPr>
        <w:t>N. crassa</w:t>
      </w:r>
      <w:r>
        <w:rPr>
          <w:rFonts w:eastAsia="Times New Roman" w:cs="Arial"/>
          <w:szCs w:val="24"/>
          <w:lang w:val="es-ES" w:eastAsia="es-MX"/>
        </w:rPr>
        <w:t xml:space="preserve">, donde este pigmento proporciona resistencia a estrés oxidativo, la acumulación de éste pigmento, así como la producción de conidios se ha encontrado relacionada a niveles bajos de cAMP, lo que explica porque las cepas con deleción gna-1 tienen un mayor crecimiento vegetativo que las de señal Gα activa, es de aclarar que el desarrollo del micelio aéreo es mayor cuando los niveles de cAMP son altos, por lo que las mutaciones constitutivamente activas gna1R178c y gna1Q204L aumenta cAMP respecto a la cepa silvestre. </w:t>
      </w:r>
    </w:p>
    <w:p w14:paraId="0544658A" w14:textId="77777777" w:rsidR="007508C9" w:rsidRDefault="007508C9" w:rsidP="000975FA">
      <w:pPr>
        <w:spacing w:after="0" w:line="360" w:lineRule="auto"/>
        <w:rPr>
          <w:rFonts w:eastAsia="Times New Roman" w:cs="Arial"/>
          <w:szCs w:val="24"/>
          <w:lang w:val="es-ES" w:eastAsia="es-MX"/>
        </w:rPr>
      </w:pPr>
    </w:p>
    <w:p w14:paraId="7CB62B67" w14:textId="4FEB6AD3" w:rsidR="00A269F5" w:rsidRDefault="000975FA" w:rsidP="00A269F5">
      <w:pPr>
        <w:spacing w:after="0" w:line="360" w:lineRule="auto"/>
        <w:rPr>
          <w:rFonts w:cs="Arial"/>
          <w:szCs w:val="24"/>
          <w:lang w:val="es-MX"/>
        </w:rPr>
      </w:pPr>
      <w:r>
        <w:rPr>
          <w:rFonts w:eastAsia="Times New Roman" w:cs="Arial"/>
          <w:szCs w:val="24"/>
          <w:lang w:val="es-ES" w:eastAsia="es-MX"/>
        </w:rPr>
        <w:t>Frente a agentes oxidativos fuertes como el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las ausencia de actividad Gα proporcionó mayor resistencia a cepas Δgna-1 de N crassa y se correspondió con una mayor sensibilidad en cepas gna-1Q204L y gna-1R178L, por lo que se propone que Gα puede regular la ruta de respuesta contra H</w:t>
      </w:r>
      <w:r w:rsidRPr="0086189A">
        <w:rPr>
          <w:rFonts w:eastAsia="Times New Roman" w:cs="Arial"/>
          <w:szCs w:val="24"/>
          <w:vertAlign w:val="subscript"/>
          <w:lang w:val="es-ES" w:eastAsia="es-MX"/>
        </w:rPr>
        <w:t>2</w:t>
      </w:r>
      <w:r>
        <w:rPr>
          <w:rFonts w:eastAsia="Times New Roman" w:cs="Arial"/>
          <w:szCs w:val="24"/>
          <w:lang w:val="es-ES" w:eastAsia="es-MX"/>
        </w:rPr>
        <w:t>O</w:t>
      </w:r>
      <w:r w:rsidRPr="0086189A">
        <w:rPr>
          <w:rFonts w:eastAsia="Times New Roman" w:cs="Arial"/>
          <w:szCs w:val="24"/>
          <w:vertAlign w:val="subscript"/>
          <w:lang w:val="es-ES" w:eastAsia="es-MX"/>
        </w:rPr>
        <w:t>2</w:t>
      </w:r>
      <w:r>
        <w:rPr>
          <w:rFonts w:eastAsia="Times New Roman" w:cs="Arial"/>
          <w:szCs w:val="24"/>
          <w:lang w:val="es-ES" w:eastAsia="es-MX"/>
        </w:rPr>
        <w:t xml:space="preserve"> </w:t>
      </w:r>
      <w:r>
        <w:rPr>
          <w:rFonts w:eastAsia="Times New Roman" w:cs="Arial"/>
          <w:szCs w:val="24"/>
          <w:lang w:val="es-ES" w:eastAsia="es-MX"/>
        </w:rPr>
        <w:fldChar w:fldCharType="begin" w:fldLock="1"/>
      </w:r>
      <w:r>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86189A">
        <w:rPr>
          <w:rFonts w:eastAsia="Times New Roman" w:cs="Arial"/>
          <w:noProof/>
          <w:szCs w:val="24"/>
          <w:lang w:val="es-ES" w:eastAsia="es-MX"/>
        </w:rPr>
        <w:t>[40]</w:t>
      </w:r>
      <w:r>
        <w:rPr>
          <w:rFonts w:eastAsia="Times New Roman" w:cs="Arial"/>
          <w:szCs w:val="24"/>
          <w:lang w:val="es-ES" w:eastAsia="es-MX"/>
        </w:rPr>
        <w:fldChar w:fldCharType="end"/>
      </w:r>
      <w:r>
        <w:rPr>
          <w:rFonts w:eastAsia="Times New Roman" w:cs="Arial"/>
          <w:szCs w:val="24"/>
          <w:lang w:val="es-ES" w:eastAsia="es-MX"/>
        </w:rPr>
        <w:t xml:space="preserve">.  </w:t>
      </w:r>
    </w:p>
    <w:p w14:paraId="5E9FEB10" w14:textId="6A4488D8" w:rsidR="000975FA" w:rsidRPr="00A269F5" w:rsidRDefault="000975FA" w:rsidP="000975FA">
      <w:pPr>
        <w:spacing w:after="0" w:line="360" w:lineRule="auto"/>
        <w:rPr>
          <w:rFonts w:eastAsia="Times New Roman" w:cs="Arial"/>
          <w:szCs w:val="24"/>
          <w:lang w:val="es-MX" w:eastAsia="es-MX"/>
        </w:rPr>
      </w:pPr>
    </w:p>
    <w:p w14:paraId="55D6156F" w14:textId="4EEA2042" w:rsidR="00096D42" w:rsidRDefault="00096D42" w:rsidP="002323D7">
      <w:pPr>
        <w:spacing w:after="0" w:line="240" w:lineRule="auto"/>
        <w:rPr>
          <w:rFonts w:eastAsia="Times New Roman" w:cs="Arial"/>
          <w:szCs w:val="24"/>
          <w:lang w:val="es-MX" w:eastAsia="es-MX"/>
        </w:rPr>
      </w:pPr>
      <w:r w:rsidRPr="001133CE">
        <w:rPr>
          <w:rFonts w:eastAsia="Times New Roman" w:cs="Arial"/>
          <w:noProof/>
          <w:szCs w:val="24"/>
          <w:lang w:val="es-MX" w:eastAsia="es-MX"/>
        </w:rPr>
        <w:drawing>
          <wp:inline distT="0" distB="0" distL="0" distR="0" wp14:anchorId="17183BEF" wp14:editId="4767C192">
            <wp:extent cx="5612130" cy="7458075"/>
            <wp:effectExtent l="0" t="0" r="7620" b="952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7458075"/>
                    </a:xfrm>
                    <a:prstGeom prst="rect">
                      <a:avLst/>
                    </a:prstGeom>
                    <a:noFill/>
                    <a:ln>
                      <a:noFill/>
                    </a:ln>
                  </pic:spPr>
                </pic:pic>
              </a:graphicData>
            </a:graphic>
          </wp:inline>
        </w:drawing>
      </w:r>
      <w:r w:rsidRPr="00096D42">
        <w:rPr>
          <w:rFonts w:cs="Arial"/>
          <w:sz w:val="18"/>
          <w:szCs w:val="24"/>
          <w:lang w:val="es-MX"/>
        </w:rPr>
        <w:t xml:space="preserve">Figura </w:t>
      </w:r>
      <w:r w:rsidRPr="00096D42">
        <w:rPr>
          <w:rFonts w:cs="Arial"/>
          <w:sz w:val="18"/>
          <w:szCs w:val="24"/>
        </w:rPr>
        <w:fldChar w:fldCharType="begin"/>
      </w:r>
      <w:r w:rsidRPr="00096D42">
        <w:rPr>
          <w:rFonts w:cs="Arial"/>
          <w:sz w:val="18"/>
          <w:szCs w:val="24"/>
          <w:lang w:val="es-MX"/>
        </w:rPr>
        <w:instrText xml:space="preserve"> SEQ Figura \* ARABIC </w:instrText>
      </w:r>
      <w:r w:rsidRPr="00096D42">
        <w:rPr>
          <w:rFonts w:cs="Arial"/>
          <w:sz w:val="18"/>
          <w:szCs w:val="24"/>
        </w:rPr>
        <w:fldChar w:fldCharType="separate"/>
      </w:r>
      <w:r w:rsidRPr="00096D42">
        <w:rPr>
          <w:rFonts w:cs="Arial"/>
          <w:noProof/>
          <w:sz w:val="18"/>
          <w:szCs w:val="24"/>
          <w:lang w:val="es-MX"/>
        </w:rPr>
        <w:t>2</w:t>
      </w:r>
      <w:r w:rsidRPr="00096D42">
        <w:rPr>
          <w:rFonts w:cs="Arial"/>
          <w:sz w:val="18"/>
          <w:szCs w:val="24"/>
        </w:rPr>
        <w:fldChar w:fldCharType="end"/>
      </w:r>
      <w:r w:rsidRPr="00096D42">
        <w:rPr>
          <w:rFonts w:cs="Arial"/>
          <w:sz w:val="18"/>
          <w:szCs w:val="24"/>
          <w:lang w:val="es-MX"/>
        </w:rPr>
        <w:t xml:space="preserve">.  Proteínas ortólogas de varios hongos filamentosos identificadas a partir de proteínas asociadas a </w:t>
      </w:r>
      <w:r w:rsidRPr="00096D42">
        <w:rPr>
          <w:rFonts w:cs="Arial"/>
          <w:b/>
          <w:sz w:val="18"/>
          <w:szCs w:val="24"/>
          <w:lang w:val="es-MX"/>
        </w:rPr>
        <w:t>estrés oxidativo</w:t>
      </w:r>
      <w:r w:rsidRPr="00096D42">
        <w:rPr>
          <w:rFonts w:cs="Arial"/>
          <w:sz w:val="18"/>
          <w:szCs w:val="24"/>
          <w:lang w:val="es-MX"/>
        </w:rPr>
        <w:t xml:space="preserve"> (response to oxidative stress: GO:0006979) en </w:t>
      </w:r>
      <w:r w:rsidRPr="00096D42">
        <w:rPr>
          <w:rFonts w:cs="Arial"/>
          <w:i/>
          <w:sz w:val="18"/>
          <w:szCs w:val="24"/>
          <w:lang w:val="es-MX"/>
        </w:rPr>
        <w:t>Saccharomyces cerevisiae</w:t>
      </w:r>
      <w:r w:rsidRPr="00096D42">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oxidativo en </w:t>
      </w:r>
      <w:r w:rsidRPr="00096D42">
        <w:rPr>
          <w:rFonts w:cs="Arial"/>
          <w:i/>
          <w:sz w:val="18"/>
          <w:szCs w:val="24"/>
          <w:lang w:val="es-MX"/>
        </w:rPr>
        <w:t>S. cerevisiae.</w:t>
      </w:r>
      <w:r>
        <w:rPr>
          <w:rFonts w:cs="Arial"/>
          <w:i/>
          <w:sz w:val="18"/>
          <w:szCs w:val="24"/>
          <w:lang w:val="es-MX"/>
        </w:rPr>
        <w:br w:type="page"/>
      </w:r>
    </w:p>
    <w:p w14:paraId="3045B37A" w14:textId="463B3086" w:rsidR="00A269F5" w:rsidRDefault="00A269F5" w:rsidP="002323D7">
      <w:pPr>
        <w:spacing w:after="0" w:line="360" w:lineRule="auto"/>
        <w:rPr>
          <w:rFonts w:cs="Arial"/>
          <w:szCs w:val="24"/>
          <w:lang w:val="es-MX"/>
        </w:rPr>
      </w:pPr>
      <w:r>
        <w:rPr>
          <w:rFonts w:eastAsia="Times New Roman" w:cs="Arial"/>
          <w:szCs w:val="24"/>
          <w:lang w:val="es-ES" w:eastAsia="es-MX"/>
        </w:rPr>
        <w:t xml:space="preserve">Frente a agentes oxidativos fuertes, se han encontrado enzimas conservadas como las SOD, </w:t>
      </w:r>
      <w:r>
        <w:rPr>
          <w:rFonts w:cs="Arial"/>
          <w:szCs w:val="24"/>
          <w:lang w:val="es-MX"/>
        </w:rPr>
        <w:t xml:space="preserve">acorde a su cofactor metálico, las SOD pueden clasificarse en tres isoformas principales Cu/ZnSOD, MnSOD, y FeSOD, estas dos últimas aparecen como homodimeros u homotetrámeros que se parece unas con otras en su secuencia y estructura </w:t>
      </w:r>
      <w:r>
        <w:rPr>
          <w:rFonts w:cs="Arial"/>
          <w:szCs w:val="24"/>
          <w:lang w:val="es-MX"/>
        </w:rPr>
        <w:fldChar w:fldCharType="begin" w:fldLock="1"/>
      </w:r>
      <w:r w:rsidR="00C20246">
        <w:rPr>
          <w:rFonts w:cs="Arial"/>
          <w:szCs w:val="24"/>
          <w:lang w:val="es-MX"/>
        </w:rPr>
        <w:instrText>ADDIN CSL_CITATION {"citationItems":[{"id":"ITEM-1","itemData":{"DOI":"10.1016/J.YMPEV.2006.05.001","ISSN":"1055-7903","abstract":"Superoxide dismutases (SODs), which provide protection against oxidative stress, exhibit an essential role for fungal cell survival, especially during host invasion. Here, 20 partial SOD sequences from 19 pathogenic fungi were determined and aligned with 43 homologous fungal sequences from databases. All sequences encoded tetrameric manganese (Mn)-containing SODs showing predicted cytosolic or mitochondrial subcellular localization. Numerous fungi possessed both cytosolic and mitochondrial MnSODs in addition to the mainly cytosolic copper/zinc isozyme. Moreover, MnSOD sequence variability was higher than SSU rRNA and similar to ITS rRNA, suggesting MnSOD could be used to identify closely related fungal species. MnSOD- and SSU rRNA-based phylogenetic trees were constructed and compared. Despite a more complex topology of the MnSOD tree, due to several gene duplication events, all the classic fungal classes and orders were recovered. A salient point was the existence of two paralogous cytosolic and mitochondrial MnSODs in some Ascomycota. A hypothetical evolutionary scenario with an early gene duplication of the “mitochondrial” gene is proposed.","author":[{"dropping-particle":"","family":"Fréalle","given":"Emilie","non-dropping-particle":"","parse-names":false,"suffix":""},{"dropping-particle":"","family":"Noël","given":"Christophe","non-dropping-particle":"","parse-names":false,"suffix":""},{"dropping-particle":"","family":"Nolard","given":"Nicole","non-dropping-particle":"","parse-names":false,"suffix":""},{"dropping-particle":"","family":"Symoens","given":"Françoise","non-dropping-particle":"","parse-names":false,"suffix":""},{"dropping-particle":"","family":"Felipe","given":"Maria-Sueli","non-dropping-particle":"","parse-names":false,"suffix":""},{"dropping-particle":"","family":"Dei-Cas","given":"Eduardo","non-dropping-particle":"","parse-names":false,"suffix":""},{"dropping-particle":"","family":"Camus","given":"Daniel","non-dropping-particle":"","parse-names":false,"suffix":""},{"dropping-particle":"","family":"Viscogliosi","given":"Eric","non-dropping-particle":"","parse-names":false,"suffix":""},{"dropping-particle":"","family":"Delhaes","given":"Laurence","non-dropping-particle":"","parse-names":false,"suffix":""}],"container-title":"Molecular Phylogenetics and Evolution","id":"ITEM-1","issue":"1","issued":{"date-parts":[["2006","10","1"]]},"page":"28-39","publisher":"Academic Press","title":"Manganese superoxide dismutase based phylogeny of pathogenic fungi","type":"article-journal","volume":"41"},"uris":["http://www.mendeley.com/documents/?uuid=e58bd13c-c30d-3ac5-9112-9518b395195e"]}],"mendeley":{"formattedCitation":"[48]","plainTextFormattedCitation":"[48]","previouslyFormattedCitation":"[48]"},"properties":{"noteIndex":0},"schema":"https://github.com/citation-style-language/schema/raw/master/csl-citation.json"}</w:instrText>
      </w:r>
      <w:r>
        <w:rPr>
          <w:rFonts w:cs="Arial"/>
          <w:szCs w:val="24"/>
          <w:lang w:val="es-MX"/>
        </w:rPr>
        <w:fldChar w:fldCharType="separate"/>
      </w:r>
      <w:r w:rsidR="00C06EBA" w:rsidRPr="00C06EBA">
        <w:rPr>
          <w:rFonts w:cs="Arial"/>
          <w:noProof/>
          <w:szCs w:val="24"/>
          <w:lang w:val="es-MX"/>
        </w:rPr>
        <w:t>[48]</w:t>
      </w:r>
      <w:r>
        <w:rPr>
          <w:rFonts w:cs="Arial"/>
          <w:szCs w:val="24"/>
          <w:lang w:val="es-MX"/>
        </w:rPr>
        <w:fldChar w:fldCharType="end"/>
      </w:r>
      <w:r>
        <w:rPr>
          <w:rFonts w:cs="Arial"/>
          <w:szCs w:val="24"/>
          <w:lang w:val="es-MX"/>
        </w:rPr>
        <w:t>, en S. c</w:t>
      </w:r>
      <w:r w:rsidR="002D28D2">
        <w:rPr>
          <w:rFonts w:cs="Arial"/>
          <w:szCs w:val="24"/>
          <w:lang w:val="es-MX"/>
        </w:rPr>
        <w:t>erevisia</w:t>
      </w:r>
      <w:r>
        <w:rPr>
          <w:rFonts w:cs="Arial"/>
          <w:szCs w:val="24"/>
          <w:lang w:val="es-MX"/>
        </w:rPr>
        <w:t>e</w:t>
      </w:r>
      <w:r w:rsidR="002D28D2">
        <w:rPr>
          <w:rFonts w:cs="Arial"/>
          <w:szCs w:val="24"/>
          <w:lang w:val="es-MX"/>
        </w:rPr>
        <w:t>, la MnSOD ha sido reportada por participar en la respuesta a estrés oxidativo</w:t>
      </w:r>
      <w:r>
        <w:rPr>
          <w:rFonts w:cs="Arial"/>
          <w:szCs w:val="24"/>
          <w:lang w:val="es-MX"/>
        </w:rPr>
        <w:t xml:space="preserve"> </w:t>
      </w:r>
      <w:r w:rsidR="002D28D2">
        <w:rPr>
          <w:rFonts w:cs="Arial"/>
          <w:szCs w:val="24"/>
          <w:lang w:val="es-MX"/>
        </w:rPr>
        <w:t>(figura 2), y de la que se han encontrado ortólogos en hongos filamentosos, que también presentan otras SOD participando en la respuesta a estrés, en</w:t>
      </w:r>
      <w:r w:rsidR="002D28D2">
        <w:rPr>
          <w:rFonts w:eastAsia="Times New Roman" w:cs="Arial"/>
          <w:szCs w:val="24"/>
          <w:lang w:val="es-ES" w:eastAsia="es-MX"/>
        </w:rPr>
        <w:t xml:space="preserve"> </w:t>
      </w:r>
      <w:r w:rsidR="002D28D2" w:rsidRPr="002D28D2">
        <w:rPr>
          <w:rFonts w:eastAsia="Times New Roman" w:cs="Arial"/>
          <w:i/>
          <w:szCs w:val="24"/>
          <w:lang w:val="es-ES" w:eastAsia="es-MX"/>
        </w:rPr>
        <w:t>N</w:t>
      </w:r>
      <w:r w:rsidR="002D28D2">
        <w:rPr>
          <w:rFonts w:eastAsia="Times New Roman" w:cs="Arial"/>
          <w:i/>
          <w:szCs w:val="24"/>
          <w:lang w:val="es-ES" w:eastAsia="es-MX"/>
        </w:rPr>
        <w:t>.</w:t>
      </w:r>
      <w:r w:rsidR="002D28D2" w:rsidRPr="002D28D2">
        <w:rPr>
          <w:rFonts w:eastAsia="Times New Roman" w:cs="Arial"/>
          <w:i/>
          <w:szCs w:val="24"/>
          <w:lang w:val="es-ES" w:eastAsia="es-MX"/>
        </w:rPr>
        <w:t xml:space="preserve"> crassa</w:t>
      </w:r>
      <w:r w:rsidR="002D28D2">
        <w:rPr>
          <w:rFonts w:eastAsia="Times New Roman" w:cs="Arial"/>
          <w:szCs w:val="24"/>
          <w:lang w:val="es-ES" w:eastAsia="es-MX"/>
        </w:rPr>
        <w:t xml:space="preserve"> se ha encontrado la</w:t>
      </w:r>
      <w:r>
        <w:rPr>
          <w:rFonts w:eastAsia="Times New Roman" w:cs="Arial"/>
          <w:szCs w:val="24"/>
          <w:lang w:val="es-ES" w:eastAsia="es-MX"/>
        </w:rPr>
        <w:t xml:space="preserve"> </w:t>
      </w:r>
      <w:r>
        <w:rPr>
          <w:rFonts w:cs="Arial"/>
          <w:szCs w:val="24"/>
          <w:lang w:val="es-MX"/>
        </w:rPr>
        <w:t xml:space="preserve">SOD-Cu/Zn codificada por el gen dos-1, enzima que al estar ausente, aumenta la sensibilidad a paraquat. </w:t>
      </w:r>
    </w:p>
    <w:p w14:paraId="4FA40339" w14:textId="77777777" w:rsidR="002D28D2" w:rsidRDefault="002D28D2" w:rsidP="002323D7">
      <w:pPr>
        <w:spacing w:after="0" w:line="360" w:lineRule="auto"/>
        <w:rPr>
          <w:rFonts w:eastAsia="Times New Roman" w:cs="Arial"/>
          <w:szCs w:val="24"/>
          <w:lang w:val="es-ES" w:eastAsia="es-MX"/>
        </w:rPr>
      </w:pPr>
    </w:p>
    <w:p w14:paraId="0FFE8E4C" w14:textId="16427AB3" w:rsidR="001426F1" w:rsidRDefault="0086189A" w:rsidP="002323D7">
      <w:pPr>
        <w:spacing w:after="0" w:line="360" w:lineRule="auto"/>
        <w:rPr>
          <w:rFonts w:cs="Arial"/>
          <w:szCs w:val="24"/>
          <w:lang w:val="es-MX"/>
        </w:rPr>
      </w:pPr>
      <w:r>
        <w:rPr>
          <w:rFonts w:eastAsia="Times New Roman" w:cs="Arial"/>
          <w:szCs w:val="24"/>
          <w:lang w:val="es-ES" w:eastAsia="es-MX"/>
        </w:rPr>
        <w:t xml:space="preserve">La participación de Gα en la respuesta a agentes superoxido, podría estar relacionada no al mecanismo de acción de la superoxido dismutasa, más si con la </w:t>
      </w:r>
      <w:r w:rsidR="006B75DC">
        <w:rPr>
          <w:rFonts w:eastAsia="Times New Roman" w:cs="Arial"/>
          <w:szCs w:val="24"/>
          <w:lang w:val="es-ES" w:eastAsia="es-MX"/>
        </w:rPr>
        <w:t>con</w:t>
      </w:r>
      <w:r>
        <w:rPr>
          <w:rFonts w:eastAsia="Times New Roman" w:cs="Arial"/>
          <w:szCs w:val="24"/>
          <w:lang w:val="es-ES" w:eastAsia="es-MX"/>
        </w:rPr>
        <w:t xml:space="preserve">formación </w:t>
      </w:r>
      <w:r w:rsidR="006B75DC">
        <w:rPr>
          <w:rFonts w:eastAsia="Times New Roman" w:cs="Arial"/>
          <w:szCs w:val="24"/>
          <w:lang w:val="es-ES" w:eastAsia="es-MX"/>
        </w:rPr>
        <w:t xml:space="preserve">estructural </w:t>
      </w:r>
      <w:r>
        <w:rPr>
          <w:rFonts w:eastAsia="Times New Roman" w:cs="Arial"/>
          <w:szCs w:val="24"/>
          <w:lang w:val="es-ES" w:eastAsia="es-MX"/>
        </w:rPr>
        <w:t xml:space="preserve">de esta enzima como fue descrito para </w:t>
      </w:r>
      <w:r w:rsidR="006B75DC">
        <w:rPr>
          <w:rFonts w:cs="Arial"/>
          <w:i/>
          <w:szCs w:val="24"/>
          <w:lang w:val="es-MX"/>
        </w:rPr>
        <w:t>Sporothrix schenckii,</w:t>
      </w:r>
      <w:r w:rsidR="006B75DC">
        <w:rPr>
          <w:rFonts w:cs="Arial"/>
          <w:szCs w:val="24"/>
          <w:lang w:val="es-MX"/>
        </w:rPr>
        <w:t xml:space="preserve"> a través de análisis de </w:t>
      </w:r>
      <w:r w:rsidRPr="001133CE">
        <w:rPr>
          <w:rFonts w:cs="Arial"/>
          <w:szCs w:val="24"/>
          <w:lang w:val="es-MX"/>
        </w:rPr>
        <w:t xml:space="preserve">interacciones proteína-proteína, </w:t>
      </w:r>
      <w:r w:rsidR="00043A31">
        <w:rPr>
          <w:rFonts w:cs="Arial"/>
          <w:szCs w:val="24"/>
          <w:lang w:val="es-MX"/>
        </w:rPr>
        <w:t xml:space="preserve">la </w:t>
      </w:r>
      <w:r w:rsidRPr="001133CE">
        <w:rPr>
          <w:rFonts w:cs="Arial"/>
          <w:szCs w:val="24"/>
          <w:lang w:val="es-MX"/>
        </w:rPr>
        <w:t>proteína Gα interactúa con la super-óxido dismutasa</w:t>
      </w:r>
      <w:r w:rsidR="00893F73">
        <w:rPr>
          <w:rFonts w:cs="Arial"/>
          <w:szCs w:val="24"/>
          <w:lang w:val="es-MX"/>
        </w:rPr>
        <w:t xml:space="preserve"> de hierro o de manganeso</w:t>
      </w:r>
      <w:r w:rsidRPr="001133CE">
        <w:rPr>
          <w:rFonts w:cs="Arial"/>
          <w:szCs w:val="24"/>
          <w:lang w:val="es-MX"/>
        </w:rPr>
        <w:t xml:space="preserve"> (SOD</w:t>
      </w:r>
      <w:r w:rsidR="00893F73">
        <w:rPr>
          <w:rFonts w:cs="Arial"/>
          <w:szCs w:val="24"/>
          <w:lang w:val="es-MX"/>
        </w:rPr>
        <w:t>-</w:t>
      </w:r>
      <w:r w:rsidR="00893F73" w:rsidRPr="00893F73">
        <w:rPr>
          <w:rFonts w:cs="Arial"/>
          <w:szCs w:val="24"/>
          <w:lang w:val="es-MX"/>
        </w:rPr>
        <w:t xml:space="preserve"> </w:t>
      </w:r>
      <w:r w:rsidR="00893F73">
        <w:rPr>
          <w:rFonts w:cs="Arial"/>
          <w:szCs w:val="24"/>
          <w:lang w:val="es-MX"/>
        </w:rPr>
        <w:t>Fe/Mn</w:t>
      </w:r>
      <w:r w:rsidRPr="001133CE">
        <w:rPr>
          <w:rFonts w:cs="Arial"/>
          <w:szCs w:val="24"/>
          <w:lang w:val="es-MX"/>
        </w:rPr>
        <w:t>), no solo a nivel del citosol sino</w:t>
      </w:r>
      <w:r w:rsidR="00043A31">
        <w:rPr>
          <w:rFonts w:cs="Arial"/>
          <w:szCs w:val="24"/>
          <w:lang w:val="es-MX"/>
        </w:rPr>
        <w:t xml:space="preserve"> a nivel</w:t>
      </w:r>
      <w:r w:rsidRPr="001133CE">
        <w:rPr>
          <w:rFonts w:cs="Arial"/>
          <w:szCs w:val="24"/>
          <w:lang w:val="es-MX"/>
        </w:rPr>
        <w:t xml:space="preserve">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w:t>
      </w:r>
      <w:r w:rsidR="002D28D2">
        <w:rPr>
          <w:rFonts w:cs="Arial"/>
          <w:szCs w:val="24"/>
          <w:lang w:val="es-MX"/>
        </w:rPr>
        <w:t>ior</w:t>
      </w:r>
      <w:r w:rsidRPr="001133CE">
        <w:rPr>
          <w:rFonts w:cs="Arial"/>
          <w:szCs w:val="24"/>
          <w:lang w:val="es-MX"/>
        </w:rPr>
        <w:t xml:space="preserve">,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r w:rsidR="001426F1">
        <w:rPr>
          <w:rFonts w:cs="Arial"/>
          <w:szCs w:val="24"/>
          <w:lang w:val="es-MX"/>
        </w:rPr>
        <w:t>.</w:t>
      </w:r>
    </w:p>
    <w:p w14:paraId="10F99B3B" w14:textId="588C844B" w:rsidR="007508C9" w:rsidRDefault="007508C9" w:rsidP="002323D7">
      <w:pPr>
        <w:spacing w:after="0" w:line="360" w:lineRule="auto"/>
        <w:rPr>
          <w:rFonts w:cs="Arial"/>
          <w:szCs w:val="24"/>
          <w:lang w:val="es-MX"/>
        </w:rPr>
      </w:pPr>
    </w:p>
    <w:p w14:paraId="7FA1AC7C" w14:textId="11F62403" w:rsidR="005564BF" w:rsidRDefault="00852E92" w:rsidP="002323D7">
      <w:pPr>
        <w:spacing w:after="0" w:line="360" w:lineRule="auto"/>
        <w:rPr>
          <w:rFonts w:eastAsia="Times New Roman" w:cs="Arial"/>
          <w:szCs w:val="24"/>
          <w:lang w:val="es-ES" w:eastAsia="es-MX"/>
        </w:rPr>
      </w:pPr>
      <w:r>
        <w:rPr>
          <w:rFonts w:cs="Arial"/>
          <w:szCs w:val="24"/>
          <w:lang w:val="es-MX"/>
        </w:rPr>
        <w:t xml:space="preserve">Adicionalmente los </w:t>
      </w:r>
      <w:r w:rsidR="005564BF">
        <w:rPr>
          <w:rFonts w:eastAsia="Times New Roman" w:cs="Arial"/>
          <w:szCs w:val="24"/>
          <w:lang w:val="es-ES" w:eastAsia="es-MX"/>
        </w:rPr>
        <w:t>STRE dependientes de cAMP aparecen durant</w:t>
      </w:r>
      <w:r>
        <w:rPr>
          <w:rFonts w:eastAsia="Times New Roman" w:cs="Arial"/>
          <w:szCs w:val="24"/>
          <w:lang w:val="es-ES" w:eastAsia="es-MX"/>
        </w:rPr>
        <w:t>e el estrés pero se desconoce có</w:t>
      </w:r>
      <w:r w:rsidR="005564BF">
        <w:rPr>
          <w:rFonts w:eastAsia="Times New Roman" w:cs="Arial"/>
          <w:szCs w:val="24"/>
          <w:lang w:val="es-ES" w:eastAsia="es-MX"/>
        </w:rPr>
        <w:t>mo regulan los genes de respuesta a estrés, no explican la expresión de todos los genes de respuesta a estrés</w:t>
      </w:r>
      <w:r>
        <w:rPr>
          <w:rFonts w:eastAsia="Times New Roman" w:cs="Arial"/>
          <w:szCs w:val="24"/>
          <w:lang w:val="es-ES" w:eastAsia="es-MX"/>
        </w:rPr>
        <w:t xml:space="preserve">, </w:t>
      </w:r>
    </w:p>
    <w:p w14:paraId="61DA7234" w14:textId="77777777" w:rsidR="005564BF" w:rsidRDefault="005564BF" w:rsidP="002323D7">
      <w:pPr>
        <w:spacing w:after="0" w:line="360" w:lineRule="auto"/>
        <w:rPr>
          <w:rFonts w:eastAsia="Times New Roman" w:cs="Arial"/>
          <w:szCs w:val="24"/>
          <w:lang w:val="es-ES" w:eastAsia="es-MX"/>
        </w:rPr>
      </w:pPr>
    </w:p>
    <w:p w14:paraId="6FAAE984" w14:textId="2C0D4049" w:rsidR="006B75DC" w:rsidRPr="001133CE" w:rsidRDefault="006B75DC" w:rsidP="002323D7">
      <w:pPr>
        <w:spacing w:after="0" w:line="360" w:lineRule="auto"/>
        <w:rPr>
          <w:rFonts w:eastAsia="Times New Roman" w:cs="Arial"/>
          <w:szCs w:val="24"/>
          <w:lang w:val="es-MX" w:eastAsia="es-MX"/>
        </w:rPr>
      </w:pPr>
    </w:p>
    <w:p w14:paraId="5A4CD467" w14:textId="00FE3DA2" w:rsidR="005A2F2D"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40D18DA5" w:rsidR="003607B4" w:rsidRPr="001133CE" w:rsidRDefault="003607B4" w:rsidP="002323D7">
      <w:pPr>
        <w:spacing w:after="0" w:line="360" w:lineRule="auto"/>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C20246">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[49]","plainTextFormattedCitation":"[49]","previouslyFormattedCitation":"[49]"},"properties":{"noteIndex":0},"schema":"https://github.com/citation-style-language/schema/raw/master/csl-citation.json"}</w:instrText>
      </w:r>
      <w:r w:rsidRPr="001133CE">
        <w:rPr>
          <w:rFonts w:cs="Arial"/>
          <w:szCs w:val="24"/>
          <w:lang w:val="es-MX"/>
        </w:rPr>
        <w:fldChar w:fldCharType="separate"/>
      </w:r>
      <w:r w:rsidR="00C06EBA" w:rsidRPr="00C06EBA">
        <w:rPr>
          <w:rFonts w:cs="Arial"/>
          <w:noProof/>
          <w:szCs w:val="24"/>
          <w:lang w:val="es-MX"/>
        </w:rPr>
        <w:t>[49]</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1426F1">
        <w:rPr>
          <w:rFonts w:cs="Arial"/>
          <w:szCs w:val="24"/>
          <w:lang w:val="es-MX"/>
        </w:rPr>
        <w:t>la a</w:t>
      </w:r>
      <w:r w:rsidR="001426F1">
        <w:rPr>
          <w:rFonts w:eastAsia="Times New Roman" w:cs="Arial"/>
          <w:szCs w:val="24"/>
          <w:lang w:val="es-ES" w:eastAsia="es-MX"/>
        </w:rPr>
        <w:t xml:space="preserve">usencia de Gα,  Δgna1 son más sensibles a medios hiperosmóticos, cuando la señal de Gα es constitutivamente activa no son más osmotolerantes que la cepa silvestre, por lo que </w:t>
      </w:r>
      <w:r w:rsidR="00620D3E" w:rsidRPr="001133CE">
        <w:rPr>
          <w:rFonts w:cs="Arial"/>
          <w:szCs w:val="24"/>
          <w:lang w:val="es-MX"/>
        </w:rPr>
        <w:t>GNA-1 regula positivamente la respuesta a estrés h</w:t>
      </w:r>
      <w:r w:rsidR="00C83256">
        <w:rPr>
          <w:rFonts w:cs="Arial"/>
          <w:szCs w:val="24"/>
          <w:lang w:val="es-MX"/>
        </w:rPr>
        <w:t>i</w:t>
      </w:r>
      <w:r w:rsidR="00620D3E" w:rsidRPr="001133CE">
        <w:rPr>
          <w:rFonts w:cs="Arial"/>
          <w:szCs w:val="24"/>
          <w:lang w:val="es-MX"/>
        </w:rPr>
        <w:t>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C83256">
        <w:rPr>
          <w:rFonts w:cs="Arial"/>
          <w:szCs w:val="24"/>
          <w:lang w:val="es-MX"/>
        </w:rPr>
        <w:t xml:space="preserve"> condiciones hi</w:t>
      </w:r>
      <w:r w:rsidR="00931A6C" w:rsidRPr="001133CE">
        <w:rPr>
          <w:rFonts w:cs="Arial"/>
          <w:szCs w:val="24"/>
          <w:lang w:val="es-MX"/>
        </w:rPr>
        <w:t>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C20246">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[50]","plainTextFormattedCitation":"[50]","previouslyFormattedCitation":"[50]"},"properties":{"noteIndex":0},"schema":"https://github.com/citation-style-language/schema/raw/master/csl-citation.json"}</w:instrText>
      </w:r>
      <w:r w:rsidR="00B634A1" w:rsidRPr="001133CE">
        <w:rPr>
          <w:rFonts w:cs="Arial"/>
          <w:szCs w:val="24"/>
          <w:lang w:val="es-ES"/>
        </w:rPr>
        <w:fldChar w:fldCharType="separate"/>
      </w:r>
      <w:r w:rsidR="00C06EBA" w:rsidRPr="00C06EBA">
        <w:rPr>
          <w:rFonts w:cs="Arial"/>
          <w:noProof/>
          <w:szCs w:val="24"/>
          <w:lang w:val="es-ES"/>
        </w:rPr>
        <w:t>[50]</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C20246">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[51]","plainTextFormattedCitation":"[51]","previouslyFormattedCitation":"[51]"},"properties":{"noteIndex":0},"schema":"https://github.com/citation-style-language/schema/raw/master/csl-citation.json"}</w:instrText>
      </w:r>
      <w:r w:rsidR="005D4591" w:rsidRPr="001133CE">
        <w:rPr>
          <w:rFonts w:cs="Arial"/>
          <w:szCs w:val="24"/>
          <w:lang w:val="es-MX"/>
        </w:rPr>
        <w:fldChar w:fldCharType="separate"/>
      </w:r>
      <w:r w:rsidR="00C06EBA" w:rsidRPr="00C06EBA">
        <w:rPr>
          <w:rFonts w:cs="Arial"/>
          <w:noProof/>
          <w:szCs w:val="24"/>
          <w:lang w:val="es-MX"/>
        </w:rPr>
        <w:t>[51]</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3903083D" w14:textId="77777777" w:rsidR="00C83256" w:rsidRDefault="00C83256">
      <w:pPr>
        <w:rPr>
          <w:rFonts w:cs="Arial"/>
          <w:szCs w:val="24"/>
          <w:highlight w:val="yellow"/>
          <w:lang w:val="es-MX"/>
        </w:rPr>
      </w:pPr>
    </w:p>
    <w:p w14:paraId="219A651D" w14:textId="530E6E25" w:rsidR="002323D7" w:rsidRDefault="002323D7">
      <w:pPr>
        <w:rPr>
          <w:rFonts w:cs="Arial"/>
          <w:szCs w:val="24"/>
          <w:highlight w:val="yellow"/>
          <w:lang w:val="es-MX"/>
        </w:rPr>
      </w:pPr>
      <w:r>
        <w:rPr>
          <w:rFonts w:cs="Arial"/>
          <w:szCs w:val="24"/>
          <w:highlight w:val="yellow"/>
          <w:lang w:val="es-MX"/>
        </w:rPr>
        <w:br w:type="page"/>
      </w:r>
    </w:p>
    <w:p w14:paraId="5B0F23A2" w14:textId="72EE0A72" w:rsidR="009636BC" w:rsidRDefault="00EE1E62" w:rsidP="002323D7">
      <w:pPr>
        <w:spacing w:after="0" w:line="240" w:lineRule="auto"/>
        <w:rPr>
          <w:rFonts w:cs="Arial"/>
          <w:szCs w:val="24"/>
          <w:lang w:val="es-MX"/>
        </w:rPr>
      </w:pPr>
      <w:r w:rsidRPr="001133CE">
        <w:rPr>
          <w:rFonts w:cs="Arial"/>
          <w:noProof/>
          <w:szCs w:val="24"/>
          <w:lang w:val="es-MX" w:eastAsia="es-MX"/>
        </w:rPr>
        <w:drawing>
          <wp:inline distT="0" distB="0" distL="0" distR="0" wp14:anchorId="643D948C" wp14:editId="427B53A8">
            <wp:extent cx="5612130" cy="7467600"/>
            <wp:effectExtent l="0" t="0" r="7620" b="0"/>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467600"/>
                    </a:xfrm>
                    <a:prstGeom prst="rect">
                      <a:avLst/>
                    </a:prstGeom>
                    <a:noFill/>
                    <a:ln>
                      <a:noFill/>
                    </a:ln>
                  </pic:spPr>
                </pic:pic>
              </a:graphicData>
            </a:graphic>
          </wp:inline>
        </w:drawing>
      </w:r>
      <w:r w:rsidR="00C41E1D" w:rsidRPr="00096D42">
        <w:rPr>
          <w:rFonts w:cs="Arial"/>
          <w:sz w:val="18"/>
          <w:szCs w:val="24"/>
          <w:lang w:val="es-MX"/>
        </w:rPr>
        <w:t xml:space="preserve">Figura </w:t>
      </w:r>
      <w:r w:rsidR="00C41E1D" w:rsidRPr="00096D42">
        <w:rPr>
          <w:rFonts w:cs="Arial"/>
          <w:sz w:val="18"/>
          <w:szCs w:val="24"/>
        </w:rPr>
        <w:fldChar w:fldCharType="begin"/>
      </w:r>
      <w:r w:rsidR="00C41E1D" w:rsidRPr="00096D42">
        <w:rPr>
          <w:rFonts w:cs="Arial"/>
          <w:sz w:val="18"/>
          <w:szCs w:val="24"/>
          <w:lang w:val="es-MX"/>
        </w:rPr>
        <w:instrText xml:space="preserve"> SEQ Figura \* ARABIC </w:instrText>
      </w:r>
      <w:r w:rsidR="00C41E1D" w:rsidRPr="00096D42">
        <w:rPr>
          <w:rFonts w:cs="Arial"/>
          <w:sz w:val="18"/>
          <w:szCs w:val="24"/>
        </w:rPr>
        <w:fldChar w:fldCharType="separate"/>
      </w:r>
      <w:r w:rsidR="00B700A9" w:rsidRPr="00096D42">
        <w:rPr>
          <w:rFonts w:cs="Arial"/>
          <w:noProof/>
          <w:sz w:val="18"/>
          <w:szCs w:val="24"/>
          <w:lang w:val="es-MX"/>
        </w:rPr>
        <w:t>3</w:t>
      </w:r>
      <w:r w:rsidR="00C41E1D" w:rsidRPr="00096D42">
        <w:rPr>
          <w:rFonts w:cs="Arial"/>
          <w:sz w:val="18"/>
          <w:szCs w:val="24"/>
        </w:rPr>
        <w:fldChar w:fldCharType="end"/>
      </w:r>
      <w:r w:rsidR="00C41E1D" w:rsidRPr="00096D42">
        <w:rPr>
          <w:rFonts w:cs="Arial"/>
          <w:sz w:val="18"/>
          <w:szCs w:val="24"/>
          <w:lang w:val="es-MX"/>
        </w:rPr>
        <w:t xml:space="preserve">.  Proteínas ortólogas de varios hongos filamentosos identificadas a partir de proteínas asociadas a la respuesta a estrés osmótico (response to osmotic stress: GO:0006970) en </w:t>
      </w:r>
      <w:r w:rsidR="00C41E1D" w:rsidRPr="00096D42">
        <w:rPr>
          <w:rFonts w:cs="Arial"/>
          <w:i/>
          <w:sz w:val="18"/>
          <w:szCs w:val="24"/>
          <w:lang w:val="es-MX"/>
        </w:rPr>
        <w:t>Saccharomyces cerevisiae</w:t>
      </w:r>
      <w:r w:rsidR="00C41E1D" w:rsidRPr="00096D42">
        <w:rPr>
          <w:rFonts w:cs="Arial"/>
          <w:sz w:val="18"/>
          <w:szCs w:val="24"/>
          <w:lang w:val="es-MX"/>
        </w:rPr>
        <w:t>. Superior)</w:t>
      </w:r>
      <w:r w:rsidR="00B700A9" w:rsidRPr="00096D42">
        <w:rPr>
          <w:rFonts w:cs="Arial"/>
          <w:sz w:val="18"/>
          <w:szCs w:val="24"/>
          <w:lang w:val="es-MX"/>
        </w:rPr>
        <w:t xml:space="preserve">.  </w:t>
      </w:r>
      <w:r w:rsidR="001133CE" w:rsidRPr="00096D42">
        <w:rPr>
          <w:rFonts w:cs="Arial"/>
          <w:sz w:val="18"/>
          <w:szCs w:val="24"/>
          <w:lang w:val="es-MX"/>
        </w:rPr>
        <w:t xml:space="preserve">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 </w:t>
      </w:r>
      <w:r w:rsidR="001133CE" w:rsidRPr="00096D42">
        <w:rPr>
          <w:rFonts w:cs="Arial"/>
          <w:i/>
          <w:sz w:val="18"/>
          <w:szCs w:val="24"/>
          <w:lang w:val="es-MX"/>
        </w:rPr>
        <w:t>S. cerevisiae</w:t>
      </w:r>
      <w:r w:rsidR="00C41E1D" w:rsidRPr="00096D42">
        <w:rPr>
          <w:rFonts w:cs="Arial"/>
          <w:sz w:val="18"/>
          <w:szCs w:val="24"/>
          <w:lang w:val="es-MX"/>
        </w:rPr>
        <w:t>.</w:t>
      </w:r>
      <w:r w:rsidR="002E0FA9" w:rsidRPr="001133CE">
        <w:rPr>
          <w:rFonts w:cs="Arial"/>
          <w:szCs w:val="24"/>
          <w:lang w:val="es-MX"/>
        </w:rPr>
        <w:br w:type="page"/>
      </w:r>
    </w:p>
    <w:p w14:paraId="3FC3772B" w14:textId="4D55F76E" w:rsidR="00E66EC0" w:rsidRDefault="00C83256" w:rsidP="002323D7">
      <w:pPr>
        <w:spacing w:after="0" w:line="240" w:lineRule="auto"/>
        <w:rPr>
          <w:rFonts w:cs="Arial"/>
          <w:szCs w:val="24"/>
          <w:lang w:val="es-MX"/>
        </w:rPr>
      </w:pPr>
      <w:r>
        <w:rPr>
          <w:rFonts w:cs="Arial"/>
          <w:szCs w:val="24"/>
          <w:lang w:val="es-MX"/>
        </w:rPr>
        <w:t>En M. grisea magB regula diversos procesos morfológicos,</w:t>
      </w:r>
      <w:r w:rsidR="00E358D1">
        <w:rPr>
          <w:rFonts w:cs="Arial"/>
          <w:szCs w:val="24"/>
          <w:lang w:val="es-MX"/>
        </w:rPr>
        <w:t xml:space="preserve"> como el crecimiento vegetativo, la conidiación, patogenicidad, etc, esta Gα del grupo I regula negativamente la función adenilato ciclasa. El cAMP exógeno resta</w:t>
      </w:r>
      <w:r w:rsidR="00D45645">
        <w:rPr>
          <w:rFonts w:cs="Arial"/>
          <w:szCs w:val="24"/>
          <w:lang w:val="es-MX"/>
        </w:rPr>
        <w:t>u</w:t>
      </w:r>
      <w:r w:rsidR="00E358D1">
        <w:rPr>
          <w:rFonts w:cs="Arial"/>
          <w:szCs w:val="24"/>
          <w:lang w:val="es-MX"/>
        </w:rPr>
        <w:t xml:space="preserve">ra la formación de apresorio cuando magB </w:t>
      </w:r>
      <w:r w:rsidR="00D45645">
        <w:rPr>
          <w:rFonts w:cs="Arial"/>
          <w:szCs w:val="24"/>
          <w:lang w:val="es-MX"/>
        </w:rPr>
        <w:t>presenta una</w:t>
      </w:r>
      <w:r w:rsidR="00E358D1">
        <w:rPr>
          <w:rFonts w:cs="Arial"/>
          <w:szCs w:val="24"/>
          <w:lang w:val="es-MX"/>
        </w:rPr>
        <w:t xml:space="preserve"> disrupci</w:t>
      </w:r>
      <w:r w:rsidR="00D45645">
        <w:rPr>
          <w:rFonts w:cs="Arial"/>
          <w:szCs w:val="24"/>
          <w:lang w:val="es-MX"/>
        </w:rPr>
        <w:t>ón</w:t>
      </w:r>
      <w:r w:rsidR="00E358D1">
        <w:rPr>
          <w:rFonts w:cs="Arial"/>
          <w:szCs w:val="24"/>
          <w:lang w:val="es-MX"/>
        </w:rPr>
        <w:t>. A su vez la señal activa</w:t>
      </w:r>
      <w:r w:rsidR="00E66EC0">
        <w:rPr>
          <w:rFonts w:cs="Arial"/>
          <w:szCs w:val="24"/>
          <w:lang w:val="es-MX"/>
        </w:rPr>
        <w:t xml:space="preserve"> constitutiva</w:t>
      </w:r>
      <w:r w:rsidR="00E358D1">
        <w:rPr>
          <w:rFonts w:cs="Arial"/>
          <w:szCs w:val="24"/>
          <w:lang w:val="es-MX"/>
        </w:rPr>
        <w:t xml:space="preserve"> de la Gα </w:t>
      </w:r>
      <w:r w:rsidR="00E66EC0">
        <w:rPr>
          <w:rFonts w:cs="Arial"/>
          <w:szCs w:val="24"/>
          <w:lang w:val="es-MX"/>
        </w:rPr>
        <w:t xml:space="preserve">(obtenida por la mutación magB-G42R) </w:t>
      </w:r>
      <w:r w:rsidR="00E358D1">
        <w:rPr>
          <w:rFonts w:cs="Arial"/>
          <w:szCs w:val="24"/>
          <w:lang w:val="es-MX"/>
        </w:rPr>
        <w:t>induc</w:t>
      </w:r>
      <w:r w:rsidR="00E66EC0">
        <w:rPr>
          <w:rFonts w:cs="Arial"/>
          <w:szCs w:val="24"/>
          <w:lang w:val="es-MX"/>
        </w:rPr>
        <w:t xml:space="preserve">e </w:t>
      </w:r>
      <w:r w:rsidR="00D45645">
        <w:rPr>
          <w:rFonts w:cs="Arial"/>
          <w:szCs w:val="24"/>
          <w:lang w:val="es-MX"/>
        </w:rPr>
        <w:t xml:space="preserve">a reducción de la conidiación y a </w:t>
      </w:r>
      <w:r w:rsidR="00E66EC0">
        <w:rPr>
          <w:rFonts w:cs="Arial"/>
          <w:szCs w:val="24"/>
          <w:lang w:val="es-MX"/>
        </w:rPr>
        <w:t xml:space="preserve">procesos de autolisis, que </w:t>
      </w:r>
      <w:r w:rsidR="00D45645">
        <w:rPr>
          <w:rFonts w:cs="Arial"/>
          <w:szCs w:val="24"/>
          <w:lang w:val="es-MX"/>
        </w:rPr>
        <w:t>son inhibidos</w:t>
      </w:r>
      <w:r w:rsidR="00E358D1">
        <w:rPr>
          <w:rFonts w:cs="Arial"/>
          <w:szCs w:val="24"/>
          <w:lang w:val="es-MX"/>
        </w:rPr>
        <w:t xml:space="preserve"> en presencia de 3%NaCl y en medios ricos en nutrientes, así como se reduce el fenotipo algodonoso</w:t>
      </w:r>
      <w:r w:rsidR="00E66EC0">
        <w:rPr>
          <w:rFonts w:cs="Arial"/>
          <w:szCs w:val="24"/>
          <w:lang w:val="es-MX"/>
        </w:rPr>
        <w:t>.</w:t>
      </w:r>
    </w:p>
    <w:p w14:paraId="0CE09B07" w14:textId="77777777" w:rsidR="00E66EC0" w:rsidRDefault="00E66EC0" w:rsidP="002323D7">
      <w:pPr>
        <w:spacing w:after="0" w:line="240" w:lineRule="auto"/>
        <w:rPr>
          <w:rFonts w:cs="Arial"/>
          <w:szCs w:val="24"/>
          <w:lang w:val="es-MX"/>
        </w:rPr>
      </w:pPr>
    </w:p>
    <w:p w14:paraId="6C15AC51" w14:textId="14426735" w:rsidR="00C83256" w:rsidRDefault="00E66EC0" w:rsidP="002323D7">
      <w:pPr>
        <w:spacing w:after="0" w:line="240" w:lineRule="auto"/>
        <w:rPr>
          <w:rFonts w:cs="Arial"/>
          <w:szCs w:val="24"/>
          <w:lang w:val="es-MX"/>
        </w:rPr>
      </w:pPr>
      <w:r>
        <w:rPr>
          <w:rFonts w:cs="Arial"/>
          <w:szCs w:val="24"/>
          <w:lang w:val="es-MX"/>
        </w:rPr>
        <w:t xml:space="preserve">El efecto osmótico del NaCl conduce a la </w:t>
      </w:r>
      <w:r w:rsidR="00D45645">
        <w:rPr>
          <w:rFonts w:cs="Arial"/>
          <w:szCs w:val="24"/>
          <w:lang w:val="es-MX"/>
        </w:rPr>
        <w:t>supres</w:t>
      </w:r>
      <w:r>
        <w:rPr>
          <w:rFonts w:cs="Arial"/>
          <w:szCs w:val="24"/>
          <w:lang w:val="es-MX"/>
        </w:rPr>
        <w:t>ión de la conidiación</w:t>
      </w:r>
      <w:r w:rsidR="00E358D1">
        <w:rPr>
          <w:rFonts w:cs="Arial"/>
          <w:szCs w:val="24"/>
          <w:lang w:val="es-MX"/>
        </w:rPr>
        <w:t xml:space="preserve"> y la</w:t>
      </w:r>
      <w:r w:rsidR="00D45645">
        <w:rPr>
          <w:rFonts w:cs="Arial"/>
          <w:szCs w:val="24"/>
          <w:lang w:val="es-MX"/>
        </w:rPr>
        <w:t xml:space="preserve"> reducción en la</w:t>
      </w:r>
      <w:r w:rsidR="00E358D1">
        <w:rPr>
          <w:rFonts w:cs="Arial"/>
          <w:szCs w:val="24"/>
          <w:lang w:val="es-MX"/>
        </w:rPr>
        <w:t xml:space="preserve"> melanización</w:t>
      </w:r>
      <w:r>
        <w:rPr>
          <w:rFonts w:cs="Arial"/>
          <w:szCs w:val="24"/>
          <w:lang w:val="es-MX"/>
        </w:rPr>
        <w:t xml:space="preserve"> tanto en las cepas silvestres como en aquellas con señal constitutivamente inactiva (magBG203R)</w:t>
      </w:r>
      <w:r w:rsidR="00D45645">
        <w:rPr>
          <w:rFonts w:cs="Arial"/>
          <w:szCs w:val="24"/>
          <w:lang w:val="es-MX"/>
        </w:rPr>
        <w:t xml:space="preserve"> </w:t>
      </w:r>
      <w:r w:rsidR="004C4179">
        <w:rPr>
          <w:rFonts w:cs="Arial"/>
          <w:szCs w:val="24"/>
          <w:lang w:val="es-MX"/>
        </w:rPr>
        <w:t>que,</w:t>
      </w:r>
      <w:r w:rsidR="00D45645">
        <w:rPr>
          <w:rFonts w:cs="Arial"/>
          <w:szCs w:val="24"/>
          <w:lang w:val="es-MX"/>
        </w:rPr>
        <w:t xml:space="preserve"> en condiciones óptimas de cultivo, no afecta la conidiación</w:t>
      </w:r>
      <w:r>
        <w:rPr>
          <w:rFonts w:cs="Arial"/>
          <w:szCs w:val="24"/>
          <w:lang w:val="es-MX"/>
        </w:rPr>
        <w:t>.</w:t>
      </w:r>
      <w:r w:rsidR="00940370">
        <w:rPr>
          <w:rFonts w:cs="Arial"/>
          <w:szCs w:val="24"/>
          <w:lang w:val="es-MX"/>
        </w:rPr>
        <w:t xml:space="preserve"> Lo que indica que la Gα proporciona mayor osmosensibilidad</w:t>
      </w:r>
    </w:p>
    <w:p w14:paraId="2F596DFE" w14:textId="0CC5BAEA" w:rsidR="00E66EC0" w:rsidRDefault="00E66EC0" w:rsidP="002323D7">
      <w:pPr>
        <w:spacing w:after="0" w:line="240" w:lineRule="auto"/>
        <w:rPr>
          <w:rFonts w:cs="Arial"/>
          <w:szCs w:val="24"/>
          <w:lang w:val="es-MX"/>
        </w:rPr>
      </w:pPr>
    </w:p>
    <w:p w14:paraId="18A0647F" w14:textId="77777777" w:rsidR="004C4179" w:rsidRDefault="004C4179" w:rsidP="002323D7">
      <w:pPr>
        <w:spacing w:after="0" w:line="240" w:lineRule="auto"/>
        <w:rPr>
          <w:rFonts w:cs="Arial"/>
          <w:szCs w:val="24"/>
          <w:lang w:val="es-MX"/>
        </w:rPr>
      </w:pPr>
    </w:p>
    <w:p w14:paraId="1007B19C" w14:textId="44D6C5C2" w:rsidR="00E66EC0" w:rsidRDefault="00E66EC0" w:rsidP="002323D7">
      <w:pPr>
        <w:spacing w:after="0" w:line="240" w:lineRule="auto"/>
        <w:rPr>
          <w:rFonts w:cs="Arial"/>
          <w:szCs w:val="24"/>
          <w:lang w:val="es-MX"/>
        </w:rPr>
      </w:pPr>
    </w:p>
    <w:p w14:paraId="6D72C085" w14:textId="77777777" w:rsidR="00E358D1" w:rsidRDefault="00E358D1" w:rsidP="002323D7">
      <w:pPr>
        <w:spacing w:after="0" w:line="240" w:lineRule="auto"/>
        <w:rPr>
          <w:rFonts w:cs="Arial"/>
          <w:szCs w:val="24"/>
          <w:lang w:val="es-MX"/>
        </w:rPr>
      </w:pPr>
    </w:p>
    <w:p w14:paraId="472F2A1C" w14:textId="77777777" w:rsidR="00E358D1" w:rsidRPr="001133CE" w:rsidRDefault="00E358D1" w:rsidP="002323D7">
      <w:pPr>
        <w:spacing w:after="0" w:line="240" w:lineRule="auto"/>
        <w:rPr>
          <w:rFonts w:cs="Arial"/>
          <w:szCs w:val="24"/>
          <w:lang w:val="es-MX"/>
        </w:rPr>
      </w:pPr>
    </w:p>
    <w:p w14:paraId="6ED6EEB1" w14:textId="77777777" w:rsidR="00B54899" w:rsidRPr="001133CE" w:rsidRDefault="00B54899" w:rsidP="002323D7">
      <w:pPr>
        <w:pStyle w:val="Ttulo1"/>
        <w:spacing w:before="0" w:line="360" w:lineRule="auto"/>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588CB492" w14:textId="6BD76C7D" w:rsidR="00B3773C" w:rsidRDefault="003607B4" w:rsidP="002323D7">
      <w:pPr>
        <w:spacing w:after="0" w:line="360" w:lineRule="auto"/>
        <w:rPr>
          <w:rFonts w:cs="Arial"/>
          <w:szCs w:val="24"/>
          <w:lang w:val="es-MX"/>
        </w:rPr>
      </w:pPr>
      <w:r w:rsidRPr="001133CE">
        <w:rPr>
          <w:rFonts w:cs="Arial"/>
          <w:szCs w:val="24"/>
          <w:lang w:val="es-MX"/>
        </w:rPr>
        <w:t xml:space="preserve">Aunque todos los organismos no son </w:t>
      </w:r>
      <w:r w:rsidR="00995C0B">
        <w:rPr>
          <w:rFonts w:cs="Arial"/>
          <w:szCs w:val="24"/>
          <w:lang w:val="es-MX"/>
        </w:rPr>
        <w:t>foto</w:t>
      </w:r>
      <w:r w:rsidR="00995C0B" w:rsidRPr="001133CE">
        <w:rPr>
          <w:rFonts w:cs="Arial"/>
          <w:szCs w:val="24"/>
          <w:lang w:val="es-MX"/>
        </w:rPr>
        <w:t>sintet</w:t>
      </w:r>
      <w:r w:rsidR="00995C0B">
        <w:rPr>
          <w:rFonts w:cs="Arial"/>
          <w:szCs w:val="24"/>
          <w:lang w:val="es-MX"/>
        </w:rPr>
        <w:t>izadores</w:t>
      </w:r>
      <w:r w:rsidRPr="001133CE">
        <w:rPr>
          <w:rFonts w:cs="Arial"/>
          <w:szCs w:val="24"/>
          <w:lang w:val="es-MX"/>
        </w:rPr>
        <w:t>, se estima que la mayoría de ellos presentan alguna forma de responder a distintos tipos de l</w:t>
      </w:r>
      <w:r w:rsidR="00B24486">
        <w:rPr>
          <w:rFonts w:cs="Arial"/>
          <w:szCs w:val="24"/>
          <w:lang w:val="es-MX"/>
        </w:rPr>
        <w:t xml:space="preserve">uz (blanca, roja, azul y verde), empleada por los hongos como informador del estado ambiental, mas no como un recurso energético </w:t>
      </w:r>
      <w:r w:rsidR="00B24486">
        <w:rPr>
          <w:rFonts w:cs="Arial"/>
          <w:szCs w:val="24"/>
          <w:lang w:val="es-MX"/>
        </w:rPr>
        <w:fldChar w:fldCharType="begin" w:fldLock="1"/>
      </w:r>
      <w:r w:rsidR="003808EC">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B24486">
        <w:rPr>
          <w:rFonts w:cs="Arial"/>
          <w:szCs w:val="24"/>
          <w:lang w:val="es-MX"/>
        </w:rPr>
        <w:fldChar w:fldCharType="separate"/>
      </w:r>
      <w:r w:rsidR="00B24486" w:rsidRPr="00B24486">
        <w:rPr>
          <w:rFonts w:cs="Arial"/>
          <w:noProof/>
          <w:szCs w:val="24"/>
          <w:lang w:val="es-MX"/>
        </w:rPr>
        <w:t>[23]</w:t>
      </w:r>
      <w:r w:rsidR="00B24486">
        <w:rPr>
          <w:rFonts w:cs="Arial"/>
          <w:szCs w:val="24"/>
          <w:lang w:val="es-MX"/>
        </w:rPr>
        <w:fldChar w:fldCharType="end"/>
      </w:r>
      <w:r w:rsidR="00B24486">
        <w:rPr>
          <w:rFonts w:cs="Arial"/>
          <w:szCs w:val="24"/>
          <w:lang w:val="es-MX"/>
        </w:rPr>
        <w:t>.</w:t>
      </w:r>
      <w:r w:rsidRPr="001133CE">
        <w:rPr>
          <w:rFonts w:cs="Arial"/>
          <w:szCs w:val="24"/>
          <w:lang w:val="es-MX"/>
        </w:rPr>
        <w:t xml:space="preserve"> </w:t>
      </w:r>
    </w:p>
    <w:p w14:paraId="4FA65858" w14:textId="77777777" w:rsidR="003808EC" w:rsidRDefault="003808EC" w:rsidP="002323D7">
      <w:pPr>
        <w:spacing w:after="0" w:line="360" w:lineRule="auto"/>
        <w:rPr>
          <w:rFonts w:cs="Arial"/>
          <w:szCs w:val="24"/>
          <w:lang w:val="es-MX"/>
        </w:rPr>
      </w:pPr>
    </w:p>
    <w:p w14:paraId="059D3CF1" w14:textId="77777777" w:rsidR="006979FD" w:rsidRDefault="00CF1A5E" w:rsidP="002323D7">
      <w:pPr>
        <w:spacing w:after="0" w:line="360" w:lineRule="auto"/>
        <w:rPr>
          <w:rFonts w:cs="Arial"/>
          <w:szCs w:val="24"/>
          <w:lang w:val="es-MX"/>
        </w:rPr>
      </w:pPr>
      <w:r>
        <w:rPr>
          <w:rFonts w:cs="Arial"/>
          <w:szCs w:val="24"/>
          <w:lang w:val="es-MX"/>
        </w:rPr>
        <w:t>La</w:t>
      </w:r>
      <w:r w:rsidR="00B24486">
        <w:rPr>
          <w:rFonts w:cs="Arial"/>
          <w:szCs w:val="24"/>
          <w:lang w:val="es-MX"/>
        </w:rPr>
        <w:t>s</w:t>
      </w:r>
      <w:r>
        <w:rPr>
          <w:rFonts w:cs="Arial"/>
          <w:szCs w:val="24"/>
          <w:lang w:val="es-MX"/>
        </w:rPr>
        <w:t xml:space="preserve"> longitudes de onda de la luz visible son absorbidas por proteínas fotoreceptoras que siempre contienen una molécula orgánica, el crom</w:t>
      </w:r>
      <w:r w:rsidR="00B24486">
        <w:rPr>
          <w:rFonts w:cs="Arial"/>
          <w:szCs w:val="24"/>
          <w:lang w:val="es-MX"/>
        </w:rPr>
        <w:t>ó</w:t>
      </w:r>
      <w:r>
        <w:rPr>
          <w:rFonts w:cs="Arial"/>
          <w:szCs w:val="24"/>
          <w:lang w:val="es-MX"/>
        </w:rPr>
        <w:t xml:space="preserve">foro, </w:t>
      </w:r>
      <w:r w:rsidR="00B24486">
        <w:rPr>
          <w:rFonts w:cs="Arial"/>
          <w:szCs w:val="24"/>
          <w:lang w:val="es-MX"/>
        </w:rPr>
        <w:t xml:space="preserve">que </w:t>
      </w:r>
      <w:r w:rsidR="003808EC">
        <w:rPr>
          <w:rFonts w:cs="Arial"/>
          <w:szCs w:val="24"/>
          <w:lang w:val="es-MX"/>
        </w:rPr>
        <w:t xml:space="preserve">puede estar unida a proteínas transportadoras de electrones o amplificadoras de las señal lumínica (auxocromos) y a su vez se conectan con una red de señalización molecular intracelular que permite </w:t>
      </w:r>
      <w:r w:rsidR="00B24486">
        <w:rPr>
          <w:rFonts w:cs="Arial"/>
          <w:szCs w:val="24"/>
          <w:lang w:val="es-MX"/>
        </w:rPr>
        <w:t>interpretar cambios en las condiciones de luz y temperatura desencadenando una respuesta adaptativa</w:t>
      </w:r>
      <w:r w:rsidR="003808EC">
        <w:rPr>
          <w:rFonts w:cs="Arial"/>
          <w:szCs w:val="24"/>
          <w:lang w:val="es-MX"/>
        </w:rPr>
        <w:t xml:space="preserve"> </w:t>
      </w:r>
      <w:r w:rsidR="003808EC">
        <w:rPr>
          <w:rFonts w:cs="Arial"/>
          <w:szCs w:val="24"/>
          <w:lang w:val="es-MX"/>
        </w:rPr>
        <w:fldChar w:fldCharType="begin" w:fldLock="1"/>
      </w:r>
      <w:r w:rsidR="00AF0EA8">
        <w:rPr>
          <w:rFonts w:cs="Arial"/>
          <w:szCs w:val="24"/>
          <w:lang w:val="es-MX"/>
        </w:rPr>
        <w:instrText>ADDIN CSL_CITATION {"citationItems":[{"id":"ITEM-1","itemData":{"DOI":"10.1007/s00253-009-2320-1","ISSN":"0175-7598","author":[{"dropping-particle":"","family":"Tisch","given":"Doris","non-dropping-particle":"","parse-names":false,"suffix":""},{"dropping-particle":"","family":"Schmoll","given":"Monika","non-dropping-particle":"","parse-names":false,"suffix":""}],"container-title":"Applied Microbiology and Biotechnology","id":"ITEM-1","issue":"5","issued":{"date-parts":[["2010","2","14"]]},"page":"1259-1277","publisher":"Springer-Verlag","title":"Light regulation of metabolic pathways in fungi","type":"article-journal","volume":"85"},"uris":["http://www.mendeley.com/documents/?uuid=e45acbdc-59a1-3c86-868f-189407de6888"]}],"mendeley":{"formattedCitation":"[52]","plainTextFormattedCitation":"[52]","previouslyFormattedCitation":"[52]"},"properties":{"noteIndex":0},"schema":"https://github.com/citation-style-language/schema/raw/master/csl-citation.json"}</w:instrText>
      </w:r>
      <w:r w:rsidR="003808EC">
        <w:rPr>
          <w:rFonts w:cs="Arial"/>
          <w:szCs w:val="24"/>
          <w:lang w:val="es-MX"/>
        </w:rPr>
        <w:fldChar w:fldCharType="separate"/>
      </w:r>
      <w:r w:rsidR="003808EC" w:rsidRPr="003808EC">
        <w:rPr>
          <w:rFonts w:cs="Arial"/>
          <w:noProof/>
          <w:szCs w:val="24"/>
          <w:lang w:val="es-MX"/>
        </w:rPr>
        <w:t>[52]</w:t>
      </w:r>
      <w:r w:rsidR="003808EC">
        <w:rPr>
          <w:rFonts w:cs="Arial"/>
          <w:szCs w:val="24"/>
          <w:lang w:val="es-MX"/>
        </w:rPr>
        <w:fldChar w:fldCharType="end"/>
      </w:r>
      <w:r w:rsidR="006979FD">
        <w:rPr>
          <w:rFonts w:cs="Arial"/>
          <w:szCs w:val="24"/>
          <w:lang w:val="es-MX"/>
        </w:rPr>
        <w:t xml:space="preserve">.  </w:t>
      </w:r>
    </w:p>
    <w:p w14:paraId="2E78D4D9" w14:textId="77777777" w:rsidR="006979FD" w:rsidRDefault="006979FD" w:rsidP="002323D7">
      <w:pPr>
        <w:spacing w:after="0" w:line="360" w:lineRule="auto"/>
        <w:rPr>
          <w:rFonts w:cs="Arial"/>
          <w:szCs w:val="24"/>
          <w:lang w:val="es-MX"/>
        </w:rPr>
      </w:pPr>
    </w:p>
    <w:p w14:paraId="0292037C" w14:textId="5185F028" w:rsidR="00CF1A5E" w:rsidRDefault="006979FD" w:rsidP="002323D7">
      <w:pPr>
        <w:spacing w:after="0" w:line="360" w:lineRule="auto"/>
        <w:rPr>
          <w:rFonts w:cs="Arial"/>
          <w:szCs w:val="24"/>
          <w:lang w:val="es-MX"/>
        </w:rPr>
      </w:pPr>
      <w:r>
        <w:rPr>
          <w:rFonts w:cs="Arial"/>
          <w:szCs w:val="24"/>
          <w:lang w:val="es-MX"/>
        </w:rPr>
        <w:t>Así como no todos los seres vivos responde a las variaciones de luz, igualmente no todos los hongos reaccionan a los</w:t>
      </w:r>
      <w:r w:rsidR="003808EC">
        <w:rPr>
          <w:rFonts w:cs="Arial"/>
          <w:szCs w:val="24"/>
          <w:lang w:val="es-MX"/>
        </w:rPr>
        <w:t xml:space="preserve"> intervalos de exposición a la luz o </w:t>
      </w:r>
      <w:r w:rsidR="00B24486">
        <w:rPr>
          <w:rFonts w:cs="Arial"/>
          <w:szCs w:val="24"/>
          <w:lang w:val="es-MX"/>
        </w:rPr>
        <w:t>fotoperiodicidad</w:t>
      </w:r>
      <w:r>
        <w:rPr>
          <w:rFonts w:cs="Arial"/>
          <w:szCs w:val="24"/>
          <w:lang w:val="es-MX"/>
        </w:rPr>
        <w:t xml:space="preserve">, en aquellos donde se ha encontrado respuesta, la luz </w:t>
      </w:r>
      <w:r w:rsidR="003808EC">
        <w:rPr>
          <w:rFonts w:cs="Arial"/>
          <w:szCs w:val="24"/>
          <w:lang w:val="es-MX"/>
        </w:rPr>
        <w:t xml:space="preserve">influencia la fisiología del hongo y se relacionan directamente con el reloj circadiano, un sistema que </w:t>
      </w:r>
      <w:r w:rsidR="00AF0EA8">
        <w:rPr>
          <w:rFonts w:cs="Arial"/>
          <w:szCs w:val="24"/>
          <w:lang w:val="es-MX"/>
        </w:rPr>
        <w:t xml:space="preserve">interviene en procesos de formación de metabolitos secundarios, hifas áreas, conidiación, esporulación, como se ha descrito para N crassa A. nidulans, T. ressei </w:t>
      </w:r>
      <w:r w:rsidR="00AF0EA8">
        <w:rPr>
          <w:rFonts w:cs="Arial"/>
          <w:szCs w:val="24"/>
          <w:lang w:val="es-MX"/>
        </w:rPr>
        <w:fldChar w:fldCharType="begin" w:fldLock="1"/>
      </w:r>
      <w:r w:rsidR="00AF0EA8">
        <w:rPr>
          <w:rFonts w:cs="Arial"/>
          <w:szCs w:val="24"/>
          <w:lang w:val="es-MX"/>
        </w:rPr>
        <w:instrText>ADDIN CSL_CITATION {"citationItems":[{"id":"ITEM-1","itemData":{"DOI":"10.1534/genetics.111.130096","ISBN":"1943-2631 (Electronic)\\n0016-6731 (Linking)","ISSN":"00166731","PMID":"21624998","abstract":"Light regulates several aspects of the biology of many organisms, including the balance between asexual and sexual development in some fungi. To understand how light regulates fungal development at the molecular level we have used Aspergillus nidulans as a model. We have performed a genome-wide expression analysis that has allowed us to identify &gt;400 genes upregulated and &gt;100 genes downregulated by light in developmentally competent mycelium. Among the upregulated genes were genes required for the regulation of asexual development, one of the major biological responses to light in A. nidulans, which is a pathway controlled by the master regulatory gene brlA. The expression of brlA, like conidiation, is induced by light. A detailed analysis of brlA light regulation revealed increased expression after short exposures with a maximum after 60 min of light followed by photoadaptation with longer light exposures. In addition to brlA, genes flbA-C and fluG are also light regulated, and flbA-C are required for the correct light-dependent regulation of the upstream regulator fluG. We have found that light induction of brlA required the photoreceptor complex composed of a phytochrome FphA, and the white-collar homologs LreA and LreB, and the fluffy genes flbA-C. We propose that the activation of regulatory genes by light is the key event in the activation of asexual development by light in A. nidulans.","author":[{"dropping-particle":"","family":"Ruger-Herreros","given":"Carmen","non-dropping-particle":"","parse-names":false,"suffix":""},{"dropping-particle":"","family":"Rodríguez-Romero","given":"Julio","non-dropping-particle":"","parse-names":false,"suffix":""},{"dropping-particle":"","family":"Fernández-Barranco","given":"Raul","non-dropping-particle":"","parse-names":false,"suffix":""},{"dropping-particle":"","family":"Olmedo","given":"María","non-dropping-particle":"","parse-names":false,"suffix":""},{"dropping-particle":"","family":"Fischer","given":"Reinhard","non-dropping-particle":"","parse-names":false,"suffix":""},{"dropping-particle":"","family":"Corrochano","given":"Luis M.","non-dropping-particle":"","parse-names":false,"suffix":""},{"dropping-particle":"","family":"Canovas","given":"David","non-dropping-particle":"","parse-names":false,"suffix":""}],"container-title":"Genetics","id":"ITEM-1","issue":"4","issued":{"date-parts":[["2011"]]},"page":"809-822","title":"Regulation of conidiation by light in aspergillus nidulans","type":"article-journal","volume":"188"},"uris":["http://www.mendeley.com/documents/?uuid=495d9b3b-55da-4882-8d85-9ff0a24301f2"]},{"id":"ITEM-2","itemData":{"DOI":"10.1186/1741-7007-7-58","ISBN":"1741-7007 (Electronic)\\r1741-7007 (Linking)","ISSN":"17417007","PMID":"19728862","abstract":"BACKGROUND: The filamentous ascomycete Hypocrea jecorina (anamorph Trichoderma reesei) is primarily known for its efficient enzymatic machinery that it utilizes to decompose cellulosic substrates. Nevertheless, the nature and transmission of the signals initiating and modulating this machinery are largely unknown. Heterotrimeric G-protein signaling represents one of the best studied signal transduction pathways in fungi. RESULTS: Analysis of the regulatory targets of the G-protein alpha subunit GNA1 in H. jecorina revealed a carbon source and light-dependent role in signal transduction. Deletion of gna1 led to significantly decreased biomass formation in darkness in submersed culture but had only minor effects on morphology and hyphal apical extension rates on solid medium. Cellulase gene transcription was abolished in Deltagna1 on cellulose in light and enhanced in darkness. However, analysis of strains expressing a constitutively activated GNA1 revealed that GNA1 does not transmit the essential inducing signal. Instead, it relates a modulating signal with light-dependent significance, since induction still required the presence of an inducer. We show that regulation of transcription and activity of GNA1 involves a carbon source-dependent feedback cycle. Additionally we found a function of GNA1 in hydrophobin regulation as well as effects on conidiation and tolerance of osmotic and oxidative stress. CONCLUSION: We conclude that GNA1 transmits a signal the physiological relevance of which is dependent on both the carbon source as well as the light status. The widespread consequences of mutations in GNA1 indicate a broad function of this Galpha subunit in appropriation of intracellular resources to environmental (especially nutritional) conditions.","author":[{"dropping-particle":"","family":"Seibel","given":"Christian","non-dropping-particle":"","parse-names":false,"suffix":""},{"dropping-particle":"","family":"Gremel","given":"Gabriela","non-dropping-particle":"","parse-names":false,"suffix":""},{"dropping-particle":"","family":"Nascimento Silva","given":"Roberto","non-dropping-particle":"do","parse-names":false,"suffix":""},{"dropping-particle":"","family":"Schuster","given":"Andr??","non-dropping-particle":"","parse-names":false,"suffix":""},{"dropping-particle":"","family":"Kubicek","given":"Christian P.","non-dropping-particle":"","parse-names":false,"suffix":""},{"dropping-particle":"","family":"Schmoll","given":"Monika","non-dropping-particle":"","parse-names":false,"suffix":""}],"container-title":"BMC Biology","id":"ITEM-2","issued":{"date-parts":[["2009"]]},"page":"58","title":"Light-dependent roles of the G-protein ?? subunit GNA1 of Hypocrea jecorina (anamorph Trichoderma reesei)","type":"article-journal","volume":"7"},"uris":["http://www.mendeley.com/documents/?uuid=c960c8b3-d775-4a61-8f68-870d28ebc9be"]},{"id":"ITEM-3","itemData":{"DOI":"10.1016/j.cell.2012.08.011","ISSN":"00928674","PMID":"22939629","abstract":"Cellular processes often depend on stable physical associations between proteins. Despite recent progress, knowledge of the composition of human protein complexes remains limited. To close this gap, we applied an integrative global proteomic profiling approach, based on chromatographic separation of cultured human cell extracts into more than one thousand biochemical fractions that were subsequently analyzed by quantitative tandem mass spectrometry, to systematically identify a network of 13,993 high-confidence physical interactions among 3,006 stably associated soluble human proteins. Most of the 622 putative protein complexes we report are linked to core biological processes and encompass both candidate disease genes and unannotated proteins to inform on mechanism. Strikingly, whereas larger multiprotein assemblies tend to be more extensively annotated and evolutionarily conserved, human protein complexes with five or fewer subunits are far more likely to be functionally unannotated or restricted to vertebrates, suggesting more recent functional innovations.","author":[{"dropping-particle":"","family":"Havugimana","given":"Pierre C.","non-dropping-particle":"","parse-names":false,"suffix":""},{"dropping-particle":"","family":"Hart","given":"G. Traver","non-dropping-particle":"","parse-names":false,"suffix":""},{"dropping-particle":"","family":"Nepusz","given":"Tamás","non-dropping-particle":"","parse-names":false,"suffix":""},{"dropping-particle":"","family":"Yang","given":"Haixuan","non-dropping-particle":"","parse-names":false,"suffix":""},{"dropping-particle":"","family":"Turinsky","given":"Andrei L.","non-dropping-particle":"","parse-names":false,"suffix":""},{"dropping-particle":"","family":"Li","given":"Zhihua","non-dropping-particle":"","parse-names":false,"suffix":""},{"dropping-particle":"","family":"Wang","given":"Peggy I.","non-dropping-particle":"","parse-names":false,"suffix":""},{"dropping-particle":"","family":"Boutz","given":"Daniel R.","non-dropping-particle":"","parse-names":false,"suffix":""},{"dropping-particle":"","family":"Fong","given":"Vincent","non-dropping-particle":"","parse-names":false,"suffix":""},{"dropping-particle":"","family":"Phanse","given":"Sadhna","non-dropping-particle":"","parse-names":false,"suffix":""},{"dropping-particle":"","family":"Babu","given":"Mohan","non-dropping-particle":"","parse-names":false,"suffix":""},{"dropping-particle":"","family":"Craig","given":"Stephanie A.","non-dropping-particle":"","parse-names":false,"suffix":""},{"dropping-particle":"","family":"Hu","given":"Pingzhao","non-dropping-particle":"","parse-names":false,"suffix":""},{"dropping-particle":"","family":"Wan","given":"Cuihong","non-dropping-particle":"","parse-names":false,"suffix":""},{"dropping-particle":"","family":"Vlasblom","given":"James","non-dropping-particle":"","parse-names":false,"suffix":""},{"dropping-particle":"","family":"Dar","given":"Vaqaar-un-Nisa","non-dropping-particle":"","parse-names":false,"suffix":""},{"dropping-particle":"","family":"Bezginov","given":"Alexandr","non-dropping-particle":"","parse-names":false,"suffix":""},{"dropping-particle":"","family":"Clark","given":"Gregory W.","non-dropping-particle":"","parse-names":false,"suffix":""},{"dropping-particle":"","family":"Wu","given":"Gabriel C.","non-dropping-particle":"","parse-names":false,"suffix":""},{"dropping-particle":"","family":"Wodak","given":"Shoshana J.","non-dropping-particle":"","parse-names":false,"suffix":""},{"dropping-particle":"","family":"Tillier","given":"Elisabeth R.M.","non-dropping-particle":"","parse-names":false,"suffix":""},{"dropping-particle":"","family":"Paccanaro","given":"Alberto","non-dropping-particle":"","parse-names":false,"suffix":""},{"dropping-particle":"","family":"Marcotte","given":"Edward M.","non-dropping-particle":"","parse-names":false,"suffix":""},{"dropping-particle":"","family":"Emili","given":"Andrew","non-dropping-particle":"","parse-names":false,"suffix":""}],"container-title":"Cell","id":"ITEM-3","issue":"5","issued":{"date-parts":[["2012","8","31"]]},"page":"1068-1081","title":"A Census of Human Soluble Protein Complexes","type":"article-journal","volume":"150"},"uris":["http://www.mendeley.com/documents/?uuid=b028802f-474d-36de-8abc-2150de693fe9"]}],"mendeley":{"formattedCitation":"[47], [53], [54]","manualFormatting":"[47], [53], ","plainTextFormattedCitation":"[47], [53], [54]","previouslyFormattedCitation":"[47], [53], [54]"},"properties":{"noteIndex":0},"schema":"https://github.com/citation-style-language/schema/raw/master/csl-citation.json"}</w:instrText>
      </w:r>
      <w:r w:rsidR="00AF0EA8">
        <w:rPr>
          <w:rFonts w:cs="Arial"/>
          <w:szCs w:val="24"/>
          <w:lang w:val="es-MX"/>
        </w:rPr>
        <w:fldChar w:fldCharType="separate"/>
      </w:r>
      <w:r w:rsidR="00AF0EA8" w:rsidRPr="00AF0EA8">
        <w:rPr>
          <w:rFonts w:cs="Arial"/>
          <w:noProof/>
          <w:szCs w:val="24"/>
          <w:lang w:val="es-MX"/>
        </w:rPr>
        <w:t xml:space="preserve">[47], [53], </w:t>
      </w:r>
      <w:r w:rsidR="00AF0EA8">
        <w:rPr>
          <w:rFonts w:cs="Arial"/>
          <w:szCs w:val="24"/>
          <w:lang w:val="es-MX"/>
        </w:rPr>
        <w:fldChar w:fldCharType="end"/>
      </w:r>
      <w:r w:rsidR="00182C49">
        <w:rPr>
          <w:rFonts w:cs="Arial"/>
          <w:szCs w:val="24"/>
          <w:lang w:val="es-MX"/>
        </w:rPr>
        <w:fldChar w:fldCharType="begin" w:fldLock="1"/>
      </w:r>
      <w:r>
        <w:rPr>
          <w:rFonts w:cs="Arial"/>
          <w:szCs w:val="24"/>
          <w:lang w:val="es-MX"/>
        </w:rPr>
        <w:instrText>ADDIN CSL_CITATION {"citationItems":[{"id":"ITEM-1","itemData":{"DOI":"10.1074/jbc.M805506200","ISSN":"0021-9258","PMID":"18931394","abstract":"The red light-sensing photoreceptor FphA from Aspergillus nidulans is involved in the regulation of developmental processes in response to light. Here we present extended biochemical and spectroscopic characterization of recombinant FphA using a synthetic gene with host-adapted codon usage. The recombinant photosensory domain FphAN753 was shown to display all features of a bona fide phytochrome. It covalently binds biliverdin as chromophore and undergoes red/far-red light-inducible photoconversion with both parent states being protonated. The large N-terminal variable extension of FphA exerts a stabilizing effect on the active Pfr state. Upon substitution of the highly conserved histidine 504, involved in the hydrogen-bonding network of the protein moiety and the chromophore, chromophore attachment and photoreversibility were completely impaired. FphA is a functional sensor histidine kinase with a strong red-light-dependent autophosphorylation activity. Furthermore, intermolecular trans-phosphorylation to the response regulator domain of a second monomer could be demonstrated. Interestingly, co-incubation of FphA and FphA variants led to enhanced autophosphorylation, including the \"inactive\" Pr form. The latter observed phenomenon might suggest that auto- and trans-phosphorylation activity is modulated by additional interaction partners leading to variable phosphorylation events that trigger a specific output response.","author":[{"dropping-particle":"","family":"Brandt","given":"Sonja","non-dropping-particle":"","parse-names":false,"suffix":""},{"dropping-particle":"","family":"Stetten","given":"David","non-dropping-particle":"von","parse-names":false,"suffix":""},{"dropping-particle":"","family":"Günther","given":"Mina","non-dropping-particle":"","parse-names":false,"suffix":""},{"dropping-particle":"","family":"Hildebrandt","given":"Peter","non-dropping-particle":"","parse-names":false,"suffix":""},{"dropping-particle":"","family":"Frankenberg-Dinkel","given":"Nicole","non-dropping-particle":"","parse-names":false,"suffix":""}],"container-title":"The Journal of biological chemistry","id":"ITEM-1","issue":"50","issued":{"date-parts":[["2008","12","12"]]},"page":"34605-14","publisher":"American Society for Biochemistry and Molecular Biology","title":"The fungal phytochrome FphA from Aspergillus nidulans.","type":"article-journal","volume":"283"},"uris":["http://www.mendeley.com/documents/?uuid=de888687-c876-3a9a-8b40-15a1b029ca05"]}],"mendeley":{"formattedCitation":"[55]","plainTextFormattedCitation":"[55]","previouslyFormattedCitation":"[55]"},"properties":{"noteIndex":0},"schema":"https://github.com/citation-style-language/schema/raw/master/csl-citation.json"}</w:instrText>
      </w:r>
      <w:r w:rsidR="00182C49">
        <w:rPr>
          <w:rFonts w:cs="Arial"/>
          <w:szCs w:val="24"/>
          <w:lang w:val="es-MX"/>
        </w:rPr>
        <w:fldChar w:fldCharType="separate"/>
      </w:r>
      <w:r w:rsidR="00182C49" w:rsidRPr="00182C49">
        <w:rPr>
          <w:rFonts w:cs="Arial"/>
          <w:noProof/>
          <w:szCs w:val="24"/>
          <w:lang w:val="es-MX"/>
        </w:rPr>
        <w:t>[55]</w:t>
      </w:r>
      <w:r w:rsidR="00182C49">
        <w:rPr>
          <w:rFonts w:cs="Arial"/>
          <w:szCs w:val="24"/>
          <w:lang w:val="es-MX"/>
        </w:rPr>
        <w:fldChar w:fldCharType="end"/>
      </w:r>
      <w:r w:rsidR="00AF0EA8">
        <w:rPr>
          <w:rFonts w:cs="Arial"/>
          <w:szCs w:val="24"/>
          <w:lang w:val="es-MX"/>
        </w:rPr>
        <w:t>.  El sistema circadiano puede ser alterado</w:t>
      </w:r>
      <w:r w:rsidR="003808EC">
        <w:rPr>
          <w:rFonts w:cs="Arial"/>
          <w:szCs w:val="24"/>
          <w:lang w:val="es-MX"/>
        </w:rPr>
        <w:t xml:space="preserve"> por pulsos </w:t>
      </w:r>
      <w:r w:rsidR="00AF0EA8">
        <w:rPr>
          <w:rFonts w:cs="Arial"/>
          <w:szCs w:val="24"/>
          <w:lang w:val="es-MX"/>
        </w:rPr>
        <w:t>de luz, llegando incluso a reiniciar</w:t>
      </w:r>
      <w:r w:rsidR="003808EC">
        <w:rPr>
          <w:rFonts w:cs="Arial"/>
          <w:szCs w:val="24"/>
          <w:lang w:val="es-MX"/>
        </w:rPr>
        <w:t xml:space="preserve"> el reloj biológico</w:t>
      </w:r>
      <w:r w:rsidR="00AF0EA8">
        <w:rPr>
          <w:rFonts w:cs="Arial"/>
          <w:szCs w:val="24"/>
          <w:lang w:val="es-MX"/>
        </w:rPr>
        <w:t xml:space="preserve"> </w:t>
      </w:r>
      <w:r w:rsidR="00AF0EA8">
        <w:rPr>
          <w:rFonts w:cs="Arial"/>
          <w:szCs w:val="24"/>
          <w:lang w:val="es-MX"/>
        </w:rPr>
        <w:fldChar w:fldCharType="begin" w:fldLock="1"/>
      </w:r>
      <w:r w:rsidR="00AF0EA8">
        <w:rPr>
          <w:rFonts w:cs="Arial"/>
          <w:szCs w:val="24"/>
          <w:lang w:val="es-MX"/>
        </w:rPr>
        <w:instrText>ADDIN CSL_CITATION {"citationItems":[{"id":"ITEM-1","itemData":{"DOI":"10.1007/s00253-009-2320-1","ISSN":"0175-7598","author":[{"dropping-particle":"","family":"Tisch","given":"Doris","non-dropping-particle":"","parse-names":false,"suffix":""},{"dropping-particle":"","family":"Schmoll","given":"Monika","non-dropping-particle":"","parse-names":false,"suffix":""}],"container-title":"Applied Microbiology and Biotechnology","id":"ITEM-1","issue":"5","issued":{"date-parts":[["2010","2","14"]]},"page":"1259-1277","publisher":"Springer-Verlag","title":"Light regulation of metabolic pathways in fungi","type":"article-journal","volume":"85"},"uris":["http://www.mendeley.com/documents/?uuid=e45acbdc-59a1-3c86-868f-189407de6888"]}],"mendeley":{"formattedCitation":"[52]","plainTextFormattedCitation":"[52]","previouslyFormattedCitation":"[52]"},"properties":{"noteIndex":0},"schema":"https://github.com/citation-style-language/schema/raw/master/csl-citation.json"}</w:instrText>
      </w:r>
      <w:r w:rsidR="00AF0EA8">
        <w:rPr>
          <w:rFonts w:cs="Arial"/>
          <w:szCs w:val="24"/>
          <w:lang w:val="es-MX"/>
        </w:rPr>
        <w:fldChar w:fldCharType="separate"/>
      </w:r>
      <w:r w:rsidR="00AF0EA8" w:rsidRPr="00AF0EA8">
        <w:rPr>
          <w:rFonts w:cs="Arial"/>
          <w:noProof/>
          <w:szCs w:val="24"/>
          <w:lang w:val="es-MX"/>
        </w:rPr>
        <w:t>[52]</w:t>
      </w:r>
      <w:r w:rsidR="00AF0EA8">
        <w:rPr>
          <w:rFonts w:cs="Arial"/>
          <w:szCs w:val="24"/>
          <w:lang w:val="es-MX"/>
        </w:rPr>
        <w:fldChar w:fldCharType="end"/>
      </w:r>
      <w:r w:rsidR="00AF0EA8">
        <w:rPr>
          <w:rFonts w:cs="Arial"/>
          <w:szCs w:val="24"/>
          <w:lang w:val="es-MX"/>
        </w:rPr>
        <w:t xml:space="preserve"> afectando las respuestas metabólicas y fisiológicas.</w:t>
      </w:r>
    </w:p>
    <w:p w14:paraId="57B79BFB" w14:textId="6800A36D" w:rsidR="00AF0EA8" w:rsidRDefault="00AF0EA8" w:rsidP="002323D7">
      <w:pPr>
        <w:spacing w:after="0" w:line="360" w:lineRule="auto"/>
        <w:rPr>
          <w:rFonts w:cs="Arial"/>
          <w:szCs w:val="24"/>
          <w:lang w:val="es-MX"/>
        </w:rPr>
      </w:pPr>
    </w:p>
    <w:p w14:paraId="7B8A7D23" w14:textId="196C1B63" w:rsidR="00AF0EA8" w:rsidRDefault="00AF0EA8" w:rsidP="006979FD">
      <w:pPr>
        <w:spacing w:after="0" w:line="360" w:lineRule="auto"/>
        <w:rPr>
          <w:rFonts w:cs="Arial"/>
          <w:szCs w:val="24"/>
          <w:lang w:val="es-MX"/>
        </w:rPr>
      </w:pPr>
      <w:r w:rsidRPr="001133CE">
        <w:rPr>
          <w:rFonts w:cs="Arial"/>
          <w:szCs w:val="24"/>
          <w:lang w:val="es-MX"/>
        </w:rPr>
        <w:t>El estrés lumínico hace referencia al efecto causado por una exposición inusual o excesiva a la luz, la cual puede causar elevadas temperaturas, desecación y estrés osmótico</w:t>
      </w:r>
      <w:r w:rsidR="006979FD">
        <w:rPr>
          <w:rFonts w:cs="Arial"/>
          <w:szCs w:val="24"/>
          <w:lang w:val="es-MX"/>
        </w:rPr>
        <w:t>; e</w:t>
      </w:r>
      <w:r w:rsidRPr="001133CE">
        <w:rPr>
          <w:rFonts w:cs="Arial"/>
          <w:szCs w:val="24"/>
          <w:lang w:val="es-MX"/>
        </w:rPr>
        <w:t>stos cambios, al igual que otros tipos de estrés, ocasionan que los organismos interpreten su entorno, se adapten y aseguren su s</w:t>
      </w:r>
      <w:r w:rsidR="006979FD">
        <w:rPr>
          <w:rFonts w:cs="Arial"/>
          <w:szCs w:val="24"/>
          <w:lang w:val="es-MX"/>
        </w:rPr>
        <w:t>upervivencia y su reproducción, pocos</w:t>
      </w:r>
      <w:r w:rsidRPr="001133CE">
        <w:rPr>
          <w:rFonts w:cs="Arial"/>
          <w:szCs w:val="24"/>
          <w:lang w:val="es-MX"/>
        </w:rPr>
        <w:t xml:space="preserve"> estudios </w:t>
      </w:r>
      <w:r w:rsidR="006979FD">
        <w:rPr>
          <w:rFonts w:cs="Arial"/>
          <w:szCs w:val="24"/>
          <w:lang w:val="es-MX"/>
        </w:rPr>
        <w:t>han analizado la</w:t>
      </w:r>
      <w:r w:rsidRPr="001133CE">
        <w:rPr>
          <w:rFonts w:cs="Arial"/>
          <w:szCs w:val="24"/>
          <w:lang w:val="es-MX"/>
        </w:rPr>
        <w:t xml:space="preserve"> relación de las proteínas G y </w:t>
      </w:r>
      <w:r w:rsidR="006979FD">
        <w:rPr>
          <w:rFonts w:cs="Arial"/>
          <w:szCs w:val="24"/>
          <w:lang w:val="es-MX"/>
        </w:rPr>
        <w:t xml:space="preserve">la respuesta al estrés lumínico, y algunos resultados no permiten establecer un patrón en el papel de la Gα </w:t>
      </w:r>
      <w:r w:rsidR="00B30FAB">
        <w:rPr>
          <w:rFonts w:cs="Arial"/>
          <w:szCs w:val="24"/>
          <w:lang w:val="es-MX"/>
        </w:rPr>
        <w:t>en respuesta a la luz.</w:t>
      </w:r>
    </w:p>
    <w:p w14:paraId="63636AA5" w14:textId="77777777" w:rsidR="00B30FAB" w:rsidRDefault="00B30FAB" w:rsidP="006979FD">
      <w:pPr>
        <w:spacing w:after="0" w:line="360" w:lineRule="auto"/>
        <w:rPr>
          <w:rFonts w:cs="Arial"/>
          <w:szCs w:val="24"/>
          <w:lang w:val="es-MX"/>
        </w:rPr>
      </w:pPr>
    </w:p>
    <w:p w14:paraId="4F886E41" w14:textId="72D64BFD" w:rsidR="006979FD" w:rsidRDefault="00B30FAB" w:rsidP="00B30FAB">
      <w:pPr>
        <w:spacing w:after="0" w:line="360" w:lineRule="auto"/>
        <w:rPr>
          <w:rFonts w:cs="Arial"/>
          <w:szCs w:val="24"/>
          <w:lang w:val="es-MX"/>
        </w:rPr>
      </w:pPr>
      <w:r>
        <w:rPr>
          <w:rFonts w:cs="Arial"/>
          <w:szCs w:val="24"/>
          <w:lang w:val="es-MX"/>
        </w:rPr>
        <w:t xml:space="preserve">En el caso de </w:t>
      </w:r>
      <w:r w:rsidR="00182C49">
        <w:rPr>
          <w:rFonts w:cs="Arial"/>
          <w:szCs w:val="24"/>
          <w:lang w:val="es-MX"/>
        </w:rPr>
        <w:t>H</w:t>
      </w:r>
      <w:r>
        <w:rPr>
          <w:rFonts w:cs="Arial"/>
          <w:szCs w:val="24"/>
          <w:lang w:val="es-MX"/>
        </w:rPr>
        <w:t>.</w:t>
      </w:r>
      <w:r w:rsidR="00182C49">
        <w:rPr>
          <w:rFonts w:cs="Arial"/>
          <w:szCs w:val="24"/>
          <w:lang w:val="es-MX"/>
        </w:rPr>
        <w:t xml:space="preserve"> jecorina se encontró que Gα transmite una señal esencial para la transcripción de los genes de celulasa en presencia de luz, mientras que en total oscuridad no interviene en la expresión de estos genes, bajo condiciones de estrés osmótico la luz favorece el crecimiento vegetativo, mientras que bajo estrés </w:t>
      </w:r>
      <w:bookmarkStart w:id="0" w:name="_GoBack"/>
      <w:bookmarkEnd w:id="0"/>
      <w:r w:rsidR="00182C49">
        <w:rPr>
          <w:rFonts w:cs="Arial"/>
          <w:szCs w:val="24"/>
          <w:lang w:val="es-MX"/>
        </w:rPr>
        <w:t xml:space="preserve">oxidativo, Gα proporciona </w:t>
      </w:r>
      <w:r w:rsidR="006979FD">
        <w:rPr>
          <w:rFonts w:cs="Arial"/>
          <w:szCs w:val="24"/>
          <w:lang w:val="es-MX"/>
        </w:rPr>
        <w:t>menor resistencia, observándose un decrecimiento en el diámetro de las colonias respecto a la cepa silvestre, la cual ve ligeramente favorecido su crecimiento en presencia de Luz en condiciones no estresantes</w:t>
      </w:r>
      <w:r w:rsidR="006979FD">
        <w:rPr>
          <w:rFonts w:cs="Arial"/>
          <w:szCs w:val="24"/>
          <w:lang w:val="es-MX"/>
        </w:rPr>
        <w:fldChar w:fldCharType="begin" w:fldLock="1"/>
      </w:r>
      <w:r w:rsidR="006979FD">
        <w:rPr>
          <w:rFonts w:cs="Arial"/>
          <w:szCs w:val="24"/>
          <w:lang w:val="es-MX"/>
        </w:rPr>
        <w:instrText>ADDIN CSL_CITATION {"citationItems":[{"id":"ITEM-1","itemData":{"DOI":"10.1186/1741-7007-7-58","ISBN":"1741-7007 (Electronic)\\r1741-7007 (Linking)","ISSN":"17417007","PMID":"19728862","abstract":"BACKGROUND: The filamentous ascomycete Hypocrea jecorina (anamorph Trichoderma reesei) is primarily known for its efficient enzymatic machinery that it utilizes to decompose cellulosic substrates. Nevertheless, the nature and transmission of the signals initiating and modulating this machinery are largely unknown. Heterotrimeric G-protein signaling represents one of the best studied signal transduction pathways in fungi. RESULTS: Analysis of the regulatory targets of the G-protein alpha subunit GNA1 in H. jecorina revealed a carbon source and light-dependent role in signal transduction. Deletion of gna1 led to significantly decreased biomass formation in darkness in submersed culture but had only minor effects on morphology and hyphal apical extension rates on solid medium. Cellulase gene transcription was abolished in Deltagna1 on cellulose in light and enhanced in darkness. However, analysis of strains expressing a constitutively activated GNA1 revealed that GNA1 does not transmit the essential inducing signal. Instead, it relates a modulating signal with light-dependent significance, since induction still required the presence of an inducer. We show that regulation of transcription and activity of GNA1 involves a carbon source-dependent feedback cycle. Additionally we found a function of GNA1 in hydrophobin regulation as well as effects on conidiation and tolerance of osmotic and oxidative stress. CONCLUSION: We conclude that GNA1 transmits a signal the physiological relevance of which is dependent on both the carbon source as well as the light status. The widespread consequences of mutations in GNA1 indicate a broad function of this Galpha subunit in appropriation of intracellular resources to environmental (especially nutritional) conditions.","author":[{"dropping-particle":"","family":"Seibel","given":"Christian","non-dropping-particle":"","parse-names":false,"suffix":""},{"dropping-particle":"","family":"Gremel","given":"Gabriela","non-dropping-particle":"","parse-names":false,"suffix":""},{"dropping-particle":"","family":"Nascimento Silva","given":"Roberto","non-dropping-particle":"do","parse-names":false,"suffix":""},{"dropping-particle":"","family":"Schuster","given":"Andr??","non-dropping-particle":"","parse-names":false,"suffix":""},{"dropping-particle":"","family":"Kubicek","given":"Christian P.","non-dropping-particle":"","parse-names":false,"suffix":""},{"dropping-particle":"","family":"Schmoll","given":"Monika","non-dropping-particle":"","parse-names":false,"suffix":""}],"container-title":"BMC Biology","id":"ITEM-1","issued":{"date-parts":[["2009"]]},"page":"58","title":"Light-dependent roles of the G-protein ?? subunit GNA1 of Hypocrea jecorina (anamorph Trichoderma reesei)","type":"article-journal","volume":"7"},"uris":["http://www.mendeley.com/documents/?uuid=c960c8b3-d775-4a61-8f68-870d28ebc9be"]}],"mendeley":{"formattedCitation":"[47]","plainTextFormattedCitation":"[47]"},"properties":{"noteIndex":0},"schema":"https://github.com/citation-style-language/schema/raw/master/csl-citation.json"}</w:instrText>
      </w:r>
      <w:r w:rsidR="006979FD">
        <w:rPr>
          <w:rFonts w:cs="Arial"/>
          <w:szCs w:val="24"/>
          <w:lang w:val="es-MX"/>
        </w:rPr>
        <w:fldChar w:fldCharType="separate"/>
      </w:r>
      <w:r w:rsidR="006979FD" w:rsidRPr="006979FD">
        <w:rPr>
          <w:rFonts w:cs="Arial"/>
          <w:noProof/>
          <w:szCs w:val="24"/>
          <w:lang w:val="es-MX"/>
        </w:rPr>
        <w:t>[47]</w:t>
      </w:r>
      <w:r w:rsidR="006979FD">
        <w:rPr>
          <w:rFonts w:cs="Arial"/>
          <w:szCs w:val="24"/>
          <w:lang w:val="es-MX"/>
        </w:rPr>
        <w:fldChar w:fldCharType="end"/>
      </w:r>
      <w:r w:rsidR="006979FD">
        <w:rPr>
          <w:rFonts w:cs="Arial"/>
          <w:szCs w:val="24"/>
          <w:lang w:val="es-MX"/>
        </w:rPr>
        <w:t>.</w:t>
      </w:r>
    </w:p>
    <w:p w14:paraId="5C56494D" w14:textId="77777777" w:rsidR="006979FD" w:rsidRDefault="006979FD" w:rsidP="00182C49">
      <w:pPr>
        <w:tabs>
          <w:tab w:val="left" w:pos="6136"/>
        </w:tabs>
        <w:spacing w:after="0" w:line="360" w:lineRule="auto"/>
        <w:rPr>
          <w:rFonts w:cs="Arial"/>
          <w:szCs w:val="24"/>
          <w:lang w:val="es-MX"/>
        </w:rPr>
      </w:pPr>
    </w:p>
    <w:p w14:paraId="5932E008" w14:textId="76344D5A" w:rsidR="00182C49" w:rsidRDefault="00182C49" w:rsidP="00182C49">
      <w:pPr>
        <w:tabs>
          <w:tab w:val="left" w:pos="6136"/>
        </w:tabs>
        <w:spacing w:after="0" w:line="360" w:lineRule="auto"/>
        <w:rPr>
          <w:rFonts w:cs="Arial"/>
          <w:szCs w:val="24"/>
          <w:lang w:val="es-MX"/>
        </w:rPr>
      </w:pPr>
      <w:r>
        <w:rPr>
          <w:rFonts w:cs="Arial"/>
          <w:szCs w:val="24"/>
          <w:lang w:val="es-MX"/>
        </w:rPr>
        <w:t xml:space="preserve"> </w:t>
      </w:r>
    </w:p>
    <w:p w14:paraId="468FEB45" w14:textId="3C425A3D" w:rsidR="00F6028E" w:rsidRPr="001133CE" w:rsidRDefault="00F6028E" w:rsidP="002323D7">
      <w:pPr>
        <w:spacing w:after="0" w:line="360" w:lineRule="auto"/>
        <w:rPr>
          <w:rFonts w:cs="Arial"/>
          <w:szCs w:val="24"/>
          <w:lang w:val="es-MX"/>
        </w:rPr>
      </w:pPr>
      <w:r w:rsidRPr="001133CE">
        <w:rPr>
          <w:rFonts w:cs="Arial"/>
          <w:szCs w:val="24"/>
          <w:lang w:val="es-MX"/>
        </w:rPr>
        <w:t xml:space="preserve">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2323D7">
      <w:pPr>
        <w:spacing w:after="0" w:line="360" w:lineRule="auto"/>
        <w:rPr>
          <w:rFonts w:cs="Arial"/>
          <w:szCs w:val="24"/>
          <w:lang w:val="es-MX"/>
        </w:rPr>
      </w:pPr>
    </w:p>
    <w:p w14:paraId="604BC82D" w14:textId="523D3203" w:rsidR="00F6028E" w:rsidRPr="001133CE" w:rsidRDefault="000A1A66" w:rsidP="002323D7">
      <w:pPr>
        <w:spacing w:after="0" w:line="360" w:lineRule="auto"/>
        <w:rPr>
          <w:rFonts w:cs="Arial"/>
          <w:szCs w:val="24"/>
          <w:lang w:val="es-MX"/>
        </w:rPr>
      </w:pPr>
      <w:r w:rsidRPr="001133CE">
        <w:rPr>
          <w:rFonts w:cs="Arial"/>
          <w:szCs w:val="24"/>
          <w:lang w:val="es-MX"/>
        </w:rPr>
        <w:t>El</w:t>
      </w:r>
      <w:r w:rsidR="00995C0B">
        <w:rPr>
          <w:rFonts w:cs="Arial"/>
          <w:szCs w:val="24"/>
          <w:lang w:val="es-MX"/>
        </w:rPr>
        <w:t xml:space="preserve"> </w:t>
      </w:r>
      <w:r w:rsidRPr="001133CE">
        <w:rPr>
          <w:rFonts w:cs="Arial"/>
          <w:szCs w:val="24"/>
          <w:lang w:val="es-MX"/>
        </w:rPr>
        <w:t>gen pks-1 codifican</w:t>
      </w:r>
      <w:r w:rsidR="00995C0B">
        <w:rPr>
          <w:rFonts w:cs="Arial"/>
          <w:szCs w:val="24"/>
          <w:lang w:val="es-MX"/>
        </w:rPr>
        <w:t>t</w:t>
      </w:r>
      <w:r w:rsidRPr="001133CE">
        <w:rPr>
          <w:rFonts w:cs="Arial"/>
          <w:szCs w:val="24"/>
          <w:lang w:val="es-MX"/>
        </w:rPr>
        <w:t>e de la poliquetido sintasa, es esencial en la biosíntesis de 1,8 di</w:t>
      </w:r>
      <w:r w:rsidR="00995C0B">
        <w:rPr>
          <w:rFonts w:cs="Arial"/>
          <w:szCs w:val="24"/>
          <w:lang w:val="es-MX"/>
        </w:rPr>
        <w:t>hid</w:t>
      </w:r>
      <w:r w:rsidR="00893F73">
        <w:rPr>
          <w:rFonts w:cs="Arial"/>
          <w:szCs w:val="24"/>
          <w:lang w:val="es-MX"/>
        </w:rPr>
        <w:t>roxinaftaleno o melanina en Cha</w:t>
      </w:r>
      <w:r w:rsidR="00995C0B">
        <w:rPr>
          <w:rFonts w:cs="Arial"/>
          <w:szCs w:val="24"/>
          <w:lang w:val="es-MX"/>
        </w:rPr>
        <w:t>e</w:t>
      </w:r>
      <w:r w:rsidR="00893F73">
        <w:rPr>
          <w:rFonts w:cs="Arial"/>
          <w:szCs w:val="24"/>
          <w:lang w:val="es-MX"/>
        </w:rPr>
        <w:t>tom</w:t>
      </w:r>
      <w:r w:rsidR="00995C0B">
        <w:rPr>
          <w:rFonts w:cs="Arial"/>
          <w:szCs w:val="24"/>
          <w:lang w:val="es-MX"/>
        </w:rPr>
        <w:t>ium</w:t>
      </w:r>
      <w:r w:rsidRPr="001133CE">
        <w:rPr>
          <w:rFonts w:cs="Arial"/>
          <w:szCs w:val="24"/>
          <w:lang w:val="es-MX"/>
        </w:rPr>
        <w:t xml:space="preserve"> globosum cuando el gna-1 de la proteína Gα del subgrupo 1 es interrumpido, disminuye la acción de pks-1 afectand</w:t>
      </w:r>
      <w:r w:rsidR="00893F73">
        <w:rPr>
          <w:rFonts w:cs="Arial"/>
          <w:szCs w:val="24"/>
          <w:lang w:val="es-MX"/>
        </w:rPr>
        <w:t>o la producción de melanina, así</w:t>
      </w:r>
      <w:r w:rsidRPr="001133CE">
        <w:rPr>
          <w:rFonts w:cs="Arial"/>
          <w:szCs w:val="24"/>
          <w:lang w:val="es-MX"/>
        </w:rPr>
        <w:t xml:space="preserve"> como afecta el normal desarrollo de peritecios o inhibe totalmente su formación</w:t>
      </w:r>
      <w:r w:rsidR="00377572">
        <w:rPr>
          <w:rFonts w:cs="Arial"/>
          <w:szCs w:val="24"/>
          <w:lang w:val="es-MX"/>
        </w:rPr>
        <w:t xml:space="preserve"> </w:t>
      </w:r>
      <w:r w:rsidR="00377572">
        <w:rPr>
          <w:rFonts w:cs="Arial"/>
          <w:szCs w:val="24"/>
          <w:lang w:val="es-MX"/>
        </w:rPr>
        <w:fldChar w:fldCharType="begin" w:fldLock="1"/>
      </w:r>
      <w:r w:rsidR="006979FD">
        <w:rPr>
          <w:rFonts w:cs="Arial"/>
          <w:szCs w:val="24"/>
          <w:lang w:val="es-MX"/>
        </w:rPr>
        <w:instrText>ADDIN CSL_CITATION {"citationItems":[{"id":"ITEM-1","itemData":{"DOI":"10.1371/journal.pone.0195553","ISSN":"1932-6203","abstract":"Sensing the environmental signals, the canonical Gα-cAMP/PKA pathway modulates mycelial growth and development, and negatively regulates some secondary metabolism in filamentous fungi, e.g. aflatoxin in Aspergillus nidulans. Here we report the characterization of this signaling pathway in Chaetomium globosum, a widely spread fungus known for synthesizing abundant secondary metabolites, e.g. chaetoglobosin A (ChA). RNAi-mediated knockdown of a putative Gα-encoding gene gna-1, led to plural changes in phenotype, e.g. albino mycelium, significant restriction on perithecium development and decreased production of ChA. RNA-seq profiling and qRT-PCR verified significantly fall in expression of corresponding genes, e.g. pks-1 and CgcheA. These defects could be restored by simultaneous knock-down of the pkaR gene encoding a regulatory subunit of cAMP-dependent protein kinase A (PKA), suggesting that pkaR had a negative effect on the above mentioned traits. Confirmatively, the intracellular level of cAMP in wild-type strain was about 3.4-fold to that in gna-1 silenced mutant pG14, and addition of a cAMP analog, 8-Br-cAMP, restored the same defects, e.g., the expression of CgcheA. Furthermore, the intracellular cAMP in gna-1 and pkaR double silenced mutant was approaching the normal level. The following activity inhibition experiment proved that the expression of CgcheA was indeed regulated by PKA. Down-regulation of LaeA/VeA/SptJ expression in gna-1 mutant was also observed, implying that Gα signaling may crosstalk to other regulatory pathways. Taken together, this study proposes that the heterotrimeric Gα protein-cAMP/PKA signaling pathway positively mediates the sexual development, melanin biosynthesis, and secondary metabolism in C. globosum.","author":[{"dropping-particle":"","family":"Hu","given":"Yang","non-dropping-particle":"","parse-names":false,"suffix":""},{"dropping-particle":"","family":"Hao","given":"Xiaoran","non-dropping-particle":"","parse-names":false,"suffix":""},{"dropping-particle":"","family":"Chen","given":"Longfei","non-dropping-particle":"","parse-names":false,"suffix":""},{"dropping-particle":"","family":"Akhberdi","given":"Oren","non-dropping-particle":"","parse-names":false,"suffix":""},{"dropping-particle":"","family":"Yu","given":"Xi","non-dropping-particle":"","parse-names":false,"suffix":""},{"dropping-particle":"","family":"Liu","given":"Yanjie","non-dropping-particle":"","parse-names":false,"suffix":""},{"dropping-particle":"","family":"Zhu","given":"Xudong","non-dropping-particle":"","parse-names":false,"suffix":""}],"container-title":"PLOS ONE","editor":[{"dropping-particle":"","family":"Borkovich","given":"Katherine A.","non-dropping-particle":"","parse-names":false,"suffix":""}],"id":"ITEM-1","issue":"4","issued":{"date-parts":[["2018","4","13"]]},"page":"e0195553","publisher":"Public Library of Science","title":"Gα-cAMP/PKA pathway positively regulates pigmentation, chaetoglobosin A biosynthesis and sexual development in Chaetomium globosum","type":"article-journal","volume":"13"},"uris":["http://www.mendeley.com/documents/?uuid=965f5f97-05d4-34b2-93ec-f1040fd4671b"]}],"mendeley":{"formattedCitation":"[56]","plainTextFormattedCitation":"[56]","previouslyFormattedCitation":"[56]"},"properties":{"noteIndex":0},"schema":"https://github.com/citation-style-language/schema/raw/master/csl-citation.json"}</w:instrText>
      </w:r>
      <w:r w:rsidR="00377572">
        <w:rPr>
          <w:rFonts w:cs="Arial"/>
          <w:szCs w:val="24"/>
          <w:lang w:val="es-MX"/>
        </w:rPr>
        <w:fldChar w:fldCharType="separate"/>
      </w:r>
      <w:r w:rsidR="00182C49" w:rsidRPr="00182C49">
        <w:rPr>
          <w:rFonts w:cs="Arial"/>
          <w:noProof/>
          <w:szCs w:val="24"/>
          <w:lang w:val="es-MX"/>
        </w:rPr>
        <w:t>[56]</w:t>
      </w:r>
      <w:r w:rsidR="00377572">
        <w:rPr>
          <w:rFonts w:cs="Arial"/>
          <w:szCs w:val="24"/>
          <w:lang w:val="es-MX"/>
        </w:rPr>
        <w:fldChar w:fldCharType="end"/>
      </w:r>
    </w:p>
    <w:p w14:paraId="564B4D5F" w14:textId="125E360A" w:rsidR="00F6028E" w:rsidRDefault="00F6028E" w:rsidP="002323D7">
      <w:pPr>
        <w:spacing w:after="0" w:line="360" w:lineRule="auto"/>
        <w:rPr>
          <w:rFonts w:cs="Arial"/>
          <w:szCs w:val="24"/>
          <w:lang w:val="es-MX"/>
        </w:rPr>
      </w:pPr>
    </w:p>
    <w:p w14:paraId="434BD574" w14:textId="77777777" w:rsidR="00AF0EA8" w:rsidRPr="001133CE" w:rsidRDefault="00AF0EA8" w:rsidP="002323D7">
      <w:pPr>
        <w:spacing w:after="0" w:line="360" w:lineRule="auto"/>
        <w:rPr>
          <w:rFonts w:cs="Arial"/>
          <w:szCs w:val="24"/>
          <w:lang w:val="es-MX"/>
        </w:rPr>
      </w:pPr>
    </w:p>
    <w:p w14:paraId="76210579" w14:textId="77777777" w:rsidR="00C41E1D" w:rsidRPr="00BC77BC" w:rsidRDefault="00C41E1D" w:rsidP="002323D7">
      <w:pPr>
        <w:spacing w:after="0" w:line="240" w:lineRule="auto"/>
        <w:rPr>
          <w:rFonts w:cs="Arial"/>
          <w:szCs w:val="24"/>
          <w:lang w:val="es-MX"/>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2323D7" w:rsidRDefault="00C41E1D" w:rsidP="002323D7">
      <w:pPr>
        <w:spacing w:after="0" w:line="240" w:lineRule="auto"/>
        <w:rPr>
          <w:rFonts w:cs="Arial"/>
          <w:sz w:val="18"/>
          <w:szCs w:val="24"/>
          <w:lang w:val="es-MX"/>
        </w:rPr>
      </w:pPr>
      <w:r w:rsidRPr="002323D7">
        <w:rPr>
          <w:rFonts w:cs="Arial"/>
          <w:sz w:val="18"/>
          <w:szCs w:val="24"/>
          <w:lang w:val="es-MX"/>
        </w:rPr>
        <w:t xml:space="preserve">Figura </w:t>
      </w:r>
      <w:r w:rsidRPr="002323D7">
        <w:rPr>
          <w:rFonts w:cs="Arial"/>
          <w:sz w:val="18"/>
          <w:szCs w:val="24"/>
        </w:rPr>
        <w:fldChar w:fldCharType="begin"/>
      </w:r>
      <w:r w:rsidRPr="002323D7">
        <w:rPr>
          <w:rFonts w:cs="Arial"/>
          <w:sz w:val="18"/>
          <w:szCs w:val="24"/>
          <w:lang w:val="es-MX"/>
        </w:rPr>
        <w:instrText xml:space="preserve"> SEQ Figura \* ARABIC </w:instrText>
      </w:r>
      <w:r w:rsidRPr="002323D7">
        <w:rPr>
          <w:rFonts w:cs="Arial"/>
          <w:sz w:val="18"/>
          <w:szCs w:val="24"/>
        </w:rPr>
        <w:fldChar w:fldCharType="separate"/>
      </w:r>
      <w:r w:rsidR="00B700A9" w:rsidRPr="002323D7">
        <w:rPr>
          <w:rFonts w:cs="Arial"/>
          <w:noProof/>
          <w:sz w:val="18"/>
          <w:szCs w:val="24"/>
          <w:lang w:val="es-MX"/>
        </w:rPr>
        <w:t>4</w:t>
      </w:r>
      <w:r w:rsidRPr="002323D7">
        <w:rPr>
          <w:rFonts w:cs="Arial"/>
          <w:sz w:val="18"/>
          <w:szCs w:val="24"/>
        </w:rPr>
        <w:fldChar w:fldCharType="end"/>
      </w:r>
      <w:r w:rsidR="001133CE" w:rsidRPr="002323D7">
        <w:rPr>
          <w:rFonts w:cs="Arial"/>
          <w:sz w:val="18"/>
          <w:szCs w:val="24"/>
          <w:lang w:val="es-MX"/>
        </w:rPr>
        <w:t xml:space="preserve">.  </w:t>
      </w:r>
      <w:r w:rsidRPr="002323D7">
        <w:rPr>
          <w:rFonts w:cs="Arial"/>
          <w:sz w:val="18"/>
          <w:szCs w:val="24"/>
          <w:lang w:val="es-MX"/>
        </w:rPr>
        <w:t xml:space="preserve">Proteínas ortólogas de varios hongos filamentosos identificadas a partir de proteínas asociadas a la respuesta a estrés </w:t>
      </w:r>
      <w:r w:rsidR="001133CE" w:rsidRPr="002323D7">
        <w:rPr>
          <w:rFonts w:cs="Arial"/>
          <w:sz w:val="18"/>
          <w:szCs w:val="24"/>
          <w:lang w:val="es-MX"/>
        </w:rPr>
        <w:t>lumínico</w:t>
      </w:r>
      <w:r w:rsidRPr="002323D7">
        <w:rPr>
          <w:rFonts w:cs="Arial"/>
          <w:sz w:val="18"/>
          <w:szCs w:val="24"/>
          <w:lang w:val="es-MX"/>
        </w:rPr>
        <w:t xml:space="preserve"> (response to </w:t>
      </w:r>
      <w:r w:rsidR="001133CE" w:rsidRPr="002323D7">
        <w:rPr>
          <w:rFonts w:cs="Arial"/>
          <w:sz w:val="18"/>
          <w:szCs w:val="24"/>
          <w:lang w:val="es-MX"/>
        </w:rPr>
        <w:t>light</w:t>
      </w:r>
      <w:r w:rsidRPr="002323D7">
        <w:rPr>
          <w:rFonts w:cs="Arial"/>
          <w:sz w:val="18"/>
          <w:szCs w:val="24"/>
          <w:lang w:val="es-MX"/>
        </w:rPr>
        <w:t xml:space="preserve"> stress: </w:t>
      </w:r>
      <w:r w:rsidR="007458E0" w:rsidRPr="002323D7">
        <w:rPr>
          <w:rFonts w:cs="Arial"/>
          <w:sz w:val="18"/>
          <w:szCs w:val="24"/>
          <w:lang w:val="es-MX"/>
        </w:rPr>
        <w:t>GO: 0009416</w:t>
      </w:r>
      <w:r w:rsidRPr="002323D7">
        <w:rPr>
          <w:rFonts w:cs="Arial"/>
          <w:sz w:val="18"/>
          <w:szCs w:val="24"/>
          <w:lang w:val="es-MX"/>
        </w:rPr>
        <w:t xml:space="preserve">) </w:t>
      </w:r>
      <w:r w:rsidR="007458E0" w:rsidRPr="002323D7">
        <w:rPr>
          <w:rFonts w:cs="Arial"/>
          <w:sz w:val="18"/>
          <w:szCs w:val="24"/>
          <w:lang w:val="es-MX"/>
        </w:rPr>
        <w:t xml:space="preserve">en </w:t>
      </w:r>
      <w:r w:rsidR="001133CE" w:rsidRPr="002323D7">
        <w:rPr>
          <w:rFonts w:cs="Arial"/>
          <w:i/>
          <w:sz w:val="18"/>
          <w:szCs w:val="24"/>
          <w:lang w:val="es-MX"/>
        </w:rPr>
        <w:t>Saccharomyces cerevisiae</w:t>
      </w:r>
      <w:r w:rsidR="001133CE" w:rsidRPr="002323D7">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por luz en </w:t>
      </w:r>
      <w:r w:rsidR="001133CE" w:rsidRPr="002323D7">
        <w:rPr>
          <w:rFonts w:cs="Arial"/>
          <w:i/>
          <w:sz w:val="18"/>
          <w:szCs w:val="24"/>
          <w:lang w:val="es-MX"/>
        </w:rPr>
        <w:t>S. cerevisiae</w:t>
      </w:r>
      <w:r w:rsidR="007458E0" w:rsidRPr="002323D7">
        <w:rPr>
          <w:rFonts w:cs="Arial"/>
          <w:sz w:val="18"/>
          <w:szCs w:val="24"/>
          <w:lang w:val="es-MX"/>
        </w:rPr>
        <w:t>.</w:t>
      </w:r>
    </w:p>
    <w:p w14:paraId="17317F5C" w14:textId="77777777" w:rsidR="007458E0" w:rsidRPr="001133CE" w:rsidRDefault="007458E0" w:rsidP="002323D7">
      <w:pPr>
        <w:spacing w:after="0" w:line="360" w:lineRule="auto"/>
        <w:rPr>
          <w:rFonts w:cs="Arial"/>
          <w:szCs w:val="24"/>
          <w:lang w:val="es-MX"/>
        </w:rPr>
      </w:pPr>
    </w:p>
    <w:p w14:paraId="3BD2203A" w14:textId="77777777" w:rsidR="00DA718D" w:rsidRPr="001133CE" w:rsidRDefault="00475D17" w:rsidP="002323D7">
      <w:pPr>
        <w:spacing w:after="0" w:line="360" w:lineRule="auto"/>
        <w:rPr>
          <w:rFonts w:cs="Arial"/>
          <w:szCs w:val="24"/>
          <w:lang w:val="es-MX"/>
        </w:rPr>
      </w:pPr>
      <w:r w:rsidRPr="001133CE">
        <w:rPr>
          <w:rFonts w:cs="Arial"/>
          <w:szCs w:val="24"/>
          <w:lang w:val="es-MX"/>
        </w:rPr>
        <w:t>La relación entre las proteínas G y la luz fue demostrado en Hypocrea jecorina. Con luz y oscuridad.</w:t>
      </w:r>
    </w:p>
    <w:p w14:paraId="072B16D5" w14:textId="19ED99AC" w:rsidR="00475D17" w:rsidRPr="001133CE" w:rsidRDefault="00475D17" w:rsidP="002323D7">
      <w:pPr>
        <w:spacing w:after="0" w:line="360" w:lineRule="auto"/>
        <w:rPr>
          <w:rFonts w:cs="Arial"/>
          <w:szCs w:val="24"/>
          <w:lang w:val="es-MX"/>
        </w:rPr>
      </w:pPr>
    </w:p>
    <w:p w14:paraId="1B17A0FA" w14:textId="77777777" w:rsidR="00475D17" w:rsidRPr="001133CE" w:rsidRDefault="00475D17" w:rsidP="002323D7">
      <w:pPr>
        <w:spacing w:after="0" w:line="360" w:lineRule="auto"/>
        <w:rPr>
          <w:rFonts w:cs="Arial"/>
          <w:szCs w:val="24"/>
          <w:lang w:val="es-MX"/>
        </w:rPr>
      </w:pPr>
    </w:p>
    <w:p w14:paraId="18E46A16" w14:textId="77777777" w:rsidR="00074372" w:rsidRPr="001133CE" w:rsidRDefault="00074372" w:rsidP="002323D7">
      <w:pPr>
        <w:spacing w:after="0" w:line="360" w:lineRule="auto"/>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2323D7">
      <w:pPr>
        <w:pStyle w:val="Ttulo1"/>
        <w:spacing w:before="0" w:line="360" w:lineRule="auto"/>
        <w:rPr>
          <w:rFonts w:cs="Arial"/>
          <w:szCs w:val="24"/>
          <w:lang w:val="es-MX"/>
        </w:rPr>
      </w:pPr>
      <w:r w:rsidRPr="001133CE">
        <w:rPr>
          <w:rFonts w:cs="Arial"/>
          <w:szCs w:val="24"/>
          <w:lang w:val="es-MX"/>
        </w:rPr>
        <w:t>PAPEL DE LAS PROTEÍNAS G EN EL ESTRÉS TÉRMICO EN HONGOS FILAMENTOSOS</w:t>
      </w:r>
    </w:p>
    <w:p w14:paraId="5AC3B2BE" w14:textId="3A7E10E2" w:rsidR="00B0543E" w:rsidRDefault="00E26ECC" w:rsidP="002323D7">
      <w:pPr>
        <w:spacing w:after="0" w:line="360" w:lineRule="auto"/>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6979FD">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[57]","plainTextFormattedCitation":"[57]","previouslyFormattedCitation":"[57]"},"properties":{"noteIndex":0},"schema":"https://github.com/citation-style-language/schema/raw/master/csl-citation.json"}</w:instrText>
      </w:r>
      <w:r w:rsidR="007D5144" w:rsidRPr="001133CE">
        <w:rPr>
          <w:rFonts w:cs="Arial"/>
          <w:szCs w:val="24"/>
          <w:lang w:val="es-MX"/>
        </w:rPr>
        <w:fldChar w:fldCharType="separate"/>
      </w:r>
      <w:r w:rsidR="00182C49" w:rsidRPr="00182C49">
        <w:rPr>
          <w:rFonts w:cs="Arial"/>
          <w:noProof/>
          <w:szCs w:val="24"/>
          <w:lang w:val="es-MX"/>
        </w:rPr>
        <w:t>[57]</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w:t>
      </w:r>
      <w:r w:rsidR="00B0543E">
        <w:rPr>
          <w:rFonts w:cs="Arial"/>
          <w:szCs w:val="24"/>
          <w:lang w:val="es-MX"/>
        </w:rPr>
        <w:t xml:space="preserve">En hongos una remperatura de 50°C) se considera letal, sin embargo, cuando existe un aumento paulatino de la temperatura y el hongo crece a una temperatura alta no letal (subletal de 40-47°C) expresa proteínas de choque térmico que aumenta su resistencia a temperaturas letales lo que se conoce como termo-tolerancia inducida, en ambos casos las proteínas G se relacionan con esta respuesta mediante los RGS que presentan domino DEP, a los cuales se unen los factores de transcipción tipo dedos de Zinc </w:t>
      </w:r>
      <w:r w:rsidR="00B0543E" w:rsidRPr="001133CE">
        <w:rPr>
          <w:rFonts w:cs="Arial"/>
          <w:szCs w:val="24"/>
          <w:lang w:val="es-MX"/>
        </w:rPr>
        <w:t>C2H2</w:t>
      </w:r>
      <w:r w:rsidR="00B0543E">
        <w:rPr>
          <w:rFonts w:cs="Arial"/>
          <w:szCs w:val="24"/>
          <w:lang w:val="es-MX"/>
        </w:rPr>
        <w:t>.</w:t>
      </w:r>
    </w:p>
    <w:p w14:paraId="4BFE8B3D" w14:textId="3D5FA615" w:rsidR="00DB4865" w:rsidRDefault="00F96040" w:rsidP="002323D7">
      <w:pPr>
        <w:spacing w:after="0" w:line="360" w:lineRule="auto"/>
        <w:rPr>
          <w:rFonts w:cs="Arial"/>
          <w:szCs w:val="24"/>
          <w:lang w:val="es-MX"/>
        </w:rPr>
      </w:pPr>
      <w:r w:rsidRPr="001133CE">
        <w:rPr>
          <w:rFonts w:cs="Arial"/>
          <w:szCs w:val="24"/>
          <w:lang w:val="es-MX"/>
        </w:rPr>
        <w:t>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6979FD">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[58]","plainTextFormattedCitation":"[58]","previouslyFormattedCitation":"[58]"},"properties":{"noteIndex":0},"schema":"https://github.com/citation-style-language/schema/raw/master/csl-citation.json"}</w:instrText>
      </w:r>
      <w:r w:rsidR="000F254B" w:rsidRPr="001133CE">
        <w:rPr>
          <w:rFonts w:cs="Arial"/>
          <w:szCs w:val="24"/>
          <w:lang w:val="es-MX"/>
        </w:rPr>
        <w:fldChar w:fldCharType="separate"/>
      </w:r>
      <w:r w:rsidR="00182C49" w:rsidRPr="00182C49">
        <w:rPr>
          <w:rFonts w:cs="Arial"/>
          <w:noProof/>
          <w:szCs w:val="24"/>
          <w:lang w:val="es-MX"/>
        </w:rPr>
        <w:t>[58]</w:t>
      </w:r>
      <w:r w:rsidR="000F254B" w:rsidRPr="001133CE">
        <w:rPr>
          <w:rFonts w:cs="Arial"/>
          <w:szCs w:val="24"/>
          <w:lang w:val="es-MX"/>
        </w:rPr>
        <w:fldChar w:fldCharType="end"/>
      </w:r>
      <w:r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6979FD">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Fungi","type":"article-journal","volume":"2015"},"uris":["http://www.mendeley.com/documents/?uuid=fd2fbf7c-b624-31a5-8cbf-f8e02efd1533"]}],"mendeley":{"formattedCitation":"[59], [60]","plainTextFormattedCitation":"[59], [60]","previouslyFormattedCitation":"[59], [60]"},"properties":{"noteIndex":0},"schema":"https://github.com/citation-style-language/schema/raw/master/csl-citation.json"}</w:instrText>
      </w:r>
      <w:r w:rsidR="003648A3" w:rsidRPr="001133CE">
        <w:rPr>
          <w:rFonts w:cs="Arial"/>
          <w:szCs w:val="24"/>
          <w:lang w:val="es-MX"/>
        </w:rPr>
        <w:fldChar w:fldCharType="separate"/>
      </w:r>
      <w:r w:rsidR="00182C49" w:rsidRPr="00182C49">
        <w:rPr>
          <w:rFonts w:cs="Arial"/>
          <w:noProof/>
          <w:szCs w:val="24"/>
          <w:lang w:val="es-MX"/>
        </w:rPr>
        <w:t>[59], [60]</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6979FD">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[61]","plainTextFormattedCitation":"[61]","previouslyFormattedCitation":"[61]"},"properties":{"noteIndex":0},"schema":"https://github.com/citation-style-language/schema/raw/master/csl-citation.json"}</w:instrText>
      </w:r>
      <w:r w:rsidR="00401EC1" w:rsidRPr="001133CE">
        <w:rPr>
          <w:rFonts w:cs="Arial"/>
          <w:szCs w:val="24"/>
          <w:lang w:val="es-MX"/>
        </w:rPr>
        <w:fldChar w:fldCharType="separate"/>
      </w:r>
      <w:r w:rsidR="00182C49" w:rsidRPr="00182C49">
        <w:rPr>
          <w:rFonts w:cs="Arial"/>
          <w:noProof/>
          <w:szCs w:val="24"/>
          <w:lang w:val="es-MX"/>
        </w:rPr>
        <w:t>[61]</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6979FD">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[61]","plainTextFormattedCitation":"[61]","previouslyFormattedCitation":"[61]"},"properties":{"noteIndex":0},"schema":"https://github.com/citation-style-language/schema/raw/master/csl-citation.json"}</w:instrText>
      </w:r>
      <w:r w:rsidR="00401EC1" w:rsidRPr="001133CE">
        <w:rPr>
          <w:rFonts w:cs="Arial"/>
          <w:szCs w:val="24"/>
          <w:lang w:val="es-MX"/>
        </w:rPr>
        <w:fldChar w:fldCharType="separate"/>
      </w:r>
      <w:r w:rsidR="00182C49" w:rsidRPr="00182C49">
        <w:rPr>
          <w:rFonts w:cs="Arial"/>
          <w:noProof/>
          <w:szCs w:val="24"/>
          <w:lang w:val="es-MX"/>
        </w:rPr>
        <w:t>[61]</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6979FD">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[62]","plainTextFormattedCitation":"[62]","previouslyFormattedCitation":"[62]"},"properties":{"noteIndex":0},"schema":"https://github.com/citation-style-language/schema/raw/master/csl-citation.json"}</w:instrText>
      </w:r>
      <w:r w:rsidR="00E8098B" w:rsidRPr="001133CE">
        <w:rPr>
          <w:rFonts w:cs="Arial"/>
          <w:szCs w:val="24"/>
          <w:lang w:val="es-MX"/>
        </w:rPr>
        <w:fldChar w:fldCharType="separate"/>
      </w:r>
      <w:r w:rsidR="00182C49" w:rsidRPr="00182C49">
        <w:rPr>
          <w:rFonts w:cs="Arial"/>
          <w:noProof/>
          <w:szCs w:val="24"/>
          <w:lang w:val="es-MX"/>
        </w:rPr>
        <w:t>[62]</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6979FD">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[63]","plainTextFormattedCitation":"[63]","previouslyFormattedCitation":"[63]"},"properties":{"noteIndex":0},"schema":"https://github.com/citation-style-language/schema/raw/master/csl-citation.json"}</w:instrText>
      </w:r>
      <w:r w:rsidR="004B3499" w:rsidRPr="001133CE">
        <w:rPr>
          <w:rFonts w:cs="Arial"/>
          <w:szCs w:val="24"/>
          <w:lang w:val="es-MX"/>
        </w:rPr>
        <w:fldChar w:fldCharType="separate"/>
      </w:r>
      <w:r w:rsidR="00182C49" w:rsidRPr="00182C49">
        <w:rPr>
          <w:rFonts w:cs="Arial"/>
          <w:noProof/>
          <w:szCs w:val="24"/>
          <w:lang w:val="es-MX"/>
        </w:rPr>
        <w:t>[63]</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6979FD">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[64]","plainTextFormattedCitation":"[64]","previouslyFormattedCitation":"[64]"},"properties":{"noteIndex":0},"schema":"https://github.com/citation-style-language/schema/raw/master/csl-citation.json"}</w:instrText>
      </w:r>
      <w:r w:rsidR="00E8098B" w:rsidRPr="001133CE">
        <w:rPr>
          <w:rFonts w:cs="Arial"/>
          <w:szCs w:val="24"/>
          <w:lang w:val="es-MX"/>
        </w:rPr>
        <w:fldChar w:fldCharType="separate"/>
      </w:r>
      <w:r w:rsidR="00182C49" w:rsidRPr="00182C49">
        <w:rPr>
          <w:rFonts w:cs="Arial"/>
          <w:noProof/>
          <w:szCs w:val="24"/>
          <w:lang w:val="es-MX"/>
        </w:rPr>
        <w:t>[64]</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6979FD">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[65]–[67]","plainTextFormattedCitation":"[65]–[67]","previouslyFormattedCitation":"[65]–[67]"},"properties":{"noteIndex":0},"schema":"https://github.com/citation-style-language/schema/raw/master/csl-citation.json"}</w:instrText>
      </w:r>
      <w:r w:rsidR="006209A6" w:rsidRPr="001133CE">
        <w:rPr>
          <w:rFonts w:cs="Arial"/>
          <w:szCs w:val="24"/>
          <w:lang w:val="es-MX"/>
        </w:rPr>
        <w:fldChar w:fldCharType="separate"/>
      </w:r>
      <w:r w:rsidR="00182C49" w:rsidRPr="00182C49">
        <w:rPr>
          <w:rFonts w:cs="Arial"/>
          <w:noProof/>
          <w:szCs w:val="24"/>
          <w:lang w:val="es-MX"/>
        </w:rPr>
        <w:t>[65]–[67]</w:t>
      </w:r>
      <w:r w:rsidR="006209A6" w:rsidRPr="001133CE">
        <w:rPr>
          <w:rFonts w:cs="Arial"/>
          <w:szCs w:val="24"/>
          <w:lang w:val="es-MX"/>
        </w:rPr>
        <w:fldChar w:fldCharType="end"/>
      </w:r>
      <w:r w:rsidR="00B0543E">
        <w:rPr>
          <w:rFonts w:cs="Arial"/>
          <w:szCs w:val="24"/>
          <w:lang w:val="es-MX"/>
        </w:rPr>
        <w:t xml:space="preserve"> q</w:t>
      </w:r>
      <w:r w:rsidR="005C41C8" w:rsidRPr="001133CE">
        <w:rPr>
          <w:rFonts w:cs="Arial"/>
          <w:szCs w:val="24"/>
          <w:lang w:val="es-MX"/>
        </w:rPr>
        <w:t xml:space="preserve">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F4E7575" w14:textId="0DBA5813" w:rsidR="00D26529" w:rsidRPr="001133CE" w:rsidRDefault="00D26529" w:rsidP="002323D7">
      <w:pPr>
        <w:spacing w:after="0" w:line="360" w:lineRule="auto"/>
        <w:rPr>
          <w:rFonts w:cs="Arial"/>
          <w:szCs w:val="24"/>
          <w:lang w:val="es-MX"/>
        </w:rPr>
      </w:pPr>
    </w:p>
    <w:p w14:paraId="27959555" w14:textId="68589F39" w:rsidR="00205909" w:rsidRPr="001133CE" w:rsidRDefault="00604894" w:rsidP="002323D7">
      <w:pPr>
        <w:spacing w:after="0" w:line="360" w:lineRule="auto"/>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B0543E">
        <w:rPr>
          <w:rFonts w:cs="Arial"/>
          <w:szCs w:val="24"/>
          <w:lang w:val="es-MX"/>
        </w:rPr>
        <w:t xml:space="preserve"> (Figura 5</w:t>
      </w:r>
      <w:r w:rsidR="001A69F8" w:rsidRPr="001133CE">
        <w:rPr>
          <w:rFonts w:cs="Arial"/>
          <w:szCs w:val="24"/>
          <w:lang w:val="es-MX"/>
        </w:rPr>
        <w:t>)</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6979FD">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pathway","type":"report","volume":"17"},"uris":["http://www.mendeley.com/documents/?uuid=df094feb-b8ab-399c-afd3-1cb67dd943d3"]}],"mendeley":{"formattedCitation":"[68], [69]","plainTextFormattedCitation":"[68], [69]","previouslyFormattedCitation":"[68], [69]"},"properties":{"noteIndex":0},"schema":"https://github.com/citation-style-language/schema/raw/master/csl-citation.json"}</w:instrText>
      </w:r>
      <w:r w:rsidR="007C4766" w:rsidRPr="001133CE">
        <w:rPr>
          <w:rFonts w:cs="Arial"/>
          <w:szCs w:val="24"/>
          <w:lang w:val="es-MX"/>
        </w:rPr>
        <w:fldChar w:fldCharType="separate"/>
      </w:r>
      <w:r w:rsidR="00182C49" w:rsidRPr="00182C49">
        <w:rPr>
          <w:rFonts w:cs="Arial"/>
          <w:noProof/>
          <w:szCs w:val="24"/>
          <w:lang w:val="es-MX"/>
        </w:rPr>
        <w:t>[68], [69]</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6979FD">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[70]","plainTextFormattedCitation":"[70]","previouslyFormattedCitation":"[70]"},"properties":{"noteIndex":0},"schema":"https://github.com/citation-style-language/schema/raw/master/csl-citation.json"}</w:instrText>
      </w:r>
      <w:r w:rsidR="00B462FF" w:rsidRPr="001133CE">
        <w:rPr>
          <w:rFonts w:cs="Arial"/>
          <w:szCs w:val="24"/>
          <w:lang w:val="es-MX"/>
        </w:rPr>
        <w:fldChar w:fldCharType="separate"/>
      </w:r>
      <w:r w:rsidR="00182C49" w:rsidRPr="00182C49">
        <w:rPr>
          <w:rFonts w:cs="Arial"/>
          <w:noProof/>
          <w:szCs w:val="24"/>
          <w:lang w:val="es-MX"/>
        </w:rPr>
        <w:t>[70]</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w:t>
      </w:r>
      <w:r w:rsidR="00B0543E">
        <w:rPr>
          <w:rFonts w:cs="Arial"/>
          <w:szCs w:val="24"/>
          <w:lang w:val="es-MX"/>
        </w:rPr>
        <w:t>tio consenso para la toxina pertusis</w:t>
      </w:r>
      <w:r w:rsidR="00B97DE3" w:rsidRPr="001133CE">
        <w:rPr>
          <w:rFonts w:cs="Arial"/>
          <w:szCs w:val="24"/>
          <w:lang w:val="es-MX"/>
        </w:rPr>
        <w:t>,</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6979FD">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[71]","plainTextFormattedCitation":"[71]","previouslyFormattedCitation":"[71]"},"properties":{"noteIndex":0},"schema":"https://github.com/citation-style-language/schema/raw/master/csl-citation.json"}</w:instrText>
      </w:r>
      <w:r w:rsidR="00DB1184" w:rsidRPr="001133CE">
        <w:rPr>
          <w:rFonts w:cs="Arial"/>
          <w:szCs w:val="24"/>
          <w:lang w:val="es-MX"/>
        </w:rPr>
        <w:fldChar w:fldCharType="separate"/>
      </w:r>
      <w:r w:rsidR="00182C49" w:rsidRPr="00182C49">
        <w:rPr>
          <w:rFonts w:cs="Arial"/>
          <w:noProof/>
          <w:szCs w:val="24"/>
          <w:lang w:val="es-MX"/>
        </w:rPr>
        <w:t>[71]</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6979FD">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[69]","plainTextFormattedCitation":"[69]","previouslyFormattedCitation":"[69]"},"properties":{"noteIndex":0},"schema":"https://github.com/citation-style-language/schema/raw/master/csl-citation.json"}</w:instrText>
      </w:r>
      <w:r w:rsidR="00D36E0B" w:rsidRPr="001133CE">
        <w:rPr>
          <w:rFonts w:cs="Arial"/>
          <w:szCs w:val="24"/>
          <w:lang w:val="es-MX"/>
        </w:rPr>
        <w:fldChar w:fldCharType="separate"/>
      </w:r>
      <w:r w:rsidR="00182C49" w:rsidRPr="00182C49">
        <w:rPr>
          <w:rFonts w:cs="Arial"/>
          <w:noProof/>
          <w:szCs w:val="24"/>
          <w:lang w:val="es-MX"/>
        </w:rPr>
        <w:t>[69]</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4A7D39">
        <w:rPr>
          <w:rFonts w:cs="Arial"/>
          <w:i/>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xml:space="preserve">, </w:t>
      </w:r>
      <w:r w:rsidR="00686192" w:rsidRPr="004A7D39">
        <w:rPr>
          <w:rFonts w:cs="Arial"/>
          <w:i/>
          <w:szCs w:val="24"/>
          <w:lang w:val="es-MX"/>
        </w:rPr>
        <w:t>P. roqueforti</w:t>
      </w:r>
      <w:r w:rsidR="00565978" w:rsidRPr="001133CE">
        <w:rPr>
          <w:rFonts w:cs="Arial"/>
          <w:szCs w:val="24"/>
          <w:lang w:val="es-MX"/>
        </w:rPr>
        <w:t xml:space="preserve"> </w:t>
      </w:r>
      <w:r w:rsidR="00686192" w:rsidRPr="001133CE">
        <w:rPr>
          <w:rFonts w:cs="Arial"/>
          <w:szCs w:val="24"/>
          <w:lang w:val="es-MX"/>
        </w:rPr>
        <w:fldChar w:fldCharType="begin" w:fldLock="1"/>
      </w:r>
      <w:r w:rsidR="006979FD">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[72]","plainTextFormattedCitation":"[72]","previouslyFormattedCitation":"[72]"},"properties":{"noteIndex":0},"schema":"https://github.com/citation-style-language/schema/raw/master/csl-citation.json"}</w:instrText>
      </w:r>
      <w:r w:rsidR="00686192" w:rsidRPr="001133CE">
        <w:rPr>
          <w:rFonts w:cs="Arial"/>
          <w:szCs w:val="24"/>
          <w:lang w:val="es-MX"/>
        </w:rPr>
        <w:fldChar w:fldCharType="separate"/>
      </w:r>
      <w:r w:rsidR="00182C49" w:rsidRPr="00182C49">
        <w:rPr>
          <w:rFonts w:cs="Arial"/>
          <w:noProof/>
          <w:szCs w:val="24"/>
          <w:lang w:val="es-MX"/>
        </w:rPr>
        <w:t>[72]</w:t>
      </w:r>
      <w:r w:rsidR="00686192" w:rsidRPr="001133CE">
        <w:rPr>
          <w:rFonts w:cs="Arial"/>
          <w:szCs w:val="24"/>
          <w:lang w:val="es-MX"/>
        </w:rPr>
        <w:fldChar w:fldCharType="end"/>
      </w:r>
      <w:r w:rsidR="00393CA3" w:rsidRPr="001133CE">
        <w:rPr>
          <w:rFonts w:cs="Arial"/>
          <w:szCs w:val="24"/>
          <w:lang w:val="es-MX"/>
        </w:rPr>
        <w:t xml:space="preserve">, </w:t>
      </w:r>
      <w:r w:rsidR="00393CA3" w:rsidRPr="004A7D39">
        <w:rPr>
          <w:rFonts w:cs="Arial"/>
          <w:i/>
          <w:szCs w:val="24"/>
          <w:lang w:val="es-MX"/>
        </w:rPr>
        <w:t>P. chrysogenum</w:t>
      </w:r>
      <w:r w:rsidR="00393CA3" w:rsidRPr="001133CE">
        <w:rPr>
          <w:rFonts w:cs="Arial"/>
          <w:szCs w:val="24"/>
          <w:lang w:val="es-MX"/>
        </w:rPr>
        <w:t xml:space="preserve">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xml:space="preserve">, </w:t>
      </w:r>
      <w:r w:rsidR="00D85026" w:rsidRPr="004A7D39">
        <w:rPr>
          <w:rFonts w:cs="Arial"/>
          <w:i/>
          <w:szCs w:val="24"/>
          <w:lang w:val="es-MX"/>
        </w:rPr>
        <w:t>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377572">
        <w:rPr>
          <w:rFonts w:cs="Arial"/>
          <w:noProof/>
          <w:szCs w:val="24"/>
        </w:rPr>
        <w:t>[22], [29], [40]</w:t>
      </w:r>
      <w:r w:rsidR="0030023B" w:rsidRPr="001133CE">
        <w:rPr>
          <w:rFonts w:cs="Arial"/>
          <w:szCs w:val="24"/>
          <w:lang w:val="es-MX"/>
        </w:rPr>
        <w:fldChar w:fldCharType="end"/>
      </w:r>
      <w:r w:rsidR="00D85026" w:rsidRPr="00377572">
        <w:rPr>
          <w:rFonts w:cs="Arial"/>
          <w:szCs w:val="24"/>
        </w:rPr>
        <w:t xml:space="preserve">, </w:t>
      </w:r>
      <w:r w:rsidR="00393CA3" w:rsidRPr="00377572">
        <w:rPr>
          <w:rFonts w:cs="Arial"/>
          <w:i/>
          <w:szCs w:val="24"/>
        </w:rPr>
        <w:t>F. oxysporum</w:t>
      </w:r>
      <w:r w:rsidR="00393CA3" w:rsidRPr="00377572">
        <w:rPr>
          <w:rFonts w:cs="Arial"/>
          <w:szCs w:val="24"/>
        </w:rPr>
        <w:t xml:space="preserve"> </w:t>
      </w:r>
      <w:r w:rsidR="00393CA3" w:rsidRPr="001133CE">
        <w:rPr>
          <w:rFonts w:cs="Arial"/>
          <w:szCs w:val="24"/>
          <w:lang w:val="es-MX"/>
        </w:rPr>
        <w:fldChar w:fldCharType="begin" w:fldLock="1"/>
      </w:r>
      <w:r w:rsidR="006979FD">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[71]","plainTextFormattedCitation":"[71]","previouslyFormattedCitation":"[71]"},"properties":{"noteIndex":0},"schema":"https://github.com/citation-style-language/schema/raw/master/csl-citation.json"}</w:instrText>
      </w:r>
      <w:r w:rsidR="00393CA3" w:rsidRPr="001133CE">
        <w:rPr>
          <w:rFonts w:cs="Arial"/>
          <w:szCs w:val="24"/>
          <w:lang w:val="es-MX"/>
        </w:rPr>
        <w:fldChar w:fldCharType="separate"/>
      </w:r>
      <w:r w:rsidR="00182C49" w:rsidRPr="00182C49">
        <w:rPr>
          <w:rFonts w:cs="Arial"/>
          <w:noProof/>
          <w:szCs w:val="24"/>
        </w:rPr>
        <w:t>[71]</w:t>
      </w:r>
      <w:r w:rsidR="00393CA3" w:rsidRPr="001133CE">
        <w:rPr>
          <w:rFonts w:cs="Arial"/>
          <w:szCs w:val="24"/>
          <w:lang w:val="es-MX"/>
        </w:rPr>
        <w:fldChar w:fldCharType="end"/>
      </w:r>
      <w:r w:rsidR="004A7D39" w:rsidRPr="00377572">
        <w:rPr>
          <w:rFonts w:cs="Arial"/>
          <w:szCs w:val="24"/>
        </w:rPr>
        <w:t xml:space="preserve"> </w:t>
      </w:r>
      <w:r w:rsidR="004A7D39" w:rsidRPr="00377572">
        <w:rPr>
          <w:rFonts w:cs="Arial"/>
          <w:color w:val="FF0000"/>
          <w:szCs w:val="24"/>
        </w:rPr>
        <w:t>entre otros</w:t>
      </w:r>
      <w:r w:rsidR="00E568C8" w:rsidRPr="00377572">
        <w:rPr>
          <w:rFonts w:cs="Arial"/>
          <w:szCs w:val="24"/>
        </w:rPr>
        <w:t>.</w:t>
      </w:r>
      <w:r w:rsidR="00223DF4" w:rsidRPr="00377572">
        <w:rPr>
          <w:rFonts w:cs="Arial"/>
          <w:szCs w:val="24"/>
        </w:rPr>
        <w:t xml:space="preserve"> </w:t>
      </w:r>
      <w:r w:rsidR="00223DF4" w:rsidRPr="00182C49">
        <w:rPr>
          <w:rFonts w:cs="Arial"/>
          <w:szCs w:val="24"/>
        </w:rPr>
        <w:t xml:space="preserve">Los estudios realizados en las </w:t>
      </w:r>
      <w:r w:rsidR="003A62DA" w:rsidRPr="00182C49">
        <w:rPr>
          <w:rFonts w:cs="Arial"/>
          <w:szCs w:val="24"/>
        </w:rPr>
        <w:t xml:space="preserve">tres especies del </w:t>
      </w:r>
      <w:r w:rsidR="003675BE" w:rsidRPr="00182C49">
        <w:rPr>
          <w:rFonts w:cs="Arial"/>
          <w:szCs w:val="24"/>
        </w:rPr>
        <w:t xml:space="preserve">género </w:t>
      </w:r>
      <w:r w:rsidR="003675BE" w:rsidRPr="00182C49">
        <w:rPr>
          <w:rFonts w:cs="Arial"/>
          <w:i/>
          <w:szCs w:val="24"/>
        </w:rPr>
        <w:t>Penicillium</w:t>
      </w:r>
      <w:r w:rsidR="004A7D39" w:rsidRPr="00182C49">
        <w:rPr>
          <w:rFonts w:cs="Arial"/>
          <w:szCs w:val="24"/>
        </w:rPr>
        <w:t xml:space="preserve"> </w:t>
      </w:r>
      <w:r w:rsidR="004A7D39" w:rsidRPr="00182C49">
        <w:rPr>
          <w:rFonts w:cs="Arial"/>
          <w:i/>
          <w:szCs w:val="24"/>
        </w:rPr>
        <w:t>sp</w:t>
      </w:r>
      <w:r w:rsidR="003675BE" w:rsidRPr="00182C49">
        <w:rPr>
          <w:rFonts w:cs="Arial"/>
          <w:szCs w:val="24"/>
        </w:rPr>
        <w:t>,</w:t>
      </w:r>
      <w:r w:rsidR="003A62DA" w:rsidRPr="00182C49">
        <w:rPr>
          <w:rFonts w:cs="Arial"/>
          <w:szCs w:val="24"/>
        </w:rPr>
        <w:t xml:space="preserve"> </w:t>
      </w:r>
      <w:r w:rsidR="00223DF4" w:rsidRPr="00182C49">
        <w:rPr>
          <w:rFonts w:cs="Arial"/>
          <w:szCs w:val="24"/>
        </w:rPr>
        <w:t xml:space="preserve">han revelado </w:t>
      </w:r>
      <w:r w:rsidR="00835AEF" w:rsidRPr="00182C49">
        <w:rPr>
          <w:rFonts w:cs="Arial"/>
          <w:szCs w:val="24"/>
        </w:rPr>
        <w:t>respuestas</w:t>
      </w:r>
      <w:r w:rsidR="003675BE" w:rsidRPr="00182C49">
        <w:rPr>
          <w:rFonts w:cs="Arial"/>
          <w:szCs w:val="24"/>
        </w:rPr>
        <w:t xml:space="preserve"> </w:t>
      </w:r>
      <w:r w:rsidR="00835AEF" w:rsidRPr="00182C49">
        <w:rPr>
          <w:rFonts w:cs="Arial"/>
          <w:szCs w:val="24"/>
        </w:rPr>
        <w:t xml:space="preserve">idénticas </w:t>
      </w:r>
      <w:r w:rsidR="003675BE" w:rsidRPr="00182C49">
        <w:rPr>
          <w:rFonts w:cs="Arial"/>
          <w:szCs w:val="24"/>
        </w:rPr>
        <w:t>a</w:t>
      </w:r>
      <w:r w:rsidR="008D77EA" w:rsidRPr="00182C49">
        <w:rPr>
          <w:rFonts w:cs="Arial"/>
          <w:szCs w:val="24"/>
        </w:rPr>
        <w:t>l</w:t>
      </w:r>
      <w:r w:rsidR="003675BE" w:rsidRPr="00182C49">
        <w:rPr>
          <w:rFonts w:cs="Arial"/>
          <w:szCs w:val="24"/>
        </w:rPr>
        <w:t xml:space="preserve"> estrés térmico. </w:t>
      </w:r>
      <w:r w:rsidR="00E568C8" w:rsidRPr="004A7D39">
        <w:rPr>
          <w:rFonts w:cs="Arial"/>
          <w:i/>
          <w:szCs w:val="24"/>
          <w:lang w:val="es-MX"/>
        </w:rPr>
        <w:t xml:space="preserve">En P. </w:t>
      </w:r>
      <w:r w:rsidR="002509C3" w:rsidRPr="004A7D39">
        <w:rPr>
          <w:rFonts w:cs="Arial"/>
          <w:i/>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w:t>
      </w:r>
      <w:r w:rsidR="00205909" w:rsidRPr="004A7D39">
        <w:rPr>
          <w:rFonts w:cs="Arial"/>
          <w:i/>
          <w:szCs w:val="24"/>
          <w:lang w:val="es-MX"/>
        </w:rPr>
        <w:t>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6979FD">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[73]","plainTextFormattedCitation":"[73]","previouslyFormattedCitation":"[73]"},"properties":{"noteIndex":0},"schema":"https://github.com/citation-style-language/schema/raw/master/csl-citation.json"}</w:instrText>
      </w:r>
      <w:r w:rsidR="008D77EA" w:rsidRPr="001133CE">
        <w:rPr>
          <w:rFonts w:cs="Arial"/>
          <w:szCs w:val="24"/>
          <w:lang w:val="es-MX"/>
        </w:rPr>
        <w:fldChar w:fldCharType="separate"/>
      </w:r>
      <w:r w:rsidR="00182C49" w:rsidRPr="00182C49">
        <w:rPr>
          <w:rFonts w:cs="Arial"/>
          <w:noProof/>
          <w:szCs w:val="24"/>
          <w:lang w:val="es-MX"/>
        </w:rPr>
        <w:t>[73]</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r w:rsidR="004A7D39">
        <w:rPr>
          <w:rFonts w:cs="Arial"/>
          <w:szCs w:val="24"/>
          <w:lang w:val="es-MX"/>
        </w:rPr>
        <w:t xml:space="preserve"> </w:t>
      </w:r>
      <w:r w:rsidR="004A7D39" w:rsidRPr="004A7D39">
        <w:rPr>
          <w:rFonts w:cs="Arial"/>
          <w:i/>
          <w:szCs w:val="24"/>
          <w:lang w:val="es-MX"/>
        </w:rPr>
        <w:t>N crassa</w:t>
      </w:r>
      <w:r w:rsidR="004A7D39">
        <w:rPr>
          <w:rFonts w:cs="Arial"/>
          <w:szCs w:val="24"/>
          <w:lang w:val="es-MX"/>
        </w:rPr>
        <w:t>, donde la activación constitutiva de las señal de GNA-1 influyó negativativamente sobre la sensibilidad a temperaturas mayores a 50°C</w:t>
      </w:r>
      <w:r w:rsidR="004A7D39">
        <w:rPr>
          <w:rFonts w:cs="Arial"/>
          <w:szCs w:val="24"/>
          <w:lang w:val="es-MX"/>
        </w:rPr>
        <w:fldChar w:fldCharType="begin" w:fldLock="1"/>
      </w:r>
      <w:r w:rsidR="0086189A">
        <w:rPr>
          <w:rFonts w:cs="Arial"/>
          <w:szCs w:val="24"/>
          <w:lang w:val="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A7D39">
        <w:rPr>
          <w:rFonts w:cs="Arial"/>
          <w:szCs w:val="24"/>
          <w:lang w:val="es-MX"/>
        </w:rPr>
        <w:fldChar w:fldCharType="separate"/>
      </w:r>
      <w:r w:rsidR="004A7D39" w:rsidRPr="004A7D39">
        <w:rPr>
          <w:rFonts w:cs="Arial"/>
          <w:noProof/>
          <w:szCs w:val="24"/>
          <w:lang w:val="es-MX"/>
        </w:rPr>
        <w:t>[40]</w:t>
      </w:r>
      <w:r w:rsidR="004A7D39">
        <w:rPr>
          <w:rFonts w:cs="Arial"/>
          <w:szCs w:val="24"/>
          <w:lang w:val="es-MX"/>
        </w:rPr>
        <w:fldChar w:fldCharType="end"/>
      </w:r>
      <w:r w:rsidR="004A7D39">
        <w:rPr>
          <w:rFonts w:cs="Arial"/>
          <w:szCs w:val="24"/>
          <w:lang w:val="es-MX"/>
        </w:rPr>
        <w:t>.</w:t>
      </w:r>
    </w:p>
    <w:p w14:paraId="49AB3003" w14:textId="34044F57" w:rsidR="00DA5853" w:rsidRDefault="00383E49" w:rsidP="002323D7">
      <w:pPr>
        <w:spacing w:after="0" w:line="360" w:lineRule="auto"/>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4A7D39">
        <w:rPr>
          <w:rFonts w:cs="Arial"/>
          <w:i/>
          <w:szCs w:val="24"/>
          <w:lang w:val="es-ES"/>
        </w:rPr>
        <w:t xml:space="preserve">P. </w:t>
      </w:r>
      <w:r w:rsidR="002509C3" w:rsidRPr="004A7D39">
        <w:rPr>
          <w:rFonts w:cs="Arial"/>
          <w:i/>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6979FD">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6979FD" w:rsidRPr="006979FD">
        <w:rPr>
          <w:rFonts w:cs="Arial"/>
          <w:szCs w:val="24"/>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[74]","plainTextFormattedCitation":"[74]","previouslyFormattedCitation":"[74]"},"properties":{"noteIndex":0},"schema":"https://github.com/citation-style-language/schema/raw/master/csl-citation.json"}</w:instrText>
      </w:r>
      <w:r w:rsidR="0036291D" w:rsidRPr="001133CE">
        <w:rPr>
          <w:rFonts w:cs="Arial"/>
          <w:szCs w:val="24"/>
          <w:lang w:val="es-ES"/>
        </w:rPr>
        <w:fldChar w:fldCharType="separate"/>
      </w:r>
      <w:r w:rsidR="00182C49" w:rsidRPr="00182C49">
        <w:rPr>
          <w:rFonts w:cs="Arial"/>
          <w:noProof/>
          <w:szCs w:val="24"/>
        </w:rPr>
        <w:t>[74]</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6979FD">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[75]","plainTextFormattedCitation":"[75]","previouslyFormattedCitation":"[75]"},"properties":{"noteIndex":0},"schema":"https://github.com/citation-style-language/schema/raw/master/csl-citation.json"}</w:instrText>
      </w:r>
      <w:r w:rsidR="0036291D" w:rsidRPr="001133CE">
        <w:rPr>
          <w:rFonts w:cs="Arial"/>
          <w:szCs w:val="24"/>
          <w:lang w:val="es-ES"/>
        </w:rPr>
        <w:fldChar w:fldCharType="separate"/>
      </w:r>
      <w:r w:rsidR="00182C49" w:rsidRPr="00182C49">
        <w:rPr>
          <w:rFonts w:cs="Arial"/>
          <w:noProof/>
          <w:szCs w:val="24"/>
        </w:rPr>
        <w:t>[75]</w:t>
      </w:r>
      <w:r w:rsidR="0036291D" w:rsidRPr="001133CE">
        <w:rPr>
          <w:rFonts w:cs="Arial"/>
          <w:szCs w:val="24"/>
          <w:lang w:val="es-ES"/>
        </w:rPr>
        <w:fldChar w:fldCharType="end"/>
      </w:r>
      <w:r w:rsidR="00F47170" w:rsidRPr="003808EC">
        <w:rPr>
          <w:rFonts w:cs="Arial"/>
          <w:szCs w:val="24"/>
        </w:rPr>
        <w:t xml:space="preserve">), respectivamente, de </w:t>
      </w:r>
      <w:r w:rsidR="00F47170" w:rsidRPr="003808EC">
        <w:rPr>
          <w:rFonts w:cs="Arial"/>
          <w:i/>
          <w:szCs w:val="24"/>
        </w:rPr>
        <w:t>S. cerevisiae</w:t>
      </w:r>
      <w:r w:rsidR="00E42FFF" w:rsidRPr="003808EC">
        <w:rPr>
          <w:rFonts w:cs="Arial"/>
          <w:szCs w:val="24"/>
        </w:rPr>
        <w:t>, mostrando más del 70% de identidad</w:t>
      </w:r>
      <w:r w:rsidR="0096048C" w:rsidRPr="003808EC">
        <w:rPr>
          <w:rFonts w:cs="Arial"/>
          <w:szCs w:val="24"/>
        </w:rPr>
        <w:t xml:space="preserve"> en sus secuencias</w:t>
      </w:r>
      <w:r w:rsidR="007D0ADA" w:rsidRPr="003808EC">
        <w:rPr>
          <w:rFonts w:cs="Arial"/>
          <w:szCs w:val="24"/>
        </w:rPr>
        <w:t xml:space="preserve"> (Figura </w:t>
      </w:r>
      <w:r w:rsidR="00B713D3" w:rsidRPr="003808EC">
        <w:rPr>
          <w:rFonts w:cs="Arial"/>
          <w:szCs w:val="24"/>
        </w:rPr>
        <w:t>4</w:t>
      </w:r>
      <w:r w:rsidR="007D0ADA" w:rsidRPr="003808EC">
        <w:rPr>
          <w:rFonts w:cs="Arial"/>
          <w:szCs w:val="24"/>
        </w:rPr>
        <w:t>)</w:t>
      </w:r>
      <w:r w:rsidR="00E82704" w:rsidRPr="003808EC">
        <w:rPr>
          <w:rFonts w:cs="Arial"/>
          <w:szCs w:val="24"/>
        </w:rPr>
        <w:t xml:space="preserve">. </w:t>
      </w:r>
      <w:r w:rsidR="00E82704" w:rsidRPr="001133CE">
        <w:rPr>
          <w:rFonts w:cs="Arial"/>
          <w:szCs w:val="24"/>
          <w:lang w:val="es-MX"/>
        </w:rPr>
        <w:t xml:space="preserve">Por otro lado, en se observa un efecto opuesto cuando la subunidad Gα Pga1 se encuentra constitutivamente activa, provocando </w:t>
      </w:r>
      <w:r w:rsidR="00381EF7">
        <w:rPr>
          <w:rFonts w:cs="Arial"/>
          <w:szCs w:val="24"/>
          <w:lang w:val="es-MX"/>
        </w:rPr>
        <w:t xml:space="preserve">aumento de la </w:t>
      </w:r>
      <w:r w:rsidR="00E82704" w:rsidRPr="001133CE">
        <w:rPr>
          <w:rFonts w:cs="Arial"/>
          <w:szCs w:val="24"/>
          <w:lang w:val="es-MX"/>
        </w:rPr>
        <w:t>sensibilidad</w:t>
      </w:r>
      <w:r w:rsidR="00381EF7">
        <w:rPr>
          <w:rFonts w:cs="Arial"/>
          <w:szCs w:val="24"/>
          <w:lang w:val="es-MX"/>
        </w:rPr>
        <w:t xml:space="preserve"> a la temperatura elevada.</w:t>
      </w:r>
    </w:p>
    <w:p w14:paraId="17953A39" w14:textId="77777777" w:rsidR="00381EF7" w:rsidRPr="001133CE" w:rsidRDefault="00381EF7" w:rsidP="002323D7">
      <w:pPr>
        <w:spacing w:after="0" w:line="360" w:lineRule="auto"/>
        <w:rPr>
          <w:rFonts w:cs="Arial"/>
          <w:szCs w:val="24"/>
          <w:lang w:val="es-MX"/>
        </w:rPr>
      </w:pPr>
    </w:p>
    <w:p w14:paraId="572096E4" w14:textId="50A22935" w:rsidR="00DA5853" w:rsidRPr="001133CE" w:rsidRDefault="009B5FEF" w:rsidP="002323D7">
      <w:pPr>
        <w:spacing w:after="0" w:line="360" w:lineRule="auto"/>
        <w:rPr>
          <w:rFonts w:cs="Arial"/>
          <w:szCs w:val="24"/>
          <w:lang w:val="es-MX"/>
        </w:rPr>
      </w:pPr>
      <w:r>
        <w:rPr>
          <w:rFonts w:cs="Arial"/>
          <w:szCs w:val="24"/>
          <w:lang w:val="es-ES"/>
        </w:rPr>
        <w:t>En N.</w:t>
      </w:r>
      <w:r w:rsidRPr="001133CE">
        <w:rPr>
          <w:rFonts w:cs="Arial"/>
          <w:szCs w:val="24"/>
          <w:lang w:val="es-ES"/>
        </w:rPr>
        <w:t xml:space="preserve"> crassa, otro fenómeno fisiológico asociado a las proteínas G es la respuesta a choque térmico </w:t>
      </w:r>
      <w:r w:rsidRPr="001133CE">
        <w:rPr>
          <w:rFonts w:cs="Arial"/>
          <w:szCs w:val="24"/>
          <w:lang w:val="es-ES"/>
        </w:rPr>
        <w:fldChar w:fldCharType="begin" w:fldLock="1"/>
      </w:r>
      <w:r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Pr>
          <w:rFonts w:cs="Arial"/>
          <w:szCs w:val="24"/>
          <w:lang w:val="es-ES"/>
        </w:rPr>
        <w:t xml:space="preserve"> La subunidad Gα,</w:t>
      </w:r>
      <w:r w:rsidRPr="001133CE">
        <w:rPr>
          <w:rFonts w:cs="Arial"/>
          <w:szCs w:val="24"/>
          <w:lang w:val="es-ES"/>
        </w:rPr>
        <w:t xml:space="preserve"> GNA-1 influye negativamente en la resistencia a estrés térmico, posiblemente por modulación de los niveles de cAMP </w:t>
      </w:r>
      <w:r w:rsidRPr="001133CE">
        <w:rPr>
          <w:rFonts w:cs="Arial"/>
          <w:szCs w:val="24"/>
          <w:lang w:val="es-ES"/>
        </w:rPr>
        <w:fldChar w:fldCharType="begin" w:fldLock="1"/>
      </w:r>
      <w:r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Pr="001133CE">
        <w:rPr>
          <w:rFonts w:cs="Arial"/>
          <w:szCs w:val="24"/>
          <w:lang w:val="es-ES"/>
        </w:rPr>
        <w:fldChar w:fldCharType="separate"/>
      </w:r>
      <w:r w:rsidRPr="001133CE">
        <w:rPr>
          <w:rFonts w:cs="Arial"/>
          <w:noProof/>
          <w:szCs w:val="24"/>
          <w:lang w:val="es-ES"/>
        </w:rPr>
        <w:t>[22], [40]</w:t>
      </w:r>
      <w:r w:rsidRPr="001133CE">
        <w:rPr>
          <w:rFonts w:cs="Arial"/>
          <w:szCs w:val="24"/>
          <w:lang w:val="es-ES"/>
        </w:rPr>
        <w:fldChar w:fldCharType="end"/>
      </w:r>
      <w:r>
        <w:rPr>
          <w:rFonts w:cs="Arial"/>
          <w:szCs w:val="24"/>
          <w:lang w:val="es-ES"/>
        </w:rPr>
        <w:t xml:space="preserve">, los </w:t>
      </w:r>
      <w:r w:rsidR="004F3734">
        <w:rPr>
          <w:rFonts w:eastAsia="Times New Roman" w:cs="Arial"/>
          <w:szCs w:val="24"/>
          <w:lang w:val="es-ES" w:eastAsia="es-MX"/>
        </w:rPr>
        <w:t>niveles</w:t>
      </w:r>
      <w:r>
        <w:rPr>
          <w:rFonts w:eastAsia="Times New Roman" w:cs="Arial"/>
          <w:szCs w:val="24"/>
          <w:lang w:val="es-ES" w:eastAsia="es-MX"/>
        </w:rPr>
        <w:t xml:space="preserve"> bajos</w:t>
      </w:r>
      <w:r w:rsidR="004F3734">
        <w:rPr>
          <w:rFonts w:eastAsia="Times New Roman" w:cs="Arial"/>
          <w:szCs w:val="24"/>
          <w:lang w:val="es-ES" w:eastAsia="es-MX"/>
        </w:rPr>
        <w:t xml:space="preserve"> de cAMP y subsecuente baja actividad de la PKA</w:t>
      </w:r>
      <w:r w:rsidR="00381EF7">
        <w:rPr>
          <w:rFonts w:eastAsia="Times New Roman" w:cs="Arial"/>
          <w:szCs w:val="24"/>
          <w:lang w:val="es-ES" w:eastAsia="es-MX"/>
        </w:rPr>
        <w:t xml:space="preserve"> </w:t>
      </w:r>
      <w:r w:rsidR="004F3734">
        <w:rPr>
          <w:rFonts w:eastAsia="Times New Roman" w:cs="Arial"/>
          <w:szCs w:val="24"/>
          <w:lang w:val="es-ES" w:eastAsia="es-MX"/>
        </w:rPr>
        <w:t xml:space="preserve">da resistencia a temperaturas letales </w:t>
      </w:r>
      <w:r>
        <w:rPr>
          <w:rFonts w:eastAsia="Times New Roman" w:cs="Arial"/>
          <w:szCs w:val="24"/>
          <w:lang w:val="es-ES" w:eastAsia="es-MX"/>
        </w:rPr>
        <w:t xml:space="preserve">(&gt;50°C) </w:t>
      </w:r>
      <w:r w:rsidR="004F3734">
        <w:rPr>
          <w:rFonts w:eastAsia="Times New Roman" w:cs="Arial"/>
          <w:szCs w:val="24"/>
          <w:lang w:val="es-ES" w:eastAsia="es-MX"/>
        </w:rPr>
        <w:t>en N</w:t>
      </w:r>
      <w:r>
        <w:rPr>
          <w:rFonts w:eastAsia="Times New Roman" w:cs="Arial"/>
          <w:szCs w:val="24"/>
          <w:lang w:val="es-ES" w:eastAsia="es-MX"/>
        </w:rPr>
        <w:t>.</w:t>
      </w:r>
      <w:r w:rsidR="004F3734">
        <w:rPr>
          <w:rFonts w:eastAsia="Times New Roman" w:cs="Arial"/>
          <w:szCs w:val="24"/>
          <w:lang w:val="es-ES" w:eastAsia="es-MX"/>
        </w:rPr>
        <w:t xml:space="preserve"> </w:t>
      </w:r>
      <w:r w:rsidR="004F3734" w:rsidRPr="009B5FEF">
        <w:rPr>
          <w:rFonts w:eastAsia="Times New Roman" w:cs="Arial"/>
          <w:i/>
          <w:szCs w:val="24"/>
          <w:lang w:val="es-ES" w:eastAsia="es-MX"/>
        </w:rPr>
        <w:t>cras</w:t>
      </w:r>
      <w:r w:rsidRPr="009B5FEF">
        <w:rPr>
          <w:rFonts w:eastAsia="Times New Roman" w:cs="Arial"/>
          <w:i/>
          <w:szCs w:val="24"/>
          <w:lang w:val="es-ES" w:eastAsia="es-MX"/>
        </w:rPr>
        <w:t>sa y S</w:t>
      </w:r>
      <w:r w:rsidR="004F3734" w:rsidRPr="009B5FEF">
        <w:rPr>
          <w:rFonts w:eastAsia="Times New Roman" w:cs="Arial"/>
          <w:i/>
          <w:szCs w:val="24"/>
          <w:lang w:val="es-ES" w:eastAsia="es-MX"/>
        </w:rPr>
        <w:t xml:space="preserve"> cerevisiae</w:t>
      </w:r>
      <w:r w:rsidR="004F3734">
        <w:rPr>
          <w:rFonts w:eastAsia="Times New Roman" w:cs="Arial"/>
          <w:szCs w:val="24"/>
          <w:lang w:val="es-ES" w:eastAsia="es-MX"/>
        </w:rPr>
        <w:t xml:space="preserve"> </w:t>
      </w:r>
      <w:r>
        <w:rPr>
          <w:rFonts w:eastAsia="Times New Roman" w:cs="Arial"/>
          <w:szCs w:val="24"/>
          <w:lang w:val="es-ES" w:eastAsia="es-MX"/>
        </w:rPr>
        <w:t>mientras que la PKA activa constitutivamente los hace más sensible a altas temperaturas</w:t>
      </w:r>
      <w:r w:rsidRPr="001133CE">
        <w:rPr>
          <w:rFonts w:cs="Arial"/>
          <w:szCs w:val="24"/>
          <w:lang w:val="es-ES"/>
        </w:rPr>
        <w:t xml:space="preserve"> </w:t>
      </w:r>
      <w:r w:rsidR="004F3734">
        <w:rPr>
          <w:rFonts w:eastAsia="Times New Roman" w:cs="Arial"/>
          <w:szCs w:val="24"/>
          <w:lang w:val="es-ES" w:eastAsia="es-MX"/>
        </w:rPr>
        <w:fldChar w:fldCharType="begin" w:fldLock="1"/>
      </w:r>
      <w:r w:rsidR="004F3734">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sidR="004F3734">
        <w:rPr>
          <w:rFonts w:eastAsia="Times New Roman" w:cs="Arial"/>
          <w:szCs w:val="24"/>
          <w:lang w:val="es-ES" w:eastAsia="es-MX"/>
        </w:rPr>
        <w:fldChar w:fldCharType="separate"/>
      </w:r>
      <w:r w:rsidR="004F3734" w:rsidRPr="008E7700">
        <w:rPr>
          <w:rFonts w:eastAsia="Times New Roman" w:cs="Arial"/>
          <w:noProof/>
          <w:szCs w:val="24"/>
          <w:lang w:val="es-ES" w:eastAsia="es-MX"/>
        </w:rPr>
        <w:t>[40]</w:t>
      </w:r>
      <w:r w:rsidR="004F3734">
        <w:rPr>
          <w:rFonts w:eastAsia="Times New Roman" w:cs="Arial"/>
          <w:szCs w:val="24"/>
          <w:lang w:val="es-ES" w:eastAsia="es-MX"/>
        </w:rPr>
        <w:fldChar w:fldCharType="end"/>
      </w:r>
      <w:r w:rsidR="004F3734">
        <w:rPr>
          <w:rFonts w:eastAsia="Times New Roman" w:cs="Arial"/>
          <w:szCs w:val="24"/>
          <w:lang w:val="es-ES" w:eastAsia="es-MX"/>
        </w:rPr>
        <w:t xml:space="preserve"> </w:t>
      </w:r>
      <w:r>
        <w:rPr>
          <w:rFonts w:eastAsia="Times New Roman" w:cs="Arial"/>
          <w:szCs w:val="24"/>
          <w:lang w:val="es-ES" w:eastAsia="es-MX"/>
        </w:rPr>
        <w:t xml:space="preserve"> Por </w:t>
      </w:r>
      <w:r w:rsidRPr="001133CE">
        <w:rPr>
          <w:rFonts w:cs="Arial"/>
          <w:szCs w:val="24"/>
          <w:lang w:val="es-ES"/>
        </w:rPr>
        <w:t xml:space="preserve">otro lado, se ha asociado la producción de carotenoides con la resistencia a estrés oxidativo, la cual es a menudo, relacionada </w:t>
      </w:r>
      <w:r>
        <w:rPr>
          <w:rFonts w:cs="Arial"/>
          <w:szCs w:val="24"/>
          <w:lang w:val="es-ES"/>
        </w:rPr>
        <w:t xml:space="preserve">con tolerancia a estrés térmico; </w:t>
      </w:r>
      <w:r w:rsidR="004F3734">
        <w:rPr>
          <w:rFonts w:eastAsia="Times New Roman" w:cs="Arial"/>
          <w:szCs w:val="24"/>
          <w:lang w:val="es-ES" w:eastAsia="es-MX"/>
        </w:rPr>
        <w:t xml:space="preserve"> ruta independiente de los elementos promotores de choque térmico HSEs y del factor de transcripción de choque térmico Hsf1p</w:t>
      </w:r>
      <w:r>
        <w:rPr>
          <w:rFonts w:eastAsia="Times New Roman" w:cs="Arial"/>
          <w:szCs w:val="24"/>
          <w:lang w:val="es-ES" w:eastAsia="es-MX"/>
        </w:rPr>
        <w:t xml:space="preserve"> </w:t>
      </w:r>
      <w:r>
        <w:rPr>
          <w:rFonts w:eastAsia="Times New Roman" w:cs="Arial"/>
          <w:szCs w:val="24"/>
          <w:lang w:val="es-ES" w:eastAsia="es-MX"/>
        </w:rPr>
        <w:fldChar w:fldCharType="begin" w:fldLock="1"/>
      </w:r>
      <w:r w:rsidR="007508C9">
        <w:rPr>
          <w:rFonts w:eastAsia="Times New Roman" w:cs="Arial"/>
          <w:szCs w:val="24"/>
          <w:lang w:val="es-ES" w:eastAsia="es-MX"/>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6bf9e434-0e9a-452e-9be7-228baec9ad9e"]}],"mendeley":{"formattedCitation":"[40]","plainTextFormattedCitation":"[40]","previouslyFormattedCitation":"[40]"},"properties":{"noteIndex":0},"schema":"https://github.com/citation-style-language/schema/raw/master/csl-citation.json"}</w:instrText>
      </w:r>
      <w:r>
        <w:rPr>
          <w:rFonts w:eastAsia="Times New Roman" w:cs="Arial"/>
          <w:szCs w:val="24"/>
          <w:lang w:val="es-ES" w:eastAsia="es-MX"/>
        </w:rPr>
        <w:fldChar w:fldCharType="separate"/>
      </w:r>
      <w:r w:rsidRPr="009B5FEF">
        <w:rPr>
          <w:rFonts w:eastAsia="Times New Roman" w:cs="Arial"/>
          <w:noProof/>
          <w:szCs w:val="24"/>
          <w:lang w:val="es-ES" w:eastAsia="es-MX"/>
        </w:rPr>
        <w:t>[40]</w:t>
      </w:r>
      <w:r>
        <w:rPr>
          <w:rFonts w:eastAsia="Times New Roman" w:cs="Arial"/>
          <w:szCs w:val="24"/>
          <w:lang w:val="es-ES" w:eastAsia="es-MX"/>
        </w:rPr>
        <w:fldChar w:fldCharType="end"/>
      </w:r>
    </w:p>
    <w:p w14:paraId="0724C47C" w14:textId="66E64773" w:rsidR="00DA5853" w:rsidRDefault="00DA5853" w:rsidP="002323D7">
      <w:pPr>
        <w:spacing w:after="0" w:line="360" w:lineRule="auto"/>
        <w:rPr>
          <w:rFonts w:cs="Arial"/>
          <w:szCs w:val="24"/>
          <w:lang w:val="es-MX"/>
        </w:rPr>
      </w:pPr>
    </w:p>
    <w:p w14:paraId="2B4FE6B0" w14:textId="598FF980" w:rsidR="00381EF7" w:rsidRPr="001133CE" w:rsidRDefault="00381EF7" w:rsidP="002323D7">
      <w:pPr>
        <w:spacing w:after="0" w:line="360" w:lineRule="auto"/>
        <w:rPr>
          <w:rFonts w:cs="Arial"/>
          <w:szCs w:val="24"/>
          <w:lang w:val="es-MX"/>
        </w:rPr>
      </w:pPr>
      <w:r>
        <w:rPr>
          <w:rFonts w:cs="Arial"/>
          <w:szCs w:val="24"/>
          <w:lang w:val="es-MX"/>
        </w:rPr>
        <w:t>El cAMP regula la señalización por unión a la subunidad reguladora de la PKA codificada por el gen mcb en N crassa, una vez se une, causa la disociación de la unidad catalítica de la PKA, facilitando la actividad quinasa. Mutaciones en el gen mcb que es recesivo en la cepa silvestre</w:t>
      </w:r>
      <w:r w:rsidR="007508C9">
        <w:rPr>
          <w:rFonts w:cs="Arial"/>
          <w:szCs w:val="24"/>
          <w:lang w:val="es-MX"/>
        </w:rPr>
        <w:t xml:space="preserve"> (la mutación cr-1 es epistatica a mcb), reduce las cantidades de proteína MCB, cuadando hiperactivación de la subunindad catalítica y lisis celular a 37°C aun cuando exista la cantidad adecuada de cAMP.</w:t>
      </w:r>
      <w:r w:rsidR="007508C9">
        <w:rPr>
          <w:rFonts w:cs="Arial"/>
          <w:szCs w:val="24"/>
          <w:lang w:val="es-MX"/>
        </w:rPr>
        <w:fldChar w:fldCharType="begin" w:fldLock="1"/>
      </w:r>
      <w:r w:rsidR="00A269F5">
        <w:rPr>
          <w:rFonts w:cs="Arial"/>
          <w:szCs w:val="24"/>
          <w:lang w:val="es-MX"/>
        </w:rPr>
        <w:instrText>ADDIN CSL_CITATION {"citationItems":[{"id":"ITEM-1","itemData":{"DOI":"10.1534/genetics.166.3.1229","ISBN":"0016-6731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A.","non-dropping-particle":"","parse-names":false,"suffix":""}],"container-title":"Genetics","id":"ITEM-1","issue":"3","issued":{"date-parts":[["2004"]]},"page":"1229-1240","title":"Severe Impairment of Growth and Differentiation in a Neurospora crassa Mutant Lacking All Heterotrimeric G?? Proteins","type":"article-journal","volume":"166"},"uris":["http://www.mendeley.com/documents/?uuid=8cf5f549-3160-4aa5-bf52-6d27fd2b1e26"]}],"mendeley":{"formattedCitation":"[43]","plainTextFormattedCitation":"[43]","previouslyFormattedCitation":"[43]"},"properties":{"noteIndex":0},"schema":"https://github.com/citation-style-language/schema/raw/master/csl-citation.json"}</w:instrText>
      </w:r>
      <w:r w:rsidR="007508C9">
        <w:rPr>
          <w:rFonts w:cs="Arial"/>
          <w:szCs w:val="24"/>
          <w:lang w:val="es-MX"/>
        </w:rPr>
        <w:fldChar w:fldCharType="separate"/>
      </w:r>
      <w:r w:rsidR="007508C9" w:rsidRPr="007508C9">
        <w:rPr>
          <w:rFonts w:cs="Arial"/>
          <w:noProof/>
          <w:szCs w:val="24"/>
          <w:lang w:val="es-MX"/>
        </w:rPr>
        <w:t>[43]</w:t>
      </w:r>
      <w:r w:rsidR="007508C9">
        <w:rPr>
          <w:rFonts w:cs="Arial"/>
          <w:szCs w:val="24"/>
          <w:lang w:val="es-MX"/>
        </w:rPr>
        <w:fldChar w:fldCharType="end"/>
      </w:r>
    </w:p>
    <w:p w14:paraId="26E3968E" w14:textId="5725C59C" w:rsidR="000713E6" w:rsidRPr="001133CE" w:rsidRDefault="007458E0" w:rsidP="002323D7">
      <w:pPr>
        <w:keepNext/>
        <w:spacing w:after="0" w:line="240" w:lineRule="auto"/>
        <w:rPr>
          <w:rFonts w:cs="Arial"/>
          <w:szCs w:val="24"/>
          <w:lang w:val="es-MX"/>
        </w:rPr>
      </w:pPr>
      <w:r w:rsidRPr="001133CE">
        <w:rPr>
          <w:rFonts w:cs="Arial"/>
          <w:noProof/>
          <w:szCs w:val="24"/>
          <w:lang w:val="es-MX" w:eastAsia="es-MX"/>
        </w:rPr>
        <w:drawing>
          <wp:inline distT="0" distB="0" distL="0" distR="0" wp14:anchorId="31B29248" wp14:editId="79370837">
            <wp:extent cx="5612130" cy="7239000"/>
            <wp:effectExtent l="0" t="0" r="7620" b="0"/>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39000"/>
                    </a:xfrm>
                    <a:prstGeom prst="rect">
                      <a:avLst/>
                    </a:prstGeom>
                    <a:noFill/>
                    <a:ln>
                      <a:noFill/>
                    </a:ln>
                  </pic:spPr>
                </pic:pic>
              </a:graphicData>
            </a:graphic>
          </wp:inline>
        </w:drawing>
      </w:r>
      <w:r w:rsidR="00B700A9" w:rsidRPr="009B5FEF">
        <w:rPr>
          <w:rFonts w:cs="Arial"/>
          <w:sz w:val="18"/>
          <w:szCs w:val="24"/>
          <w:lang w:val="es-MX"/>
        </w:rPr>
        <w:t xml:space="preserve">Figura </w:t>
      </w:r>
      <w:r w:rsidR="00B700A9" w:rsidRPr="009B5FEF">
        <w:rPr>
          <w:rFonts w:cs="Arial"/>
          <w:sz w:val="18"/>
          <w:szCs w:val="24"/>
        </w:rPr>
        <w:fldChar w:fldCharType="begin"/>
      </w:r>
      <w:r w:rsidR="00B700A9" w:rsidRPr="009B5FEF">
        <w:rPr>
          <w:rFonts w:cs="Arial"/>
          <w:sz w:val="18"/>
          <w:szCs w:val="24"/>
          <w:lang w:val="es-MX"/>
        </w:rPr>
        <w:instrText xml:space="preserve"> SEQ Figura \* ARABIC </w:instrText>
      </w:r>
      <w:r w:rsidR="00B700A9" w:rsidRPr="009B5FEF">
        <w:rPr>
          <w:rFonts w:cs="Arial"/>
          <w:sz w:val="18"/>
          <w:szCs w:val="24"/>
        </w:rPr>
        <w:fldChar w:fldCharType="separate"/>
      </w:r>
      <w:r w:rsidR="00B700A9" w:rsidRPr="009B5FEF">
        <w:rPr>
          <w:rFonts w:cs="Arial"/>
          <w:noProof/>
          <w:sz w:val="18"/>
          <w:szCs w:val="24"/>
          <w:lang w:val="es-MX"/>
        </w:rPr>
        <w:t>5</w:t>
      </w:r>
      <w:r w:rsidR="00B700A9" w:rsidRPr="009B5FEF">
        <w:rPr>
          <w:rFonts w:cs="Arial"/>
          <w:sz w:val="18"/>
          <w:szCs w:val="24"/>
        </w:rPr>
        <w:fldChar w:fldCharType="end"/>
      </w:r>
      <w:r w:rsidR="001133CE" w:rsidRPr="009B5FEF">
        <w:rPr>
          <w:rFonts w:cs="Arial"/>
          <w:sz w:val="18"/>
          <w:szCs w:val="24"/>
          <w:lang w:val="es-MX"/>
        </w:rPr>
        <w:t xml:space="preserve">.  </w:t>
      </w:r>
      <w:r w:rsidR="00B700A9" w:rsidRPr="009B5FEF">
        <w:rPr>
          <w:rFonts w:cs="Arial"/>
          <w:i/>
          <w:sz w:val="18"/>
          <w:szCs w:val="24"/>
          <w:lang w:val="es-MX"/>
        </w:rPr>
        <w:t xml:space="preserve">Proteínas ortólogas de varios hongos filamentosos identificadas a partir de proteínas asociadas a estrés </w:t>
      </w:r>
      <w:r w:rsidR="001133CE" w:rsidRPr="009B5FEF">
        <w:rPr>
          <w:rFonts w:cs="Arial"/>
          <w:i/>
          <w:sz w:val="18"/>
          <w:szCs w:val="24"/>
          <w:lang w:val="es-MX"/>
        </w:rPr>
        <w:t>Té</w:t>
      </w:r>
      <w:r w:rsidR="00B700A9" w:rsidRPr="009B5FEF">
        <w:rPr>
          <w:rFonts w:cs="Arial"/>
          <w:i/>
          <w:sz w:val="18"/>
          <w:szCs w:val="24"/>
          <w:lang w:val="es-MX"/>
        </w:rPr>
        <w:t>rmico (response to thermal stress: GO: 0009266)</w:t>
      </w:r>
      <w:r w:rsidR="001133CE" w:rsidRPr="009B5FEF">
        <w:rPr>
          <w:rFonts w:cs="Arial"/>
          <w:i/>
          <w:sz w:val="18"/>
          <w:szCs w:val="24"/>
          <w:lang w:val="es-MX"/>
        </w:rPr>
        <w:t xml:space="preserve"> en</w:t>
      </w:r>
      <w:r w:rsidR="00B700A9" w:rsidRPr="009B5FEF">
        <w:rPr>
          <w:rFonts w:cs="Arial"/>
          <w:sz w:val="18"/>
          <w:szCs w:val="24"/>
          <w:lang w:val="es-MX"/>
        </w:rPr>
        <w:t xml:space="preserve"> </w:t>
      </w:r>
      <w:r w:rsidR="001133CE" w:rsidRPr="009B5FEF">
        <w:rPr>
          <w:rFonts w:cs="Arial"/>
          <w:i/>
          <w:sz w:val="18"/>
          <w:szCs w:val="24"/>
          <w:lang w:val="es-MX"/>
        </w:rPr>
        <w:t>Saccharomyces cerevisiae</w:t>
      </w:r>
      <w:r w:rsidR="001133CE" w:rsidRPr="009B5FEF">
        <w:rPr>
          <w:rFonts w:cs="Arial"/>
          <w:sz w:val="18"/>
          <w:szCs w:val="24"/>
          <w:lang w:val="es-MX"/>
        </w:rPr>
        <w:t xml:space="preserve">.  </w:t>
      </w:r>
      <w:r w:rsidR="001133CE" w:rsidRPr="009B5FEF">
        <w:rPr>
          <w:rFonts w:cs="Arial"/>
          <w:i/>
          <w:sz w:val="18"/>
          <w:szCs w:val="24"/>
          <w:lang w:val="es-MX"/>
        </w:rPr>
        <w:t xml:space="preserve">Las proteínas fueron extraídas de la base de datos Saccharomyces Genome Database (SGD) manualmente curada e incluye el identificador de UniProtKB.  </w:t>
      </w:r>
      <w:r w:rsidR="001133CE" w:rsidRPr="009B5FEF">
        <w:rPr>
          <w:rFonts w:cs="Arial"/>
          <w:i/>
          <w:sz w:val="18"/>
          <w:szCs w:val="18"/>
          <w:lang w:val="es-MX"/>
        </w:rPr>
        <w:t>En la parte superior se muestran la clasificación taxonómica y las</w:t>
      </w:r>
      <w:r w:rsidR="009B5FEF" w:rsidRPr="009B5FEF">
        <w:rPr>
          <w:rFonts w:cs="Arial"/>
          <w:i/>
          <w:sz w:val="18"/>
          <w:szCs w:val="18"/>
          <w:lang w:val="es-MX"/>
        </w:rPr>
        <w:t xml:space="preserve"> </w:t>
      </w:r>
      <w:r w:rsidR="001133CE" w:rsidRPr="009B5FEF">
        <w:rPr>
          <w:rFonts w:cs="Arial"/>
          <w:i/>
          <w:sz w:val="18"/>
          <w:szCs w:val="18"/>
          <w:lang w:val="es-MX"/>
        </w:rPr>
        <w:t>relaciones filogenéticas entre los 14 hongos filamentosos analizados en función de las proteínas que participan en la respuesta a estrés osmótico en</w:t>
      </w:r>
      <w:r w:rsidR="001133CE" w:rsidRPr="009B5FEF">
        <w:rPr>
          <w:rFonts w:cs="Arial"/>
          <w:sz w:val="18"/>
          <w:szCs w:val="18"/>
          <w:lang w:val="es-MX"/>
        </w:rPr>
        <w:t xml:space="preserve"> S. cerevisiae.</w:t>
      </w:r>
    </w:p>
    <w:p w14:paraId="7F82C039" w14:textId="6B5C5418" w:rsidR="00B700A9" w:rsidRDefault="00B700A9" w:rsidP="002323D7">
      <w:pPr>
        <w:spacing w:after="0" w:line="360" w:lineRule="auto"/>
        <w:rPr>
          <w:rFonts w:cs="Arial"/>
          <w:szCs w:val="24"/>
          <w:lang w:val="es-MX"/>
        </w:rPr>
      </w:pPr>
    </w:p>
    <w:p w14:paraId="0CAF1CCD" w14:textId="5996A46A" w:rsidR="009B5FEF" w:rsidRPr="001133CE" w:rsidRDefault="009B5FEF" w:rsidP="002323D7">
      <w:pPr>
        <w:spacing w:after="0" w:line="360" w:lineRule="auto"/>
        <w:rPr>
          <w:rFonts w:cs="Arial"/>
          <w:szCs w:val="24"/>
          <w:lang w:val="es-ES"/>
        </w:rPr>
      </w:pPr>
      <w:r w:rsidRPr="001133CE">
        <w:rPr>
          <w:rFonts w:eastAsia="Times New Roman" w:cs="Arial"/>
          <w:szCs w:val="24"/>
          <w:lang w:val="es-MX" w:eastAsia="es-MX"/>
        </w:rPr>
        <w:t xml:space="preserve">Un estudio de microarreglos relizado en </w:t>
      </w:r>
      <w:r w:rsidRPr="001133CE">
        <w:rPr>
          <w:rFonts w:eastAsia="Times New Roman" w:cs="Arial"/>
          <w:i/>
          <w:szCs w:val="24"/>
          <w:lang w:val="es-MX" w:eastAsia="es-MX"/>
        </w:rPr>
        <w:t>Cryphonectria parasítica</w:t>
      </w:r>
      <w:r w:rsidRPr="001133CE">
        <w:rPr>
          <w:rFonts w:eastAsia="Times New Roman" w:cs="Arial"/>
          <w:szCs w:val="24"/>
          <w:lang w:val="es-MX" w:eastAsia="es-MX"/>
        </w:rPr>
        <w:t xml:space="preserve"> demostró que las proteínas de choque térmico (HSP70) y glutation S-transferasa (GST) responden a estrés cuando éste es expuesto al hipovirus CHV1-EP713, y sugieren que esta respuesta es controlada por vías de señalización mediadas por proteínas G </w:t>
      </w:r>
      <w:r w:rsidRPr="001133CE">
        <w:rPr>
          <w:rFonts w:eastAsia="Times New Roman" w:cs="Arial"/>
          <w:szCs w:val="24"/>
          <w:lang w:val="es-MX" w:eastAsia="es-MX"/>
        </w:rPr>
        <w:fldChar w:fldCharType="begin" w:fldLock="1"/>
      </w:r>
      <w:r w:rsidR="006979FD">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[76]","plainTextFormattedCitation":"[76]","previouslyFormattedCitation":"[76]"},"properties":{"noteIndex":0},"schema":"https://github.com/citation-style-language/schema/raw/master/csl-citation.json"}</w:instrText>
      </w:r>
      <w:r w:rsidRPr="001133CE">
        <w:rPr>
          <w:rFonts w:eastAsia="Times New Roman" w:cs="Arial"/>
          <w:szCs w:val="24"/>
          <w:lang w:val="es-MX" w:eastAsia="es-MX"/>
        </w:rPr>
        <w:fldChar w:fldCharType="separate"/>
      </w:r>
      <w:r w:rsidR="00182C49" w:rsidRPr="00182C49">
        <w:rPr>
          <w:rFonts w:eastAsia="Times New Roman" w:cs="Arial"/>
          <w:noProof/>
          <w:szCs w:val="24"/>
          <w:lang w:val="es-MX" w:eastAsia="es-MX"/>
        </w:rPr>
        <w:t>[76]</w:t>
      </w:r>
      <w:r w:rsidRPr="001133CE">
        <w:rPr>
          <w:rFonts w:eastAsia="Times New Roman" w:cs="Arial"/>
          <w:szCs w:val="24"/>
          <w:lang w:val="es-MX" w:eastAsia="es-MX"/>
        </w:rPr>
        <w:fldChar w:fldCharType="end"/>
      </w:r>
    </w:p>
    <w:p w14:paraId="34F09BD8" w14:textId="77777777" w:rsidR="009B5FEF" w:rsidRPr="001133CE" w:rsidRDefault="009B5FEF" w:rsidP="002323D7">
      <w:pPr>
        <w:spacing w:after="0" w:line="360" w:lineRule="auto"/>
        <w:rPr>
          <w:rFonts w:cs="Arial"/>
          <w:szCs w:val="24"/>
          <w:lang w:val="es-MX"/>
        </w:rPr>
      </w:pPr>
      <w:r w:rsidRPr="001133CE">
        <w:rPr>
          <w:rFonts w:cs="Arial"/>
          <w:szCs w:val="24"/>
          <w:lang w:val="es-ES"/>
        </w:rPr>
        <w:t xml:space="preserve">Aunque estas chaperonas no han sido asociadas con las proteínas G en </w:t>
      </w:r>
      <w:r w:rsidRPr="009B5FEF">
        <w:rPr>
          <w:rFonts w:cs="Arial"/>
          <w:i/>
          <w:szCs w:val="24"/>
          <w:lang w:val="es-ES"/>
        </w:rPr>
        <w:t>S. cerevisiae,</w:t>
      </w:r>
      <w:r w:rsidRPr="001133CE">
        <w:rPr>
          <w:rFonts w:cs="Arial"/>
          <w:szCs w:val="24"/>
          <w:lang w:val="es-ES"/>
        </w:rPr>
        <w:t xml:space="preserve"> juegan un papel importante en la respuesta a choque térmico, en el caso de algunos hongos como </w:t>
      </w:r>
      <w:r w:rsidRPr="009B5FEF">
        <w:rPr>
          <w:rFonts w:cs="Arial"/>
          <w:i/>
          <w:szCs w:val="24"/>
          <w:lang w:val="es-ES"/>
        </w:rPr>
        <w:t>P. rubens</w:t>
      </w:r>
      <w:r w:rsidRPr="001133CE">
        <w:rPr>
          <w:rFonts w:cs="Arial"/>
          <w:szCs w:val="24"/>
          <w:lang w:val="es-ES"/>
        </w:rPr>
        <w:t xml:space="preserve"> se observa una relación entre proteínas implicadas en los mecanismos de respuesta a estrés térmico y la subunidad Gα de las proteínas G. </w:t>
      </w:r>
    </w:p>
    <w:p w14:paraId="124D1ED0" w14:textId="77777777" w:rsidR="009B5FEF" w:rsidRPr="001133CE" w:rsidRDefault="009B5FEF" w:rsidP="002323D7">
      <w:pPr>
        <w:spacing w:after="0" w:line="360" w:lineRule="auto"/>
        <w:rPr>
          <w:rFonts w:cs="Arial"/>
          <w:szCs w:val="24"/>
          <w:lang w:val="es-MX"/>
        </w:rPr>
      </w:pPr>
    </w:p>
    <w:p w14:paraId="682E028B" w14:textId="23351EBC" w:rsidR="0038365E" w:rsidRPr="000975FA" w:rsidRDefault="00B934EF" w:rsidP="002323D7">
      <w:pPr>
        <w:spacing w:after="0" w:line="360" w:lineRule="auto"/>
        <w:rPr>
          <w:lang w:val="es-MX"/>
        </w:rPr>
      </w:pPr>
      <w:r w:rsidRPr="000975FA">
        <w:rPr>
          <w:lang w:val="es-MX"/>
        </w:rPr>
        <w:br w:type="page"/>
      </w:r>
    </w:p>
    <w:p w14:paraId="7091AD27" w14:textId="352154FD" w:rsidR="00096D42" w:rsidRPr="00381EF7" w:rsidRDefault="00096D42" w:rsidP="004A3FDE">
      <w:pPr>
        <w:pStyle w:val="Ttulo1"/>
        <w:spacing w:before="0" w:line="360" w:lineRule="auto"/>
        <w:ind w:left="567"/>
        <w:rPr>
          <w:lang w:val="es-MX"/>
        </w:rPr>
      </w:pPr>
      <w:r w:rsidRPr="00381EF7">
        <w:rPr>
          <w:lang w:val="es-MX"/>
        </w:rPr>
        <w:t>REFERENCIAS</w:t>
      </w:r>
    </w:p>
    <w:p w14:paraId="7C749427" w14:textId="513E5304" w:rsidR="006979FD" w:rsidRPr="006979FD" w:rsidRDefault="00B934EF" w:rsidP="006979FD">
      <w:pPr>
        <w:widowControl w:val="0"/>
        <w:autoSpaceDE w:val="0"/>
        <w:autoSpaceDN w:val="0"/>
        <w:adjustRightInd w:val="0"/>
        <w:spacing w:after="0" w:line="360" w:lineRule="auto"/>
        <w:ind w:left="640" w:hanging="640"/>
        <w:rPr>
          <w:rFonts w:cs="Arial"/>
          <w:noProof/>
          <w:szCs w:val="24"/>
        </w:rPr>
      </w:pPr>
      <w:r w:rsidRPr="001133CE">
        <w:rPr>
          <w:rFonts w:cs="Arial"/>
          <w:szCs w:val="24"/>
          <w:lang w:val="es-MX"/>
        </w:rPr>
        <w:fldChar w:fldCharType="begin" w:fldLock="1"/>
      </w:r>
      <w:r w:rsidRPr="00381EF7">
        <w:rPr>
          <w:rFonts w:cs="Arial"/>
          <w:szCs w:val="24"/>
          <w:lang w:val="es-MX"/>
        </w:rPr>
        <w:instrText xml:space="preserve">ADDIN Mendeley Bibliography CSL_BIBLIOGRAPHY </w:instrText>
      </w:r>
      <w:r w:rsidRPr="001133CE">
        <w:rPr>
          <w:rFonts w:cs="Arial"/>
          <w:szCs w:val="24"/>
          <w:lang w:val="es-MX"/>
        </w:rPr>
        <w:fldChar w:fldCharType="separate"/>
      </w:r>
      <w:r w:rsidR="006979FD" w:rsidRPr="006979FD">
        <w:rPr>
          <w:rFonts w:cs="Arial"/>
          <w:noProof/>
          <w:szCs w:val="24"/>
        </w:rPr>
        <w:t>[1]</w:t>
      </w:r>
      <w:r w:rsidR="006979FD" w:rsidRPr="006979FD">
        <w:rPr>
          <w:rFonts w:cs="Arial"/>
          <w:noProof/>
          <w:szCs w:val="24"/>
        </w:rPr>
        <w:tab/>
        <w:t xml:space="preserve">S. Ghorai, S. P. Banik, D. Verma, S. Chowdhury, S. Mukherjee, and S. Khowala, “Fungal biotechnology in food and feed processing,” </w:t>
      </w:r>
      <w:r w:rsidR="006979FD" w:rsidRPr="006979FD">
        <w:rPr>
          <w:rFonts w:cs="Arial"/>
          <w:i/>
          <w:iCs/>
          <w:noProof/>
          <w:szCs w:val="24"/>
        </w:rPr>
        <w:t>Food Res. Int.</w:t>
      </w:r>
      <w:r w:rsidR="006979FD" w:rsidRPr="006979FD">
        <w:rPr>
          <w:rFonts w:cs="Arial"/>
          <w:noProof/>
          <w:szCs w:val="24"/>
        </w:rPr>
        <w:t>, vol. 42, no. 5–6, pp. 577–587, Jun. 2009.</w:t>
      </w:r>
    </w:p>
    <w:p w14:paraId="1F64A63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w:t>
      </w:r>
      <w:r w:rsidRPr="006979FD">
        <w:rPr>
          <w:rFonts w:cs="Arial"/>
          <w:noProof/>
          <w:szCs w:val="24"/>
        </w:rPr>
        <w:tab/>
        <w:t xml:space="preserve">F. Alberti, G. D. Foster, and A. M. Bailey, “Natural products from filamentous fungi and production by heterologous expression,” </w:t>
      </w:r>
      <w:r w:rsidRPr="006979FD">
        <w:rPr>
          <w:rFonts w:cs="Arial"/>
          <w:i/>
          <w:iCs/>
          <w:noProof/>
          <w:szCs w:val="24"/>
        </w:rPr>
        <w:t>Appl. Microbiol. Biotechnol.</w:t>
      </w:r>
    </w:p>
    <w:p w14:paraId="73484964"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w:t>
      </w:r>
      <w:r w:rsidRPr="006979FD">
        <w:rPr>
          <w:rFonts w:cs="Arial"/>
          <w:noProof/>
          <w:szCs w:val="24"/>
        </w:rPr>
        <w:tab/>
        <w:t xml:space="preserve">V. Meyer </w:t>
      </w:r>
      <w:r w:rsidRPr="006979FD">
        <w:rPr>
          <w:rFonts w:cs="Arial"/>
          <w:i/>
          <w:iCs/>
          <w:noProof/>
          <w:szCs w:val="24"/>
        </w:rPr>
        <w:t>et al.</w:t>
      </w:r>
      <w:r w:rsidRPr="006979FD">
        <w:rPr>
          <w:rFonts w:cs="Arial"/>
          <w:noProof/>
          <w:szCs w:val="24"/>
        </w:rPr>
        <w:t xml:space="preserve">, “Current challenges of research on filamentous fungi in relation to human welfare and a sustainable bio-economy: a white paper Fungal Biology and Biotechnology,” </w:t>
      </w:r>
      <w:r w:rsidRPr="006979FD">
        <w:rPr>
          <w:rFonts w:cs="Arial"/>
          <w:i/>
          <w:iCs/>
          <w:noProof/>
          <w:szCs w:val="24"/>
        </w:rPr>
        <w:t>Fungal Biol. Biotechnol.</w:t>
      </w:r>
      <w:r w:rsidRPr="006979FD">
        <w:rPr>
          <w:rFonts w:cs="Arial"/>
          <w:noProof/>
          <w:szCs w:val="24"/>
        </w:rPr>
        <w:t>, vol. 3, p. 6, 2016.</w:t>
      </w:r>
    </w:p>
    <w:p w14:paraId="373465E2"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w:t>
      </w:r>
      <w:r w:rsidRPr="006979FD">
        <w:rPr>
          <w:rFonts w:cs="Arial"/>
          <w:noProof/>
          <w:szCs w:val="24"/>
        </w:rPr>
        <w:tab/>
        <w:t xml:space="preserve">S. Challa, S. G. Uppin, M. S. Uppin, U. Pamidimukkala, and L. Vemu, “Diagnosis of filamentous fungi on tissue sections by immunohistochemistry using anti-aspergillus antibody,” </w:t>
      </w:r>
      <w:r w:rsidRPr="006979FD">
        <w:rPr>
          <w:rFonts w:cs="Arial"/>
          <w:i/>
          <w:iCs/>
          <w:noProof/>
          <w:szCs w:val="24"/>
        </w:rPr>
        <w:t>Med. Mycol.</w:t>
      </w:r>
      <w:r w:rsidRPr="006979FD">
        <w:rPr>
          <w:rFonts w:cs="Arial"/>
          <w:noProof/>
          <w:szCs w:val="24"/>
        </w:rPr>
        <w:t>, vol. 53, pp. 470–476, 2015.</w:t>
      </w:r>
    </w:p>
    <w:p w14:paraId="70355FF2"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w:t>
      </w:r>
      <w:r w:rsidRPr="006979FD">
        <w:rPr>
          <w:rFonts w:cs="Arial"/>
          <w:noProof/>
          <w:szCs w:val="24"/>
        </w:rPr>
        <w:tab/>
        <w:t xml:space="preserve">M. R. Islam, G. Tudryn, R. Bucinell, L. Schadler, and R. C. Picu, “Morphology and mechanics of fungal mycelium,” </w:t>
      </w:r>
      <w:r w:rsidRPr="006979FD">
        <w:rPr>
          <w:rFonts w:cs="Arial"/>
          <w:i/>
          <w:iCs/>
          <w:noProof/>
          <w:szCs w:val="24"/>
        </w:rPr>
        <w:t>Sci. Rep.</w:t>
      </w:r>
      <w:r w:rsidRPr="006979FD">
        <w:rPr>
          <w:rFonts w:cs="Arial"/>
          <w:noProof/>
          <w:szCs w:val="24"/>
        </w:rPr>
        <w:t>, vol. 7, no. 1, p. 13070, Dec. 2017.</w:t>
      </w:r>
    </w:p>
    <w:p w14:paraId="4AAEC6BE"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w:t>
      </w:r>
      <w:r w:rsidRPr="006979FD">
        <w:rPr>
          <w:rFonts w:cs="Arial"/>
          <w:noProof/>
          <w:szCs w:val="24"/>
        </w:rPr>
        <w:tab/>
        <w:t xml:space="preserve">L. H. Grimm, S. Kelly, R. Krull, and D. C. Hempel, “Morphology and productivity of filamentous fungi,” </w:t>
      </w:r>
      <w:r w:rsidRPr="006979FD">
        <w:rPr>
          <w:rFonts w:cs="Arial"/>
          <w:i/>
          <w:iCs/>
          <w:noProof/>
          <w:szCs w:val="24"/>
        </w:rPr>
        <w:t>Appl. Microbiol. Biotechnol.</w:t>
      </w:r>
      <w:r w:rsidRPr="006979FD">
        <w:rPr>
          <w:rFonts w:cs="Arial"/>
          <w:noProof/>
          <w:szCs w:val="24"/>
        </w:rPr>
        <w:t>, vol. 69, no. 4, pp. 375–384, Dec. 2005.</w:t>
      </w:r>
    </w:p>
    <w:p w14:paraId="2E0B3C5E"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[7]</w:t>
      </w:r>
      <w:r w:rsidRPr="006979FD">
        <w:rPr>
          <w:rFonts w:cs="Arial"/>
          <w:noProof/>
          <w:szCs w:val="24"/>
        </w:rPr>
        <w:tab/>
        <w:t xml:space="preserve">D. S. Hibbett </w:t>
      </w:r>
      <w:r w:rsidRPr="006979FD">
        <w:rPr>
          <w:rFonts w:cs="Arial"/>
          <w:i/>
          <w:iCs/>
          <w:noProof/>
          <w:szCs w:val="24"/>
        </w:rPr>
        <w:t>et al.</w:t>
      </w:r>
      <w:r w:rsidRPr="006979FD">
        <w:rPr>
          <w:rFonts w:cs="Arial"/>
          <w:noProof/>
          <w:szCs w:val="24"/>
        </w:rPr>
        <w:t xml:space="preserve">, “A higher-level phylogenetic classification of the Fungi,” </w:t>
      </w:r>
      <w:r w:rsidRPr="006979FD">
        <w:rPr>
          <w:rFonts w:cs="Arial"/>
          <w:i/>
          <w:iCs/>
          <w:noProof/>
          <w:szCs w:val="24"/>
        </w:rPr>
        <w:t>Mycol. Res.</w:t>
      </w:r>
      <w:r w:rsidRPr="006979FD">
        <w:rPr>
          <w:rFonts w:cs="Arial"/>
          <w:noProof/>
          <w:szCs w:val="24"/>
        </w:rPr>
        <w:t>, vol. 111, no. 5, pp. 509–547, May 2007.</w:t>
      </w:r>
    </w:p>
    <w:p w14:paraId="0017B7B9"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[8]</w:t>
      </w:r>
      <w:r w:rsidRPr="006979FD">
        <w:rPr>
          <w:rFonts w:cs="Arial"/>
          <w:noProof/>
          <w:szCs w:val="24"/>
        </w:rPr>
        <w:tab/>
        <w:t xml:space="preserve">M. V. Powers-Fletcher, B. A. Kendall, A. T. Griffin, and K. E. Hanson, “Filamentous Fungi,” in </w:t>
      </w:r>
      <w:r w:rsidRPr="006979FD">
        <w:rPr>
          <w:rFonts w:cs="Arial"/>
          <w:i/>
          <w:iCs/>
          <w:noProof/>
          <w:szCs w:val="24"/>
        </w:rPr>
        <w:t>Diagnostic Microbiology of the Immunocompromised Host, Second Edition</w:t>
      </w:r>
      <w:r w:rsidRPr="006979FD">
        <w:rPr>
          <w:rFonts w:cs="Arial"/>
          <w:noProof/>
          <w:szCs w:val="24"/>
        </w:rPr>
        <w:t>, vol. 4, no. 3, American Society of Microbiology, 2016, pp. 311–341.</w:t>
      </w:r>
    </w:p>
    <w:p w14:paraId="28EFD1F5"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[9]</w:t>
      </w:r>
      <w:r w:rsidRPr="006979FD">
        <w:rPr>
          <w:rFonts w:cs="Arial"/>
          <w:noProof/>
          <w:szCs w:val="24"/>
        </w:rPr>
        <w:tab/>
        <w:t>H. Babich and G. Stotzky, “Abiotic Factors Affecting the Toxicity of Lead to Fungi,” 1979.</w:t>
      </w:r>
    </w:p>
    <w:p w14:paraId="13565BC1"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[10]</w:t>
      </w:r>
      <w:r w:rsidRPr="006979FD">
        <w:rPr>
          <w:rFonts w:cs="Arial"/>
          <w:noProof/>
          <w:szCs w:val="24"/>
        </w:rPr>
        <w:tab/>
        <w:t xml:space="preserve">T. Emri </w:t>
      </w:r>
      <w:r w:rsidRPr="006979FD">
        <w:rPr>
          <w:rFonts w:cs="Arial"/>
          <w:i/>
          <w:iCs/>
          <w:noProof/>
          <w:szCs w:val="24"/>
        </w:rPr>
        <w:t>et al.</w:t>
      </w:r>
      <w:r w:rsidRPr="006979FD">
        <w:rPr>
          <w:rFonts w:cs="Arial"/>
          <w:noProof/>
          <w:szCs w:val="24"/>
        </w:rPr>
        <w:t xml:space="preserve">, “Core oxidative stress response in Aspergillus nidulans,” </w:t>
      </w:r>
      <w:r w:rsidRPr="006979FD">
        <w:rPr>
          <w:rFonts w:cs="Arial"/>
          <w:i/>
          <w:iCs/>
          <w:noProof/>
          <w:szCs w:val="24"/>
        </w:rPr>
        <w:t>BMC Genomics</w:t>
      </w:r>
      <w:r w:rsidRPr="006979FD">
        <w:rPr>
          <w:rFonts w:cs="Arial"/>
          <w:noProof/>
          <w:szCs w:val="24"/>
        </w:rPr>
        <w:t>, vol. 16, no. 1, 2015.</w:t>
      </w:r>
    </w:p>
    <w:p w14:paraId="730AC19E"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[11]</w:t>
      </w:r>
      <w:r w:rsidRPr="006979FD">
        <w:rPr>
          <w:rFonts w:cs="Arial"/>
          <w:noProof/>
          <w:szCs w:val="24"/>
        </w:rPr>
        <w:tab/>
        <w:t xml:space="preserve">D. Kültz, “MOLECULAR AND EVOLUTIONARY BASIS OF THE CELLULAR STRESS RESPONSE,” </w:t>
      </w:r>
      <w:r w:rsidRPr="006979FD">
        <w:rPr>
          <w:rFonts w:cs="Arial"/>
          <w:i/>
          <w:iCs/>
          <w:noProof/>
          <w:szCs w:val="24"/>
        </w:rPr>
        <w:t>Annu. Rev. Physiol.</w:t>
      </w:r>
      <w:r w:rsidRPr="006979FD">
        <w:rPr>
          <w:rFonts w:cs="Arial"/>
          <w:noProof/>
          <w:szCs w:val="24"/>
        </w:rPr>
        <w:t>, vol. 67, no. 1, pp. 225–257, Mar. 2005.</w:t>
      </w:r>
    </w:p>
    <w:p w14:paraId="7EB2C7AD"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[12]</w:t>
      </w:r>
      <w:r w:rsidRPr="006979FD">
        <w:rPr>
          <w:rFonts w:cs="Arial"/>
          <w:noProof/>
          <w:szCs w:val="24"/>
        </w:rPr>
        <w:tab/>
        <w:t xml:space="preserve">D. Hagiwara, K. Sakamoto, K. Abe, and K. Gomi, “Signaling pathways for stress responses and adaptation in Aspergillus species: Stress biology in the post-genomic era,” </w:t>
      </w:r>
      <w:r w:rsidRPr="006979FD">
        <w:rPr>
          <w:rFonts w:cs="Arial"/>
          <w:i/>
          <w:iCs/>
          <w:noProof/>
          <w:szCs w:val="24"/>
        </w:rPr>
        <w:t>Biosci. Biotechnol. Biochem.</w:t>
      </w:r>
      <w:r w:rsidRPr="006979FD">
        <w:rPr>
          <w:rFonts w:cs="Arial"/>
          <w:noProof/>
          <w:szCs w:val="24"/>
        </w:rPr>
        <w:t>, vol. 80, no. 9, pp. 1667–1680, 2016.</w:t>
      </w:r>
    </w:p>
    <w:p w14:paraId="2BA32CAA"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[13]</w:t>
      </w:r>
      <w:r w:rsidRPr="006979FD">
        <w:rPr>
          <w:rFonts w:cs="Arial"/>
          <w:noProof/>
          <w:szCs w:val="24"/>
        </w:rPr>
        <w:tab/>
        <w:t>M. I. Simon, M. P. Strathmann, and N. Gautam, “Diversity of Proteins in Signal Transduction,” vol. 252, no. 5007, pp. 802–808, 1991.</w:t>
      </w:r>
    </w:p>
    <w:p w14:paraId="2DF53021"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[14]</w:t>
      </w:r>
      <w:r w:rsidRPr="006979FD">
        <w:rPr>
          <w:rFonts w:cs="Arial"/>
          <w:noProof/>
          <w:szCs w:val="24"/>
        </w:rPr>
        <w:tab/>
        <w:t xml:space="preserve">S. Rens-Domiano and H. E. Hamm, “Structural and functional relationships of heterotrimeric G-proteins,” </w:t>
      </w:r>
      <w:r w:rsidRPr="006979FD">
        <w:rPr>
          <w:rFonts w:cs="Arial"/>
          <w:i/>
          <w:iCs/>
          <w:noProof/>
          <w:szCs w:val="24"/>
        </w:rPr>
        <w:t>Faseb J</w:t>
      </w:r>
      <w:r w:rsidRPr="006979FD">
        <w:rPr>
          <w:rFonts w:cs="Arial"/>
          <w:noProof/>
          <w:szCs w:val="24"/>
        </w:rPr>
        <w:t>, vol. 9, no. 11, pp. 1059–1066, 1995.</w:t>
      </w:r>
    </w:p>
    <w:p w14:paraId="32442892"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[15]</w:t>
      </w:r>
      <w:r w:rsidRPr="006979FD">
        <w:rPr>
          <w:rFonts w:cs="Arial"/>
          <w:noProof/>
          <w:szCs w:val="24"/>
        </w:rPr>
        <w:tab/>
        <w:t xml:space="preserve">L. Li, S. J. Wright, S. Krystofova, G. Park, and K. A. Borkovich, “Heterotrimeric G Protein Signaling in Filamentous Fungi,” </w:t>
      </w:r>
      <w:r w:rsidRPr="006979FD">
        <w:rPr>
          <w:rFonts w:cs="Arial"/>
          <w:i/>
          <w:iCs/>
          <w:noProof/>
          <w:szCs w:val="24"/>
        </w:rPr>
        <w:t>Annu. Rev. Microbiol.</w:t>
      </w:r>
      <w:r w:rsidRPr="006979FD">
        <w:rPr>
          <w:rFonts w:cs="Arial"/>
          <w:noProof/>
          <w:szCs w:val="24"/>
        </w:rPr>
        <w:t>, vol. 61, no. 1, pp. 423–452, 2007.</w:t>
      </w:r>
    </w:p>
    <w:p w14:paraId="7BD546EC"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[16]</w:t>
      </w:r>
      <w:r w:rsidRPr="006979FD">
        <w:rPr>
          <w:rFonts w:cs="Arial"/>
          <w:noProof/>
          <w:szCs w:val="24"/>
        </w:rPr>
        <w:tab/>
        <w:t xml:space="preserve">S. Liu and R. a Dean, “G protein alpha subunit genes control growth, development, and pathogenicity of Magnaporthe grisea.,” </w:t>
      </w:r>
      <w:r w:rsidRPr="006979FD">
        <w:rPr>
          <w:rFonts w:cs="Arial"/>
          <w:i/>
          <w:iCs/>
          <w:noProof/>
          <w:szCs w:val="24"/>
        </w:rPr>
        <w:t>Mol. Plant. Microbe. Interact.</w:t>
      </w:r>
      <w:r w:rsidRPr="006979FD">
        <w:rPr>
          <w:rFonts w:cs="Arial"/>
          <w:noProof/>
          <w:szCs w:val="24"/>
        </w:rPr>
        <w:t>, vol. 10, no. 9, pp. 1075–86, 1997.</w:t>
      </w:r>
    </w:p>
    <w:p w14:paraId="400EBC6D"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[17]</w:t>
      </w:r>
      <w:r w:rsidRPr="006979FD">
        <w:rPr>
          <w:rFonts w:cs="Arial"/>
          <w:noProof/>
          <w:szCs w:val="24"/>
        </w:rPr>
        <w:tab/>
        <w:t xml:space="preserve">Y. Liu </w:t>
      </w:r>
      <w:r w:rsidRPr="006979FD">
        <w:rPr>
          <w:rFonts w:cs="Arial"/>
          <w:i/>
          <w:iCs/>
          <w:noProof/>
          <w:szCs w:val="24"/>
        </w:rPr>
        <w:t>et al.</w:t>
      </w:r>
      <w:r w:rsidRPr="006979FD">
        <w:rPr>
          <w:rFonts w:cs="Arial"/>
          <w:noProof/>
          <w:szCs w:val="24"/>
        </w:rPr>
        <w:t xml:space="preserve">, “G Protein α Subunit GpaB is Required for Asexual Development, Aflatoxin Biosynthesis and Pathogenicity by Regulating cAMP Signaling in Aspergillus flavus.,” </w:t>
      </w:r>
      <w:r w:rsidRPr="006979FD">
        <w:rPr>
          <w:rFonts w:cs="Arial"/>
          <w:i/>
          <w:iCs/>
          <w:noProof/>
          <w:szCs w:val="24"/>
        </w:rPr>
        <w:t>Toxins (Basel).</w:t>
      </w:r>
      <w:r w:rsidRPr="006979FD">
        <w:rPr>
          <w:rFonts w:cs="Arial"/>
          <w:noProof/>
          <w:szCs w:val="24"/>
        </w:rPr>
        <w:t>, vol. 10, no. 3, Mar. 2018.</w:t>
      </w:r>
    </w:p>
    <w:p w14:paraId="105F82A2"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[18]</w:t>
      </w:r>
      <w:r w:rsidRPr="006979FD">
        <w:rPr>
          <w:rFonts w:cs="Arial"/>
          <w:noProof/>
          <w:szCs w:val="24"/>
        </w:rPr>
        <w:tab/>
        <w:t xml:space="preserve">M. Bölker, “Sex and crime: Heterotrimeric G proteins in fungal mating and pathogenesis,” </w:t>
      </w:r>
      <w:r w:rsidRPr="006979FD">
        <w:rPr>
          <w:rFonts w:cs="Arial"/>
          <w:i/>
          <w:iCs/>
          <w:noProof/>
          <w:szCs w:val="24"/>
        </w:rPr>
        <w:t>Fungal Genet. Biol.</w:t>
      </w:r>
      <w:r w:rsidRPr="006979FD">
        <w:rPr>
          <w:rFonts w:cs="Arial"/>
          <w:noProof/>
          <w:szCs w:val="24"/>
        </w:rPr>
        <w:t>, vol. 25, no. 3, pp. 143–156, 1998.</w:t>
      </w:r>
    </w:p>
    <w:p w14:paraId="3B233CF2"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[19]</w:t>
      </w:r>
      <w:r w:rsidRPr="006979FD">
        <w:rPr>
          <w:rFonts w:cs="Arial"/>
          <w:noProof/>
          <w:szCs w:val="24"/>
        </w:rPr>
        <w:tab/>
        <w:t>C. G. Alvaro and J. Thorner, “Heterotrimeric G Protein-coupled Receptor Signaling in Yeast Mating Pheromone Response *,” 2016.</w:t>
      </w:r>
    </w:p>
    <w:p w14:paraId="51E5DD5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[20]</w:t>
      </w:r>
      <w:r w:rsidRPr="006979FD">
        <w:rPr>
          <w:rFonts w:cs="Arial"/>
          <w:noProof/>
          <w:szCs w:val="24"/>
        </w:rPr>
        <w:tab/>
        <w:t xml:space="preserve">G. M. TRUESDELL, Z. YANG, and M. B. DICKMAN, “A Gα subunit gene from the phytopathogenic fungus Colletotrichum trifolii is required for conidial germination,” </w:t>
      </w:r>
      <w:r w:rsidRPr="006979FD">
        <w:rPr>
          <w:rFonts w:cs="Arial"/>
          <w:i/>
          <w:iCs/>
          <w:noProof/>
          <w:szCs w:val="24"/>
        </w:rPr>
        <w:t>Physiol. Mol. Plant Pathol.</w:t>
      </w:r>
      <w:r w:rsidRPr="006979FD">
        <w:rPr>
          <w:rFonts w:cs="Arial"/>
          <w:noProof/>
          <w:szCs w:val="24"/>
        </w:rPr>
        <w:t>, vol. 56, no. 3, pp. 131–140, Mar. 2000.</w:t>
      </w:r>
    </w:p>
    <w:p w14:paraId="7A68384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[21]</w:t>
      </w:r>
      <w:r w:rsidRPr="006979FD">
        <w:rPr>
          <w:rFonts w:cs="Arial"/>
          <w:noProof/>
          <w:szCs w:val="24"/>
        </w:rPr>
        <w:tab/>
        <w:t xml:space="preserve">G. E. Turner and K. A. Borkovich, “Identification of a G protein α subunit from Neurospora crassa that is a member of the G(i) family,” </w:t>
      </w:r>
      <w:r w:rsidRPr="006979FD">
        <w:rPr>
          <w:rFonts w:cs="Arial"/>
          <w:i/>
          <w:iCs/>
          <w:noProof/>
          <w:szCs w:val="24"/>
        </w:rPr>
        <w:t>J. Biol. Chem.</w:t>
      </w:r>
      <w:r w:rsidRPr="006979FD">
        <w:rPr>
          <w:rFonts w:cs="Arial"/>
          <w:noProof/>
          <w:szCs w:val="24"/>
        </w:rPr>
        <w:t>, vol. 268, no. 20, pp. 14805–14811, 1993.</w:t>
      </w:r>
    </w:p>
    <w:p w14:paraId="0B42E89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[22]</w:t>
      </w:r>
      <w:r w:rsidRPr="006979FD">
        <w:rPr>
          <w:rFonts w:cs="Arial"/>
          <w:noProof/>
          <w:szCs w:val="24"/>
        </w:rPr>
        <w:tab/>
        <w:t xml:space="preserve">F. D. Ivey, P. N. Hodge, G. E. Turner, and K. A. Borkovich, “The G alpha i homologue gna-1 controls multiple differentiation pathways in Neurospora crassa,” </w:t>
      </w:r>
      <w:r w:rsidRPr="006979FD">
        <w:rPr>
          <w:rFonts w:cs="Arial"/>
          <w:i/>
          <w:iCs/>
          <w:noProof/>
          <w:szCs w:val="24"/>
        </w:rPr>
        <w:t>Mol Biol Cell</w:t>
      </w:r>
      <w:r w:rsidRPr="006979FD">
        <w:rPr>
          <w:rFonts w:cs="Arial"/>
          <w:noProof/>
          <w:szCs w:val="24"/>
        </w:rPr>
        <w:t>, vol. 7, no. 8, pp. 1283–1297, 1996.</w:t>
      </w:r>
    </w:p>
    <w:p w14:paraId="20E092CA"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[23]</w:t>
      </w:r>
      <w:r w:rsidRPr="006979FD">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6979FD">
        <w:rPr>
          <w:rFonts w:cs="Arial"/>
          <w:i/>
          <w:iCs/>
          <w:noProof/>
          <w:szCs w:val="24"/>
        </w:rPr>
        <w:t>Fungal Genet. Biol.</w:t>
      </w:r>
      <w:r w:rsidRPr="006979FD">
        <w:rPr>
          <w:rFonts w:cs="Arial"/>
          <w:noProof/>
          <w:szCs w:val="24"/>
        </w:rPr>
        <w:t>, vol. 48, no. 6, pp. 631–640, 2011.</w:t>
      </w:r>
    </w:p>
    <w:p w14:paraId="626C04E1"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[24]</w:t>
      </w:r>
      <w:r w:rsidRPr="006979FD">
        <w:rPr>
          <w:rFonts w:cs="Arial"/>
          <w:noProof/>
          <w:szCs w:val="24"/>
        </w:rPr>
        <w:tab/>
        <w:t xml:space="preserve">E. Regenfelder, T. Spellig, A. Hartmann, S. Lauenstein, M. Bölker, and R. Kahmann, “G proteins in Ustilago maydis: transmission of multiple signals?,” </w:t>
      </w:r>
      <w:r w:rsidRPr="006979FD">
        <w:rPr>
          <w:rFonts w:cs="Arial"/>
          <w:i/>
          <w:iCs/>
          <w:noProof/>
          <w:szCs w:val="24"/>
        </w:rPr>
        <w:t>EMBO J.</w:t>
      </w:r>
      <w:r w:rsidRPr="006979FD">
        <w:rPr>
          <w:rFonts w:cs="Arial"/>
          <w:noProof/>
          <w:szCs w:val="24"/>
        </w:rPr>
        <w:t>, vol. 16, no. 8, pp. 1934–1942, Apr. 1997.</w:t>
      </w:r>
    </w:p>
    <w:p w14:paraId="6504201A"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[25]</w:t>
      </w:r>
      <w:r w:rsidRPr="006979FD">
        <w:rPr>
          <w:rFonts w:cs="Arial"/>
          <w:noProof/>
          <w:szCs w:val="24"/>
        </w:rPr>
        <w:tab/>
        <w:t xml:space="preserve">H. Liu, A. Suresh, F. S. Willard, D. P. Siderovski, S. Lu, and N. I. Naqvi, “Rgs1 regulates multiple Gα subunits in Magnaporthe pathogenesis, asexual growth and thigmotropism,” </w:t>
      </w:r>
      <w:r w:rsidRPr="006979FD">
        <w:rPr>
          <w:rFonts w:cs="Arial"/>
          <w:i/>
          <w:iCs/>
          <w:noProof/>
          <w:szCs w:val="24"/>
        </w:rPr>
        <w:t>EMBO J.</w:t>
      </w:r>
      <w:r w:rsidRPr="006979FD">
        <w:rPr>
          <w:rFonts w:cs="Arial"/>
          <w:noProof/>
          <w:szCs w:val="24"/>
        </w:rPr>
        <w:t>, vol. 26, no. 3, pp. 690–700, Feb. 2007.</w:t>
      </w:r>
    </w:p>
    <w:p w14:paraId="6A5062A7"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[26]</w:t>
      </w:r>
      <w:r w:rsidRPr="006979FD">
        <w:rPr>
          <w:rFonts w:cs="Arial"/>
          <w:noProof/>
          <w:szCs w:val="24"/>
        </w:rPr>
        <w:tab/>
        <w:t xml:space="preserve">D. M. Berman, T. M. Wilkie, and A. G. Gilman, “GAIP and RGS4 are GTPase-activating proteins for the G(i) subfamily of G protein α subunits,” </w:t>
      </w:r>
      <w:r w:rsidRPr="006979FD">
        <w:rPr>
          <w:rFonts w:cs="Arial"/>
          <w:i/>
          <w:iCs/>
          <w:noProof/>
          <w:szCs w:val="24"/>
        </w:rPr>
        <w:t>Cell</w:t>
      </w:r>
      <w:r w:rsidRPr="006979FD">
        <w:rPr>
          <w:rFonts w:cs="Arial"/>
          <w:noProof/>
          <w:szCs w:val="24"/>
        </w:rPr>
        <w:t>, vol. 86, no. 3, pp. 445–452, 1996.</w:t>
      </w:r>
    </w:p>
    <w:p w14:paraId="28E59F6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[27]</w:t>
      </w:r>
      <w:r w:rsidRPr="006979FD">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6979FD">
        <w:rPr>
          <w:rFonts w:cs="Arial"/>
          <w:i/>
          <w:iCs/>
          <w:noProof/>
          <w:szCs w:val="24"/>
        </w:rPr>
        <w:t>Mol. Microbiol.</w:t>
      </w:r>
      <w:r w:rsidRPr="006979FD">
        <w:rPr>
          <w:rFonts w:cs="Arial"/>
          <w:noProof/>
          <w:szCs w:val="24"/>
        </w:rPr>
        <w:t>, vol. 53, no. 2, pp. 529–540, 2004.</w:t>
      </w:r>
    </w:p>
    <w:p w14:paraId="0C1FDF46"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[28]</w:t>
      </w:r>
      <w:r w:rsidRPr="006979FD">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6979FD">
        <w:rPr>
          <w:rFonts w:cs="Arial"/>
          <w:i/>
          <w:iCs/>
          <w:noProof/>
          <w:szCs w:val="24"/>
        </w:rPr>
        <w:t>Eukaryot. Cell</w:t>
      </w:r>
      <w:r w:rsidRPr="006979FD">
        <w:rPr>
          <w:rFonts w:cs="Arial"/>
          <w:noProof/>
          <w:szCs w:val="24"/>
        </w:rPr>
        <w:t>, vol. 1, no. 3, pp. 440–447, 2002.</w:t>
      </w:r>
    </w:p>
    <w:p w14:paraId="3DC53927"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[29]</w:t>
      </w:r>
      <w:r w:rsidRPr="006979FD">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6979FD">
        <w:rPr>
          <w:rFonts w:cs="Arial"/>
          <w:i/>
          <w:iCs/>
          <w:noProof/>
          <w:szCs w:val="24"/>
        </w:rPr>
        <w:t>Eukaryot. Cell</w:t>
      </w:r>
      <w:r w:rsidRPr="006979FD">
        <w:rPr>
          <w:rFonts w:cs="Arial"/>
          <w:noProof/>
          <w:szCs w:val="24"/>
        </w:rPr>
        <w:t>, vol. 1, no. 4, pp. 634–642, 2002.</w:t>
      </w:r>
    </w:p>
    <w:p w14:paraId="522E53E6"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[30]</w:t>
      </w:r>
      <w:r w:rsidRPr="006979FD">
        <w:rPr>
          <w:rFonts w:cs="Arial"/>
          <w:noProof/>
          <w:szCs w:val="24"/>
        </w:rPr>
        <w:tab/>
        <w:t xml:space="preserve">S. J. Wright, R. Inchausti, C. J. Eaton, S. Krystofova, K. A. Borkovich </w:t>
      </w:r>
      <w:dir w:val="rtl">
        <w:r w:rsidRPr="006979FD">
          <w:rPr>
            <w:rFonts w:cs="Arial"/>
            <w:noProof/>
            <w:szCs w:val="24"/>
          </w:rPr>
          <w:t xml:space="preserve">3, and ٭. </w:t>
        </w:r>
        <w:dir w:val="rtl">
          <w:r w:rsidRPr="006979FD">
            <w:rPr>
              <w:rFonts w:cs="Arial"/>
              <w:noProof/>
              <w:szCs w:val="24"/>
            </w:rPr>
            <w:t>٭</w:t>
          </w:r>
          <w:r w:rsidRPr="006979FD">
            <w:rPr>
              <w:rFonts w:cs="Arial"/>
              <w:noProof/>
              <w:szCs w:val="24"/>
            </w:rPr>
            <w:t>‬, “RIC8 is a guanine-nucleotide exchange factor for Gα subunits that regulates growth and development in Neurospora crassa.”</w:t>
          </w:r>
        </w:dir>
      </w:dir>
    </w:p>
    <w:p w14:paraId="56558A6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[31]</w:t>
      </w:r>
      <w:r w:rsidRPr="006979FD">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6979FD">
        <w:rPr>
          <w:rFonts w:cs="Arial"/>
          <w:i/>
          <w:iCs/>
          <w:noProof/>
          <w:szCs w:val="24"/>
        </w:rPr>
        <w:t>PLoS One</w:t>
      </w:r>
      <w:r w:rsidRPr="006979FD">
        <w:rPr>
          <w:rFonts w:cs="Arial"/>
          <w:noProof/>
          <w:szCs w:val="24"/>
        </w:rPr>
        <w:t>, vol. 7, no. 10, p. e48026, Oct. 2012.</w:t>
      </w:r>
    </w:p>
    <w:p w14:paraId="2AAA6D54"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[32]</w:t>
      </w:r>
      <w:r w:rsidRPr="006979FD">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6979FD">
        <w:rPr>
          <w:rFonts w:cs="Arial"/>
          <w:i/>
          <w:iCs/>
          <w:noProof/>
          <w:szCs w:val="24"/>
        </w:rPr>
        <w:t>BMC Microbiol.</w:t>
      </w:r>
      <w:r w:rsidRPr="006979FD">
        <w:rPr>
          <w:rFonts w:cs="Arial"/>
          <w:noProof/>
          <w:szCs w:val="24"/>
        </w:rPr>
        <w:t>, vol. 10, no. 1, p. 317, 2010.</w:t>
      </w:r>
    </w:p>
    <w:p w14:paraId="6730EAEF"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[33]</w:t>
      </w:r>
      <w:r w:rsidRPr="006979FD">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6979FD">
        <w:rPr>
          <w:rFonts w:cs="Arial"/>
          <w:i/>
          <w:iCs/>
          <w:noProof/>
          <w:szCs w:val="24"/>
        </w:rPr>
        <w:t>Biomolecules</w:t>
      </w:r>
      <w:r w:rsidRPr="006979FD">
        <w:rPr>
          <w:rFonts w:cs="Arial"/>
          <w:noProof/>
          <w:szCs w:val="24"/>
        </w:rPr>
        <w:t>, vol. 5, no. 2, pp. 318–42, Apr. 2015.</w:t>
      </w:r>
    </w:p>
    <w:p w14:paraId="5AB1AE3C"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[34]</w:t>
      </w:r>
      <w:r w:rsidRPr="006979FD">
        <w:rPr>
          <w:rFonts w:cs="Arial"/>
          <w:noProof/>
          <w:szCs w:val="24"/>
        </w:rPr>
        <w:tab/>
        <w:t xml:space="preserve">E. Birben, U. M. Sahiner, C. Sackesen, S. Erzurum, and O. Kalayci, “Oxidative stress and antioxidant defense.,” </w:t>
      </w:r>
      <w:r w:rsidRPr="006979FD">
        <w:rPr>
          <w:rFonts w:cs="Arial"/>
          <w:i/>
          <w:iCs/>
          <w:noProof/>
          <w:szCs w:val="24"/>
        </w:rPr>
        <w:t>World Allergy Organ. J.</w:t>
      </w:r>
      <w:r w:rsidRPr="006979FD">
        <w:rPr>
          <w:rFonts w:cs="Arial"/>
          <w:noProof/>
          <w:szCs w:val="24"/>
        </w:rPr>
        <w:t>, vol. 5, no. 1, pp. 9–19, Jan. 2012.</w:t>
      </w:r>
    </w:p>
    <w:p w14:paraId="6D7624B6"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[35]</w:t>
      </w:r>
      <w:r w:rsidRPr="006979FD">
        <w:rPr>
          <w:rFonts w:cs="Arial"/>
          <w:noProof/>
          <w:szCs w:val="24"/>
        </w:rPr>
        <w:tab/>
        <w:t xml:space="preserve">D. Trachootham, W. Lu, M. A. Ogasawara, R.-D. V. Nilsa, and P. Huang, “Redox regulation of cell survival.,” </w:t>
      </w:r>
      <w:r w:rsidRPr="006979FD">
        <w:rPr>
          <w:rFonts w:cs="Arial"/>
          <w:i/>
          <w:iCs/>
          <w:noProof/>
          <w:szCs w:val="24"/>
        </w:rPr>
        <w:t>Antioxid. Redox Signal.</w:t>
      </w:r>
      <w:r w:rsidRPr="006979FD">
        <w:rPr>
          <w:rFonts w:cs="Arial"/>
          <w:noProof/>
          <w:szCs w:val="24"/>
        </w:rPr>
        <w:t>, vol. 10, no. 8, pp. 1343–74, Aug. 2008.</w:t>
      </w:r>
    </w:p>
    <w:p w14:paraId="686B500D"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[36]</w:t>
      </w:r>
      <w:r w:rsidRPr="006979FD">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6979FD">
        <w:rPr>
          <w:rFonts w:cs="Arial"/>
          <w:i/>
          <w:iCs/>
          <w:noProof/>
          <w:szCs w:val="24"/>
        </w:rPr>
        <w:t>Int. Microbiol.</w:t>
      </w:r>
      <w:r w:rsidRPr="006979FD">
        <w:rPr>
          <w:rFonts w:cs="Arial"/>
          <w:noProof/>
          <w:szCs w:val="24"/>
        </w:rPr>
        <w:t>, vol. 12, no. 2, pp. 123–9, Jun. 2009.</w:t>
      </w:r>
    </w:p>
    <w:p w14:paraId="77EAFF53"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[37]</w:t>
      </w:r>
      <w:r w:rsidRPr="006979FD">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6979FD">
        <w:rPr>
          <w:rFonts w:cs="Arial"/>
          <w:i/>
          <w:iCs/>
          <w:noProof/>
          <w:szCs w:val="24"/>
        </w:rPr>
        <w:t>Fungal Genet. Biol.</w:t>
      </w:r>
      <w:r w:rsidRPr="006979FD">
        <w:rPr>
          <w:rFonts w:cs="Arial"/>
          <w:noProof/>
          <w:szCs w:val="24"/>
        </w:rPr>
        <w:t>, vol. 48, no. 6, pp. 641–649, 2011.</w:t>
      </w:r>
    </w:p>
    <w:p w14:paraId="0D5215FB"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[38]</w:t>
      </w:r>
      <w:r w:rsidRPr="006979FD">
        <w:rPr>
          <w:rFonts w:cs="Arial"/>
          <w:noProof/>
          <w:szCs w:val="24"/>
        </w:rPr>
        <w:tab/>
        <w:t xml:space="preserve">R. O. García-Rico </w:t>
      </w:r>
      <w:r w:rsidRPr="006979FD">
        <w:rPr>
          <w:rFonts w:cs="Arial"/>
          <w:i/>
          <w:iCs/>
          <w:noProof/>
          <w:szCs w:val="24"/>
        </w:rPr>
        <w:t>et al.</w:t>
      </w:r>
      <w:r w:rsidRPr="006979FD">
        <w:rPr>
          <w:rFonts w:cs="Arial"/>
          <w:noProof/>
          <w:szCs w:val="24"/>
        </w:rPr>
        <w:t xml:space="preserve">, “Heterotrimeric G protein alpha subunit controls growth, stress response, extracellular protease activity, and cyclopiazonic acid production in Penicillium camemberti,” </w:t>
      </w:r>
      <w:r w:rsidRPr="006979FD">
        <w:rPr>
          <w:rFonts w:cs="Arial"/>
          <w:i/>
          <w:iCs/>
          <w:noProof/>
          <w:szCs w:val="24"/>
        </w:rPr>
        <w:t>Fungal Biol.</w:t>
      </w:r>
      <w:r w:rsidRPr="006979FD">
        <w:rPr>
          <w:rFonts w:cs="Arial"/>
          <w:noProof/>
          <w:szCs w:val="24"/>
        </w:rPr>
        <w:t>, vol. 121, no. 9, pp. 754–762, Sep. 2017.</w:t>
      </w:r>
    </w:p>
    <w:p w14:paraId="2121F75B"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[39]</w:t>
      </w:r>
      <w:r w:rsidRPr="006979FD">
        <w:rPr>
          <w:rFonts w:cs="Arial"/>
          <w:noProof/>
          <w:szCs w:val="24"/>
        </w:rPr>
        <w:tab/>
        <w:t xml:space="preserve">U. Carrasco-Navarro </w:t>
      </w:r>
      <w:r w:rsidRPr="006979FD">
        <w:rPr>
          <w:rFonts w:cs="Arial"/>
          <w:i/>
          <w:iCs/>
          <w:noProof/>
          <w:szCs w:val="24"/>
        </w:rPr>
        <w:t>et al.</w:t>
      </w:r>
      <w:r w:rsidRPr="006979FD">
        <w:rPr>
          <w:rFonts w:cs="Arial"/>
          <w:noProof/>
          <w:szCs w:val="24"/>
        </w:rPr>
        <w:t xml:space="preserve">, “Proteomic analysis of the signaling pathway mediated by the heterotrimeric Ga protein Pga1 of Penicillium chrysogenum,” </w:t>
      </w:r>
      <w:r w:rsidRPr="006979FD">
        <w:rPr>
          <w:rFonts w:cs="Arial"/>
          <w:i/>
          <w:iCs/>
          <w:noProof/>
          <w:szCs w:val="24"/>
        </w:rPr>
        <w:t>Microb. Cell Fact.</w:t>
      </w:r>
      <w:r w:rsidRPr="006979FD">
        <w:rPr>
          <w:rFonts w:cs="Arial"/>
          <w:noProof/>
          <w:szCs w:val="24"/>
        </w:rPr>
        <w:t>, vol. 15, no. 1, pp. 1–17, 2016.</w:t>
      </w:r>
    </w:p>
    <w:p w14:paraId="2F1B283D"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[40]</w:t>
      </w:r>
      <w:r w:rsidRPr="006979FD">
        <w:rPr>
          <w:rFonts w:cs="Arial"/>
          <w:noProof/>
          <w:szCs w:val="24"/>
        </w:rPr>
        <w:tab/>
        <w:t xml:space="preserve">Q. Yang and K. A. Borkovich, “Mutational activation of a Gα(i) causes uncontrolled proliferation of aerial hyphae and increased sensitivity to heat and oxidative stress in Neurospora crassa,” </w:t>
      </w:r>
      <w:r w:rsidRPr="006979FD">
        <w:rPr>
          <w:rFonts w:cs="Arial"/>
          <w:i/>
          <w:iCs/>
          <w:noProof/>
          <w:szCs w:val="24"/>
        </w:rPr>
        <w:t>Genetics</w:t>
      </w:r>
      <w:r w:rsidRPr="006979FD">
        <w:rPr>
          <w:rFonts w:cs="Arial"/>
          <w:noProof/>
          <w:szCs w:val="24"/>
        </w:rPr>
        <w:t>, vol. 151, no. 1, pp. 107–117, 1999.</w:t>
      </w:r>
    </w:p>
    <w:p w14:paraId="3FE37F42"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[41]</w:t>
      </w:r>
      <w:r w:rsidRPr="006979FD">
        <w:rPr>
          <w:rFonts w:cs="Arial"/>
          <w:noProof/>
          <w:szCs w:val="24"/>
        </w:rPr>
        <w:tab/>
        <w:t xml:space="preserve">A. M. Kays, P. S. Rowley, R. A. Baasiri, and K. A. Borkovich, “Regulation of conidiation and adenylyl cyclase levels by the Galpha protein GNA-3 in Neurospora crassa,” </w:t>
      </w:r>
      <w:r w:rsidRPr="006979FD">
        <w:rPr>
          <w:rFonts w:cs="Arial"/>
          <w:i/>
          <w:iCs/>
          <w:noProof/>
          <w:szCs w:val="24"/>
        </w:rPr>
        <w:t>Mol Cell Biol</w:t>
      </w:r>
      <w:r w:rsidRPr="006979FD">
        <w:rPr>
          <w:rFonts w:cs="Arial"/>
          <w:noProof/>
          <w:szCs w:val="24"/>
        </w:rPr>
        <w:t>, vol. 20, no. 20, pp. 7693–7705, 2000.</w:t>
      </w:r>
    </w:p>
    <w:p w14:paraId="1595CB5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[42]</w:t>
      </w:r>
      <w:r w:rsidRPr="006979FD">
        <w:rPr>
          <w:rFonts w:cs="Arial"/>
          <w:noProof/>
          <w:szCs w:val="24"/>
        </w:rPr>
        <w:tab/>
        <w:t xml:space="preserve">F. D. Ivey, Q. Yang, and K. A. Borkovich, “Positive Regulation of Adenylyl Cyclase Activity by a GαiHomolog inNeurospora crassa,” </w:t>
      </w:r>
      <w:r w:rsidRPr="006979FD">
        <w:rPr>
          <w:rFonts w:cs="Arial"/>
          <w:i/>
          <w:iCs/>
          <w:noProof/>
          <w:szCs w:val="24"/>
        </w:rPr>
        <w:t>Fungal Genet. Biol.</w:t>
      </w:r>
      <w:r w:rsidRPr="006979FD">
        <w:rPr>
          <w:rFonts w:cs="Arial"/>
          <w:noProof/>
          <w:szCs w:val="24"/>
        </w:rPr>
        <w:t>, vol. 26, no. 1, pp. 48–61, Feb. 1999.</w:t>
      </w:r>
    </w:p>
    <w:p w14:paraId="2EA588B7"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[43]</w:t>
      </w:r>
      <w:r w:rsidRPr="006979FD">
        <w:rPr>
          <w:rFonts w:cs="Arial"/>
          <w:noProof/>
          <w:szCs w:val="24"/>
        </w:rPr>
        <w:tab/>
        <w:t xml:space="preserve">A. M. Kays and K. A. Borkovich, “Severe Impairment of Growth and Differentiation in a Neurospora crassa Mutant Lacking All Heterotrimeric G?? Proteins,” </w:t>
      </w:r>
      <w:r w:rsidRPr="006979FD">
        <w:rPr>
          <w:rFonts w:cs="Arial"/>
          <w:i/>
          <w:iCs/>
          <w:noProof/>
          <w:szCs w:val="24"/>
        </w:rPr>
        <w:t>Genetics</w:t>
      </w:r>
      <w:r w:rsidRPr="006979FD">
        <w:rPr>
          <w:rFonts w:cs="Arial"/>
          <w:noProof/>
          <w:szCs w:val="24"/>
        </w:rPr>
        <w:t>, vol. 166, no. 3, pp. 1229–1240, 2004.</w:t>
      </w:r>
    </w:p>
    <w:p w14:paraId="1F7AA75A"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[44]</w:t>
      </w:r>
      <w:r w:rsidRPr="006979FD">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6979FD">
        <w:rPr>
          <w:rFonts w:cs="Arial"/>
          <w:i/>
          <w:iCs/>
          <w:noProof/>
          <w:szCs w:val="24"/>
        </w:rPr>
        <w:t>Biochem. Biophys. Res. Commun.</w:t>
      </w:r>
      <w:r w:rsidRPr="006979FD">
        <w:rPr>
          <w:rFonts w:cs="Arial"/>
          <w:noProof/>
          <w:szCs w:val="24"/>
        </w:rPr>
        <w:t>, vol. 327, no. 1, pp. 311–319, Feb. 2005.</w:t>
      </w:r>
    </w:p>
    <w:p w14:paraId="3F72FD7D"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[45]</w:t>
      </w:r>
      <w:r w:rsidRPr="006979FD">
        <w:rPr>
          <w:rFonts w:cs="Arial"/>
          <w:noProof/>
          <w:szCs w:val="24"/>
        </w:rPr>
        <w:tab/>
        <w:t xml:space="preserve">A. Dantas, A. Day, M. Ikeh, I. Kos, B. Achan, and J. Quinn, “Oxidative Stress Responses in the Human Fungal Pathogen, Candida albicans,” </w:t>
      </w:r>
      <w:r w:rsidRPr="006979FD">
        <w:rPr>
          <w:rFonts w:cs="Arial"/>
          <w:i/>
          <w:iCs/>
          <w:noProof/>
          <w:szCs w:val="24"/>
        </w:rPr>
        <w:t>Biomolecules</w:t>
      </w:r>
      <w:r w:rsidRPr="006979FD">
        <w:rPr>
          <w:rFonts w:cs="Arial"/>
          <w:noProof/>
          <w:szCs w:val="24"/>
        </w:rPr>
        <w:t>, vol. 5, no. 1, pp. 142–165, Feb. 2015.</w:t>
      </w:r>
    </w:p>
    <w:p w14:paraId="39737D6D"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[46]</w:t>
      </w:r>
      <w:r w:rsidRPr="006979FD">
        <w:rPr>
          <w:rFonts w:cs="Arial"/>
          <w:noProof/>
          <w:szCs w:val="24"/>
        </w:rPr>
        <w:tab/>
        <w:t xml:space="preserve">D. Wilson </w:t>
      </w:r>
      <w:r w:rsidRPr="006979FD">
        <w:rPr>
          <w:rFonts w:cs="Arial"/>
          <w:i/>
          <w:iCs/>
          <w:noProof/>
          <w:szCs w:val="24"/>
        </w:rPr>
        <w:t>et al.</w:t>
      </w:r>
      <w:r w:rsidRPr="006979FD">
        <w:rPr>
          <w:rFonts w:cs="Arial"/>
          <w:noProof/>
          <w:szCs w:val="24"/>
        </w:rPr>
        <w:t xml:space="preserve">, “Deletion of the high-affinity cAMP phosphodiesterase encoded by PDE2 affects stress responses and virulence in Candida albicans,” </w:t>
      </w:r>
      <w:r w:rsidRPr="006979FD">
        <w:rPr>
          <w:rFonts w:cs="Arial"/>
          <w:i/>
          <w:iCs/>
          <w:noProof/>
          <w:szCs w:val="24"/>
        </w:rPr>
        <w:t>Mol. Microbiol.</w:t>
      </w:r>
      <w:r w:rsidRPr="006979FD">
        <w:rPr>
          <w:rFonts w:cs="Arial"/>
          <w:noProof/>
          <w:szCs w:val="24"/>
        </w:rPr>
        <w:t>, vol. 65, no. 4, pp. 841–856, Aug. 2007.</w:t>
      </w:r>
    </w:p>
    <w:p w14:paraId="1E9F9059"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[47]</w:t>
      </w:r>
      <w:r w:rsidRPr="006979FD">
        <w:rPr>
          <w:rFonts w:cs="Arial"/>
          <w:noProof/>
          <w:szCs w:val="24"/>
        </w:rPr>
        <w:tab/>
        <w:t xml:space="preserve">C. Seibel, G. Gremel, R. do Nascimento Silva, A. Schuster, C. P. Kubicek, and M. Schmoll, “Light-dependent roles of the G-protein ?? subunit GNA1 of Hypocrea jecorina (anamorph Trichoderma reesei),” </w:t>
      </w:r>
      <w:r w:rsidRPr="006979FD">
        <w:rPr>
          <w:rFonts w:cs="Arial"/>
          <w:i/>
          <w:iCs/>
          <w:noProof/>
          <w:szCs w:val="24"/>
        </w:rPr>
        <w:t>BMC Biol.</w:t>
      </w:r>
      <w:r w:rsidRPr="006979FD">
        <w:rPr>
          <w:rFonts w:cs="Arial"/>
          <w:noProof/>
          <w:szCs w:val="24"/>
        </w:rPr>
        <w:t>, vol. 7, p. 58, 2009.</w:t>
      </w:r>
    </w:p>
    <w:p w14:paraId="6A716053"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[48]</w:t>
      </w:r>
      <w:r w:rsidRPr="006979FD">
        <w:rPr>
          <w:rFonts w:cs="Arial"/>
          <w:noProof/>
          <w:szCs w:val="24"/>
        </w:rPr>
        <w:tab/>
        <w:t xml:space="preserve">E. Fréalle </w:t>
      </w:r>
      <w:r w:rsidRPr="006979FD">
        <w:rPr>
          <w:rFonts w:cs="Arial"/>
          <w:i/>
          <w:iCs/>
          <w:noProof/>
          <w:szCs w:val="24"/>
        </w:rPr>
        <w:t>et al.</w:t>
      </w:r>
      <w:r w:rsidRPr="006979FD">
        <w:rPr>
          <w:rFonts w:cs="Arial"/>
          <w:noProof/>
          <w:szCs w:val="24"/>
        </w:rPr>
        <w:t xml:space="preserve">, “Manganese superoxide dismutase based phylogeny of pathogenic fungi,” </w:t>
      </w:r>
      <w:r w:rsidRPr="006979FD">
        <w:rPr>
          <w:rFonts w:cs="Arial"/>
          <w:i/>
          <w:iCs/>
          <w:noProof/>
          <w:szCs w:val="24"/>
        </w:rPr>
        <w:t>Mol. Phylogenet. Evol.</w:t>
      </w:r>
      <w:r w:rsidRPr="006979FD">
        <w:rPr>
          <w:rFonts w:cs="Arial"/>
          <w:noProof/>
          <w:szCs w:val="24"/>
        </w:rPr>
        <w:t>, vol. 41, no. 1, pp. 28–39, Oct. 2006.</w:t>
      </w:r>
    </w:p>
    <w:p w14:paraId="1A89409F"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[49]</w:t>
      </w:r>
      <w:r w:rsidRPr="006979FD">
        <w:rPr>
          <w:rFonts w:cs="Arial"/>
          <w:noProof/>
          <w:szCs w:val="24"/>
        </w:rPr>
        <w:tab/>
        <w:t xml:space="preserve">W. H. Mager, A. H. de Boer, M. H. Siderius, and H. P. Voss, “Cellular responses to oxidative and osmotic stress.,” </w:t>
      </w:r>
      <w:r w:rsidRPr="006979FD">
        <w:rPr>
          <w:rFonts w:cs="Arial"/>
          <w:i/>
          <w:iCs/>
          <w:noProof/>
          <w:szCs w:val="24"/>
        </w:rPr>
        <w:t>Cell Stress Chaperones</w:t>
      </w:r>
      <w:r w:rsidRPr="006979FD">
        <w:rPr>
          <w:rFonts w:cs="Arial"/>
          <w:noProof/>
          <w:szCs w:val="24"/>
        </w:rPr>
        <w:t>, vol. 5, no. 2, pp. 73–5, Apr. 2000.</w:t>
      </w:r>
    </w:p>
    <w:p w14:paraId="1E80DFE4"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[50]</w:t>
      </w:r>
      <w:r w:rsidRPr="006979FD">
        <w:rPr>
          <w:rFonts w:cs="Arial"/>
          <w:noProof/>
          <w:szCs w:val="24"/>
        </w:rPr>
        <w:tab/>
        <w:t xml:space="preserve">R. A. Baasiri, X. Lu, P. S. Rowley, G. E. Turner, and K. A. Borkovich, “Overlapping functions for two G protein alpha subunits in Neurospora crassa.,” </w:t>
      </w:r>
      <w:r w:rsidRPr="006979FD">
        <w:rPr>
          <w:rFonts w:cs="Arial"/>
          <w:i/>
          <w:iCs/>
          <w:noProof/>
          <w:szCs w:val="24"/>
        </w:rPr>
        <w:t>Genetics</w:t>
      </w:r>
      <w:r w:rsidRPr="006979FD">
        <w:rPr>
          <w:rFonts w:cs="Arial"/>
          <w:noProof/>
          <w:szCs w:val="24"/>
        </w:rPr>
        <w:t>, vol. 147, no. 1, pp. 137–45, 1997.</w:t>
      </w:r>
    </w:p>
    <w:p w14:paraId="5119F648"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[51]</w:t>
      </w:r>
      <w:r w:rsidRPr="006979FD">
        <w:rPr>
          <w:rFonts w:cs="Arial"/>
          <w:noProof/>
          <w:szCs w:val="24"/>
        </w:rPr>
        <w:tab/>
        <w:t xml:space="preserve">S. Zuber, M. J. Hynes, and A. Andrianopoulos, “The G-protein alpha-subunit GasC plays a major role in germination in the dimorphic fungus Penicillium marneffei,” </w:t>
      </w:r>
      <w:r w:rsidRPr="006979FD">
        <w:rPr>
          <w:rFonts w:cs="Arial"/>
          <w:i/>
          <w:iCs/>
          <w:noProof/>
          <w:szCs w:val="24"/>
        </w:rPr>
        <w:t>Genetics</w:t>
      </w:r>
      <w:r w:rsidRPr="006979FD">
        <w:rPr>
          <w:rFonts w:cs="Arial"/>
          <w:noProof/>
          <w:szCs w:val="24"/>
        </w:rPr>
        <w:t>, vol. 164, no. 2, pp. 487–499, 2003.</w:t>
      </w:r>
    </w:p>
    <w:p w14:paraId="6C0A1ACB"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[52]</w:t>
      </w:r>
      <w:r w:rsidRPr="006979FD">
        <w:rPr>
          <w:rFonts w:cs="Arial"/>
          <w:noProof/>
          <w:szCs w:val="24"/>
        </w:rPr>
        <w:tab/>
        <w:t xml:space="preserve">D. Tisch and M. Schmoll, “Light regulation of metabolic pathways in fungi,” </w:t>
      </w:r>
      <w:r w:rsidRPr="006979FD">
        <w:rPr>
          <w:rFonts w:cs="Arial"/>
          <w:i/>
          <w:iCs/>
          <w:noProof/>
          <w:szCs w:val="24"/>
        </w:rPr>
        <w:t>Appl. Microbiol. Biotechnol.</w:t>
      </w:r>
      <w:r w:rsidRPr="006979FD">
        <w:rPr>
          <w:rFonts w:cs="Arial"/>
          <w:noProof/>
          <w:szCs w:val="24"/>
        </w:rPr>
        <w:t>, vol. 85, no. 5, pp. 1259–1277, Feb. 2010.</w:t>
      </w:r>
    </w:p>
    <w:p w14:paraId="5AB2DA8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[53]</w:t>
      </w:r>
      <w:r w:rsidRPr="006979FD">
        <w:rPr>
          <w:rFonts w:cs="Arial"/>
          <w:noProof/>
          <w:szCs w:val="24"/>
        </w:rPr>
        <w:tab/>
        <w:t xml:space="preserve">C. Ruger-Herreros </w:t>
      </w:r>
      <w:r w:rsidRPr="006979FD">
        <w:rPr>
          <w:rFonts w:cs="Arial"/>
          <w:i/>
          <w:iCs/>
          <w:noProof/>
          <w:szCs w:val="24"/>
        </w:rPr>
        <w:t>et al.</w:t>
      </w:r>
      <w:r w:rsidRPr="006979FD">
        <w:rPr>
          <w:rFonts w:cs="Arial"/>
          <w:noProof/>
          <w:szCs w:val="24"/>
        </w:rPr>
        <w:t xml:space="preserve">, “Regulation of conidiation by light in aspergillus nidulans,” </w:t>
      </w:r>
      <w:r w:rsidRPr="006979FD">
        <w:rPr>
          <w:rFonts w:cs="Arial"/>
          <w:i/>
          <w:iCs/>
          <w:noProof/>
          <w:szCs w:val="24"/>
        </w:rPr>
        <w:t>Genetics</w:t>
      </w:r>
      <w:r w:rsidRPr="006979FD">
        <w:rPr>
          <w:rFonts w:cs="Arial"/>
          <w:noProof/>
          <w:szCs w:val="24"/>
        </w:rPr>
        <w:t>, vol. 188, no. 4, pp. 809–822, 2011.</w:t>
      </w:r>
    </w:p>
    <w:p w14:paraId="1A754AFA"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[54]</w:t>
      </w:r>
      <w:r w:rsidRPr="006979FD">
        <w:rPr>
          <w:rFonts w:cs="Arial"/>
          <w:noProof/>
          <w:szCs w:val="24"/>
        </w:rPr>
        <w:tab/>
        <w:t xml:space="preserve">P. C. Havugimana </w:t>
      </w:r>
      <w:r w:rsidRPr="006979FD">
        <w:rPr>
          <w:rFonts w:cs="Arial"/>
          <w:i/>
          <w:iCs/>
          <w:noProof/>
          <w:szCs w:val="24"/>
        </w:rPr>
        <w:t>et al.</w:t>
      </w:r>
      <w:r w:rsidRPr="006979FD">
        <w:rPr>
          <w:rFonts w:cs="Arial"/>
          <w:noProof/>
          <w:szCs w:val="24"/>
        </w:rPr>
        <w:t xml:space="preserve">, “A Census of Human Soluble Protein Complexes,” </w:t>
      </w:r>
      <w:r w:rsidRPr="006979FD">
        <w:rPr>
          <w:rFonts w:cs="Arial"/>
          <w:i/>
          <w:iCs/>
          <w:noProof/>
          <w:szCs w:val="24"/>
        </w:rPr>
        <w:t>Cell</w:t>
      </w:r>
      <w:r w:rsidRPr="006979FD">
        <w:rPr>
          <w:rFonts w:cs="Arial"/>
          <w:noProof/>
          <w:szCs w:val="24"/>
        </w:rPr>
        <w:t>, vol. 150, no. 5, pp. 1068–1081, Aug. 2012.</w:t>
      </w:r>
    </w:p>
    <w:p w14:paraId="20CA1092"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[55]</w:t>
      </w:r>
      <w:r w:rsidRPr="006979FD">
        <w:rPr>
          <w:rFonts w:cs="Arial"/>
          <w:noProof/>
          <w:szCs w:val="24"/>
        </w:rPr>
        <w:tab/>
        <w:t xml:space="preserve">S. Brandt, D. von Stetten, M. Günther, P. Hildebrandt, and N. Frankenberg-Dinkel, “The fungal phytochrome FphA from Aspergillus nidulans.,” </w:t>
      </w:r>
      <w:r w:rsidRPr="006979FD">
        <w:rPr>
          <w:rFonts w:cs="Arial"/>
          <w:i/>
          <w:iCs/>
          <w:noProof/>
          <w:szCs w:val="24"/>
        </w:rPr>
        <w:t>J. Biol. Chem.</w:t>
      </w:r>
      <w:r w:rsidRPr="006979FD">
        <w:rPr>
          <w:rFonts w:cs="Arial"/>
          <w:noProof/>
          <w:szCs w:val="24"/>
        </w:rPr>
        <w:t>, vol. 283, no. 50, pp. 34605–14, Dec. 2008.</w:t>
      </w:r>
    </w:p>
    <w:p w14:paraId="02EA69EA"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[56]</w:t>
      </w:r>
      <w:r w:rsidRPr="006979FD">
        <w:rPr>
          <w:rFonts w:cs="Arial"/>
          <w:noProof/>
          <w:szCs w:val="24"/>
        </w:rPr>
        <w:tab/>
        <w:t xml:space="preserve">Y. Hu </w:t>
      </w:r>
      <w:r w:rsidRPr="006979FD">
        <w:rPr>
          <w:rFonts w:cs="Arial"/>
          <w:i/>
          <w:iCs/>
          <w:noProof/>
          <w:szCs w:val="24"/>
        </w:rPr>
        <w:t>et al.</w:t>
      </w:r>
      <w:r w:rsidRPr="006979FD">
        <w:rPr>
          <w:rFonts w:cs="Arial"/>
          <w:noProof/>
          <w:szCs w:val="24"/>
        </w:rPr>
        <w:t xml:space="preserve">, “Gα-cAMP/PKA pathway positively regulates pigmentation, chaetoglobosin A biosynthesis and sexual development in Chaetomium globosum,” </w:t>
      </w:r>
      <w:r w:rsidRPr="006979FD">
        <w:rPr>
          <w:rFonts w:cs="Arial"/>
          <w:i/>
          <w:iCs/>
          <w:noProof/>
          <w:szCs w:val="24"/>
        </w:rPr>
        <w:t>PLoS One</w:t>
      </w:r>
      <w:r w:rsidRPr="006979FD">
        <w:rPr>
          <w:rFonts w:cs="Arial"/>
          <w:noProof/>
          <w:szCs w:val="24"/>
        </w:rPr>
        <w:t>, vol. 13, no. 4, p. e0195553, Apr. 2018.</w:t>
      </w:r>
    </w:p>
    <w:p w14:paraId="75EDE44F"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[57]</w:t>
      </w:r>
      <w:r w:rsidRPr="006979FD">
        <w:rPr>
          <w:rFonts w:cs="Arial"/>
          <w:noProof/>
          <w:szCs w:val="24"/>
        </w:rPr>
        <w:tab/>
        <w:t xml:space="preserve">H. H. Kampinga, “Chaperones in Preventing Protein Denaturation in Living Cells and Protecting Against Cellular Stress,” in </w:t>
      </w:r>
      <w:r w:rsidRPr="006979FD">
        <w:rPr>
          <w:rFonts w:cs="Arial"/>
          <w:i/>
          <w:iCs/>
          <w:noProof/>
          <w:szCs w:val="24"/>
        </w:rPr>
        <w:t>Molecular Chaperones in Health and Disease</w:t>
      </w:r>
      <w:r w:rsidRPr="006979FD">
        <w:rPr>
          <w:rFonts w:cs="Arial"/>
          <w:noProof/>
          <w:szCs w:val="24"/>
        </w:rPr>
        <w:t>, Berlin/Heidelberg: Springer-Verlag, 2006, pp. 1–42.</w:t>
      </w:r>
    </w:p>
    <w:p w14:paraId="425CB4A5"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[58]</w:t>
      </w:r>
      <w:r w:rsidRPr="006979FD">
        <w:rPr>
          <w:rFonts w:cs="Arial"/>
          <w:noProof/>
          <w:szCs w:val="24"/>
        </w:rPr>
        <w:tab/>
        <w:t xml:space="preserve">V. M. Tereshina, “Thermotolerance in Fungi: The Role of Heat Shock Proteins and Trehalose,” </w:t>
      </w:r>
      <w:r w:rsidRPr="006979FD">
        <w:rPr>
          <w:rFonts w:cs="Arial"/>
          <w:i/>
          <w:iCs/>
          <w:noProof/>
          <w:szCs w:val="24"/>
        </w:rPr>
        <w:t>Microbiology</w:t>
      </w:r>
      <w:r w:rsidRPr="006979FD">
        <w:rPr>
          <w:rFonts w:cs="Arial"/>
          <w:noProof/>
          <w:szCs w:val="24"/>
        </w:rPr>
        <w:t>, vol. 74, no. 3, pp. 247–257, May 2005.</w:t>
      </w:r>
    </w:p>
    <w:p w14:paraId="798AF7C7"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[59]</w:t>
      </w:r>
      <w:r w:rsidRPr="006979FD">
        <w:rPr>
          <w:rFonts w:cs="Arial"/>
          <w:noProof/>
          <w:szCs w:val="24"/>
        </w:rPr>
        <w:tab/>
        <w:t xml:space="preserve">N. B. Gusev, N. V Bogatcheva, and S. B. Marston, “Structure and properties of small heat shock proteins (sHsp) and their interaction with cytoskeleton proteins.,” </w:t>
      </w:r>
      <w:r w:rsidRPr="006979FD">
        <w:rPr>
          <w:rFonts w:cs="Arial"/>
          <w:i/>
          <w:iCs/>
          <w:noProof/>
          <w:szCs w:val="24"/>
        </w:rPr>
        <w:t>Biochemistry. (Mosc).</w:t>
      </w:r>
      <w:r w:rsidRPr="006979FD">
        <w:rPr>
          <w:rFonts w:cs="Arial"/>
          <w:noProof/>
          <w:szCs w:val="24"/>
        </w:rPr>
        <w:t>, vol. 67, no. 5, pp. 511–9, May 2002.</w:t>
      </w:r>
    </w:p>
    <w:p w14:paraId="63508554"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[60]</w:t>
      </w:r>
      <w:r w:rsidRPr="006979FD">
        <w:rPr>
          <w:rFonts w:cs="Arial"/>
          <w:noProof/>
          <w:szCs w:val="24"/>
        </w:rPr>
        <w:tab/>
        <w:t xml:space="preserve">S. Tiwari, R. Thakur, and J. Shankar, “Role of Heat-Shock Proteins in Cellular Function and in the Biology of Fungi,” </w:t>
      </w:r>
      <w:r w:rsidRPr="006979FD">
        <w:rPr>
          <w:rFonts w:cs="Arial"/>
          <w:i/>
          <w:iCs/>
          <w:noProof/>
          <w:szCs w:val="24"/>
        </w:rPr>
        <w:t>Biotechnol. Res. Int.</w:t>
      </w:r>
      <w:r w:rsidRPr="006979FD">
        <w:rPr>
          <w:rFonts w:cs="Arial"/>
          <w:noProof/>
          <w:szCs w:val="24"/>
        </w:rPr>
        <w:t>, vol. 2015, pp. 1–11, Dec. 2015.</w:t>
      </w:r>
    </w:p>
    <w:p w14:paraId="2317C10F"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[61]</w:t>
      </w:r>
      <w:r w:rsidRPr="006979FD">
        <w:rPr>
          <w:rFonts w:cs="Arial"/>
          <w:noProof/>
          <w:szCs w:val="24"/>
        </w:rPr>
        <w:tab/>
        <w:t xml:space="preserve">J. Wu, M. Wang, L. Zhou, and D. Yu, “Small heat shock proteins, phylogeny in filamentous fungi and expression analyses in Aspergillus nidulans,” </w:t>
      </w:r>
      <w:r w:rsidRPr="006979FD">
        <w:rPr>
          <w:rFonts w:cs="Arial"/>
          <w:i/>
          <w:iCs/>
          <w:noProof/>
          <w:szCs w:val="24"/>
        </w:rPr>
        <w:t>Gene</w:t>
      </w:r>
      <w:r w:rsidRPr="006979FD">
        <w:rPr>
          <w:rFonts w:cs="Arial"/>
          <w:noProof/>
          <w:szCs w:val="24"/>
        </w:rPr>
        <w:t>, vol. 575, pp. 675–679, 2016.</w:t>
      </w:r>
    </w:p>
    <w:p w14:paraId="6156123F"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[62]</w:t>
      </w:r>
      <w:r w:rsidRPr="006979FD">
        <w:rPr>
          <w:rFonts w:cs="Arial"/>
          <w:noProof/>
          <w:szCs w:val="24"/>
        </w:rPr>
        <w:tab/>
        <w:t xml:space="preserve">R. B. Raggam, H. J. F. Salzer, E. Marth, B. Heiling, A. H. Paulitsch, and W. Buzina, “Molecular detection and characterisation of fungal heat shock protein 60,” </w:t>
      </w:r>
      <w:r w:rsidRPr="006979FD">
        <w:rPr>
          <w:rFonts w:cs="Arial"/>
          <w:i/>
          <w:iCs/>
          <w:noProof/>
          <w:szCs w:val="24"/>
        </w:rPr>
        <w:t>Mycoses</w:t>
      </w:r>
      <w:r w:rsidRPr="006979FD">
        <w:rPr>
          <w:rFonts w:cs="Arial"/>
          <w:noProof/>
          <w:szCs w:val="24"/>
        </w:rPr>
        <w:t>, vol. 54, no. 5, pp. e394–e399, Sep. 2011.</w:t>
      </w:r>
    </w:p>
    <w:p w14:paraId="3E06E4C3"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[63]</w:t>
      </w:r>
      <w:r w:rsidRPr="006979FD">
        <w:rPr>
          <w:rFonts w:cs="Arial"/>
          <w:noProof/>
          <w:szCs w:val="24"/>
        </w:rPr>
        <w:tab/>
        <w:t xml:space="preserve">M. Kapoor, C. A. Curle, and C. Runham, “The hsp70 gene family of Neurospora crassa: cloning, sequence analysis, expression, and genetic mapping of the major stress-inducible member.,” </w:t>
      </w:r>
      <w:r w:rsidRPr="006979FD">
        <w:rPr>
          <w:rFonts w:cs="Arial"/>
          <w:i/>
          <w:iCs/>
          <w:noProof/>
          <w:szCs w:val="24"/>
        </w:rPr>
        <w:t>J. Bacteriol.</w:t>
      </w:r>
      <w:r w:rsidRPr="006979FD">
        <w:rPr>
          <w:rFonts w:cs="Arial"/>
          <w:noProof/>
          <w:szCs w:val="24"/>
        </w:rPr>
        <w:t>, vol. 177, no. 1, pp. 212–21, Jan. 1995.</w:t>
      </w:r>
    </w:p>
    <w:p w14:paraId="2982D991"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[64]</w:t>
      </w:r>
      <w:r w:rsidRPr="006979FD">
        <w:rPr>
          <w:rFonts w:cs="Arial"/>
          <w:noProof/>
          <w:szCs w:val="24"/>
        </w:rPr>
        <w:tab/>
        <w:t xml:space="preserve">D.-C. Bui </w:t>
      </w:r>
      <w:r w:rsidRPr="006979FD">
        <w:rPr>
          <w:rFonts w:cs="Arial"/>
          <w:i/>
          <w:iCs/>
          <w:noProof/>
          <w:szCs w:val="24"/>
        </w:rPr>
        <w:t>et al.</w:t>
      </w:r>
      <w:r w:rsidRPr="006979FD">
        <w:rPr>
          <w:rFonts w:cs="Arial"/>
          <w:noProof/>
          <w:szCs w:val="24"/>
        </w:rPr>
        <w:t xml:space="preserve">, “Heat shock protein 90 is required for sexual and asexual development, virulence, and heat shock response in Fusarium graminearum,” </w:t>
      </w:r>
      <w:r w:rsidRPr="006979FD">
        <w:rPr>
          <w:rFonts w:cs="Arial"/>
          <w:i/>
          <w:iCs/>
          <w:noProof/>
          <w:szCs w:val="24"/>
        </w:rPr>
        <w:t>Sci. Rep.</w:t>
      </w:r>
      <w:r w:rsidRPr="006979FD">
        <w:rPr>
          <w:rFonts w:cs="Arial"/>
          <w:noProof/>
          <w:szCs w:val="24"/>
        </w:rPr>
        <w:t>, vol. 6, no. 1, p. 28154, Sep. 2016.</w:t>
      </w:r>
    </w:p>
    <w:p w14:paraId="1BE16984"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[65]</w:t>
      </w:r>
      <w:r w:rsidRPr="006979FD">
        <w:rPr>
          <w:rFonts w:cs="Arial"/>
          <w:noProof/>
          <w:szCs w:val="24"/>
        </w:rPr>
        <w:tab/>
        <w:t xml:space="preserve">E. Boy-Marcotte </w:t>
      </w:r>
      <w:r w:rsidRPr="006979FD">
        <w:rPr>
          <w:rFonts w:cs="Arial"/>
          <w:i/>
          <w:iCs/>
          <w:noProof/>
          <w:szCs w:val="24"/>
        </w:rPr>
        <w:t>et al.</w:t>
      </w:r>
      <w:r w:rsidRPr="006979FD">
        <w:rPr>
          <w:rFonts w:cs="Arial"/>
          <w:noProof/>
          <w:szCs w:val="24"/>
        </w:rPr>
        <w:t xml:space="preserve">, “The heat shock response in yeast: differential regulations and contributions of the Msn2p/Msn4p and Hsf1p regulons,” </w:t>
      </w:r>
      <w:r w:rsidRPr="006979FD">
        <w:rPr>
          <w:rFonts w:cs="Arial"/>
          <w:i/>
          <w:iCs/>
          <w:noProof/>
          <w:szCs w:val="24"/>
        </w:rPr>
        <w:t>Mol. Microbiol.</w:t>
      </w:r>
      <w:r w:rsidRPr="006979FD">
        <w:rPr>
          <w:rFonts w:cs="Arial"/>
          <w:noProof/>
          <w:szCs w:val="24"/>
        </w:rPr>
        <w:t>, vol. 33, no. 2, pp. 274–283, Jul. 1999.</w:t>
      </w:r>
    </w:p>
    <w:p w14:paraId="3199BEA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[66]</w:t>
      </w:r>
      <w:r w:rsidRPr="006979FD">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6979FD">
        <w:rPr>
          <w:rFonts w:cs="Arial"/>
          <w:i/>
          <w:iCs/>
          <w:noProof/>
          <w:szCs w:val="24"/>
        </w:rPr>
        <w:t>Eukaryot. Cell</w:t>
      </w:r>
      <w:r w:rsidRPr="006979FD">
        <w:rPr>
          <w:rFonts w:cs="Arial"/>
          <w:noProof/>
          <w:szCs w:val="24"/>
        </w:rPr>
        <w:t>, vol. 7, no. 9, pp. 1573–81, Sep. 2008.</w:t>
      </w:r>
    </w:p>
    <w:p w14:paraId="7232D983"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[67]</w:t>
      </w:r>
      <w:r w:rsidRPr="006979FD">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6979FD">
        <w:rPr>
          <w:rFonts w:cs="Arial"/>
          <w:i/>
          <w:iCs/>
          <w:noProof/>
          <w:szCs w:val="24"/>
        </w:rPr>
        <w:t>EMBO J.</w:t>
      </w:r>
      <w:r w:rsidRPr="006979FD">
        <w:rPr>
          <w:rFonts w:cs="Arial"/>
          <w:noProof/>
          <w:szCs w:val="24"/>
        </w:rPr>
        <w:t>, vol. 15, no. 9, pp. 2227–35, May 1996.</w:t>
      </w:r>
    </w:p>
    <w:p w14:paraId="23CF6B2E"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[68]</w:t>
      </w:r>
      <w:r w:rsidRPr="006979FD">
        <w:rPr>
          <w:rFonts w:cs="Arial"/>
          <w:noProof/>
          <w:szCs w:val="24"/>
        </w:rPr>
        <w:tab/>
        <w:t xml:space="preserve">H. G. Dohlman and J. Thorner, “Regulation of G Protein–Initiated Signal Transduction in Yeast: Paradigms and Principles,” </w:t>
      </w:r>
      <w:r w:rsidRPr="006979FD">
        <w:rPr>
          <w:rFonts w:cs="Arial"/>
          <w:i/>
          <w:iCs/>
          <w:noProof/>
          <w:szCs w:val="24"/>
        </w:rPr>
        <w:t>Annu. Rev. Biochem.</w:t>
      </w:r>
      <w:r w:rsidRPr="006979FD">
        <w:rPr>
          <w:rFonts w:cs="Arial"/>
          <w:noProof/>
          <w:szCs w:val="24"/>
        </w:rPr>
        <w:t>, vol. 70, no. 1, pp. 703–754, Jun. 2001.</w:t>
      </w:r>
    </w:p>
    <w:p w14:paraId="674F8F76"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[69]</w:t>
      </w:r>
      <w:r w:rsidRPr="006979FD">
        <w:rPr>
          <w:rFonts w:cs="Arial"/>
          <w:noProof/>
          <w:szCs w:val="24"/>
        </w:rPr>
        <w:tab/>
        <w:t>Y. Xue and J. P. Hirsch, “GPR1 encodes a putative G protein-coupled receptor that associates with the Gpa2p G α subunit and functions in a Ras-independent pathway,” 1996.</w:t>
      </w:r>
    </w:p>
    <w:p w14:paraId="723F9434"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[70]</w:t>
      </w:r>
      <w:r w:rsidRPr="006979FD">
        <w:rPr>
          <w:rFonts w:cs="Arial"/>
          <w:noProof/>
          <w:szCs w:val="24"/>
        </w:rPr>
        <w:tab/>
        <w:t xml:space="preserve">M. Whiteway </w:t>
      </w:r>
      <w:r w:rsidRPr="006979FD">
        <w:rPr>
          <w:rFonts w:cs="Arial"/>
          <w:i/>
          <w:iCs/>
          <w:noProof/>
          <w:szCs w:val="24"/>
        </w:rPr>
        <w:t>et al.</w:t>
      </w:r>
      <w:r w:rsidRPr="006979FD">
        <w:rPr>
          <w:rFonts w:cs="Arial"/>
          <w:noProof/>
          <w:szCs w:val="24"/>
        </w:rPr>
        <w:t xml:space="preserve">, “The STE4 and STE18 genes of yeast encode potential beta and gamma subunits of the mating factor receptor-coupled G protein.,” </w:t>
      </w:r>
      <w:r w:rsidRPr="006979FD">
        <w:rPr>
          <w:rFonts w:cs="Arial"/>
          <w:i/>
          <w:iCs/>
          <w:noProof/>
          <w:szCs w:val="24"/>
        </w:rPr>
        <w:t>Cell</w:t>
      </w:r>
      <w:r w:rsidRPr="006979FD">
        <w:rPr>
          <w:rFonts w:cs="Arial"/>
          <w:noProof/>
          <w:szCs w:val="24"/>
        </w:rPr>
        <w:t>, vol. 56, no. 3, pp. 467–77, Feb. 1989.</w:t>
      </w:r>
    </w:p>
    <w:p w14:paraId="0C259624"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[71]</w:t>
      </w:r>
      <w:r w:rsidRPr="006979FD">
        <w:rPr>
          <w:rFonts w:cs="Arial"/>
          <w:noProof/>
          <w:szCs w:val="24"/>
        </w:rPr>
        <w:tab/>
        <w:t xml:space="preserve">S. Jain, K. Akiyama, R. Takata, and T. Ohguchi, “Signaling via the G protein Î± subunit FGA2 is necessary for pathogenesis in </w:t>
      </w:r>
      <w:r w:rsidRPr="006979FD">
        <w:rPr>
          <w:rFonts w:cs="Arial"/>
          <w:i/>
          <w:iCs/>
          <w:noProof/>
          <w:szCs w:val="24"/>
        </w:rPr>
        <w:t>Fusarium oxysporum</w:t>
      </w:r>
      <w:r w:rsidRPr="006979FD">
        <w:rPr>
          <w:rFonts w:cs="Arial"/>
          <w:noProof/>
          <w:szCs w:val="24"/>
        </w:rPr>
        <w:t xml:space="preserve">,” </w:t>
      </w:r>
      <w:r w:rsidRPr="006979FD">
        <w:rPr>
          <w:rFonts w:cs="Arial"/>
          <w:i/>
          <w:iCs/>
          <w:noProof/>
          <w:szCs w:val="24"/>
        </w:rPr>
        <w:t>FEMS Microbiol. Lett.</w:t>
      </w:r>
      <w:r w:rsidRPr="006979FD">
        <w:rPr>
          <w:rFonts w:cs="Arial"/>
          <w:noProof/>
          <w:szCs w:val="24"/>
        </w:rPr>
        <w:t>, vol. 243, no. 1, pp. 165–172, Feb. 2005.</w:t>
      </w:r>
    </w:p>
    <w:p w14:paraId="18FD9150"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[72]</w:t>
      </w:r>
      <w:r w:rsidRPr="006979FD">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6979FD">
        <w:rPr>
          <w:rFonts w:cs="Arial"/>
          <w:i/>
          <w:iCs/>
          <w:noProof/>
          <w:szCs w:val="24"/>
        </w:rPr>
        <w:t>Int. Microbiol.</w:t>
      </w:r>
      <w:r w:rsidRPr="006979FD">
        <w:rPr>
          <w:rFonts w:cs="Arial"/>
          <w:noProof/>
          <w:szCs w:val="24"/>
        </w:rPr>
        <w:t>, vol. 12, no. 2, pp. 123–129, 2009.</w:t>
      </w:r>
    </w:p>
    <w:p w14:paraId="52BC604F"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[73]</w:t>
      </w:r>
      <w:r w:rsidRPr="006979FD">
        <w:rPr>
          <w:rFonts w:cs="Arial"/>
          <w:noProof/>
          <w:szCs w:val="24"/>
        </w:rPr>
        <w:tab/>
        <w:t xml:space="preserve">S. Colombo </w:t>
      </w:r>
      <w:r w:rsidRPr="006979FD">
        <w:rPr>
          <w:rFonts w:cs="Arial"/>
          <w:i/>
          <w:iCs/>
          <w:noProof/>
          <w:szCs w:val="24"/>
        </w:rPr>
        <w:t>et al.</w:t>
      </w:r>
      <w:r w:rsidRPr="006979FD">
        <w:rPr>
          <w:rFonts w:cs="Arial"/>
          <w:noProof/>
          <w:szCs w:val="24"/>
        </w:rPr>
        <w:t>, “Involvement of distinct G-proteins, Gpa2 and Ras, in glucose-and intracellular acidification-induced cAMP signalling in the yeast Saccharomyces cerevisiae,” 1998.</w:t>
      </w:r>
    </w:p>
    <w:p w14:paraId="1FC7A406"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[74]</w:t>
      </w:r>
      <w:r w:rsidRPr="006979FD">
        <w:rPr>
          <w:rFonts w:cs="Arial"/>
          <w:noProof/>
          <w:szCs w:val="24"/>
        </w:rPr>
        <w:tab/>
        <w:t xml:space="preserve">K. A. Borkovich, F. W. Farrelly, D. B. Finkelstein, J. Taulien, and S. Lindquist, “hsp82 is an essential protein that is required in higher concentrations for growth of cells at higher temperatures.,” </w:t>
      </w:r>
      <w:r w:rsidRPr="006979FD">
        <w:rPr>
          <w:rFonts w:cs="Arial"/>
          <w:i/>
          <w:iCs/>
          <w:noProof/>
          <w:szCs w:val="24"/>
        </w:rPr>
        <w:t>Mol. Cell. Biol.</w:t>
      </w:r>
      <w:r w:rsidRPr="006979FD">
        <w:rPr>
          <w:rFonts w:cs="Arial"/>
          <w:noProof/>
          <w:szCs w:val="24"/>
        </w:rPr>
        <w:t>, vol. 9, no. 9, pp. 3919–30, Sep. 1989.</w:t>
      </w:r>
    </w:p>
    <w:p w14:paraId="48EC2E2E" w14:textId="77777777" w:rsidR="006979FD" w:rsidRPr="006979FD" w:rsidRDefault="006979FD" w:rsidP="006979FD">
      <w:pPr>
        <w:widowControl w:val="0"/>
        <w:autoSpaceDE w:val="0"/>
        <w:autoSpaceDN w:val="0"/>
        <w:adjustRightInd w:val="0"/>
        <w:spacing w:after="0" w:line="360" w:lineRule="auto"/>
        <w:ind w:left="640" w:hanging="640"/>
        <w:rPr>
          <w:rFonts w:cs="Arial"/>
          <w:noProof/>
          <w:szCs w:val="24"/>
        </w:rPr>
      </w:pPr>
      <w:r w:rsidRPr="006979FD">
        <w:rPr>
          <w:rFonts w:cs="Arial"/>
          <w:noProof/>
          <w:szCs w:val="24"/>
        </w:rPr>
        <w:t>[75]</w:t>
      </w:r>
      <w:r w:rsidRPr="006979FD">
        <w:rPr>
          <w:rFonts w:cs="Arial"/>
          <w:noProof/>
          <w:szCs w:val="24"/>
        </w:rPr>
        <w:tab/>
        <w:t xml:space="preserve">W. R. Boorstein and E. A. Craig, “Structure and regulation of the SSA4 HSP70 gene of Saccharomyces cerevisiae.,” </w:t>
      </w:r>
      <w:r w:rsidRPr="006979FD">
        <w:rPr>
          <w:rFonts w:cs="Arial"/>
          <w:i/>
          <w:iCs/>
          <w:noProof/>
          <w:szCs w:val="24"/>
        </w:rPr>
        <w:t>J. Biol. Chem.</w:t>
      </w:r>
      <w:r w:rsidRPr="006979FD">
        <w:rPr>
          <w:rFonts w:cs="Arial"/>
          <w:noProof/>
          <w:szCs w:val="24"/>
        </w:rPr>
        <w:t>, vol. 265, no. 31, pp. 18912–21, Nov. 1990.</w:t>
      </w:r>
    </w:p>
    <w:p w14:paraId="27B476CD" w14:textId="77777777" w:rsidR="006979FD" w:rsidRPr="006979FD" w:rsidRDefault="006979FD" w:rsidP="006979FD">
      <w:pPr>
        <w:widowControl w:val="0"/>
        <w:autoSpaceDE w:val="0"/>
        <w:autoSpaceDN w:val="0"/>
        <w:adjustRightInd w:val="0"/>
        <w:spacing w:after="0" w:line="360" w:lineRule="auto"/>
        <w:ind w:left="640" w:hanging="640"/>
        <w:rPr>
          <w:rFonts w:cs="Arial"/>
          <w:noProof/>
        </w:rPr>
      </w:pPr>
      <w:r w:rsidRPr="006979FD">
        <w:rPr>
          <w:rFonts w:cs="Arial"/>
          <w:noProof/>
          <w:szCs w:val="24"/>
        </w:rPr>
        <w:t>[76]</w:t>
      </w:r>
      <w:r w:rsidRPr="006979FD">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6979FD">
        <w:rPr>
          <w:rFonts w:cs="Arial"/>
          <w:i/>
          <w:iCs/>
          <w:noProof/>
          <w:szCs w:val="24"/>
        </w:rPr>
        <w:t>Microbiology</w:t>
      </w:r>
      <w:r w:rsidRPr="006979FD">
        <w:rPr>
          <w:rFonts w:cs="Arial"/>
          <w:noProof/>
          <w:szCs w:val="24"/>
        </w:rPr>
        <w:t>, vol. 150, no. 12, pp. 4033–4043, 2004.</w:t>
      </w:r>
    </w:p>
    <w:p w14:paraId="27033E25" w14:textId="0FA9CCF6" w:rsidR="00B934EF" w:rsidRPr="001133CE" w:rsidRDefault="00B934EF" w:rsidP="004A3FDE">
      <w:pPr>
        <w:spacing w:after="0" w:line="360" w:lineRule="auto"/>
        <w:ind w:left="567"/>
        <w:rPr>
          <w:rFonts w:cs="Arial"/>
          <w:szCs w:val="24"/>
          <w:lang w:val="es-MX"/>
        </w:rPr>
      </w:pPr>
      <w:r w:rsidRPr="001133CE">
        <w:rPr>
          <w:rFonts w:cs="Arial"/>
          <w:szCs w:val="24"/>
          <w:lang w:val="es-MX"/>
        </w:rPr>
        <w:fldChar w:fldCharType="end"/>
      </w:r>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FE206" w14:textId="77777777" w:rsidR="002731CD" w:rsidRDefault="002731CD" w:rsidP="0076361C">
      <w:pPr>
        <w:spacing w:after="0" w:line="240" w:lineRule="auto"/>
      </w:pPr>
      <w:r>
        <w:separator/>
      </w:r>
    </w:p>
  </w:endnote>
  <w:endnote w:type="continuationSeparator" w:id="0">
    <w:p w14:paraId="6FFD650E" w14:textId="77777777" w:rsidR="002731CD" w:rsidRDefault="002731CD"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athematicalPi-One">
    <w:altName w:val="Times New Roman"/>
    <w:panose1 w:val="00000000000000000000"/>
    <w:charset w:val="00"/>
    <w:family w:val="roman"/>
    <w:notTrueType/>
    <w:pitch w:val="default"/>
  </w:font>
  <w:font w:name="ITCSymbolStd-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17460E79" w:rsidR="006979FD" w:rsidRDefault="006979FD">
        <w:pPr>
          <w:pStyle w:val="Piedepgina"/>
          <w:jc w:val="right"/>
        </w:pPr>
        <w:r>
          <w:fldChar w:fldCharType="begin"/>
        </w:r>
        <w:r>
          <w:instrText>PAGE   \* MERGEFORMAT</w:instrText>
        </w:r>
        <w:r>
          <w:fldChar w:fldCharType="separate"/>
        </w:r>
        <w:r w:rsidR="002731CD" w:rsidRPr="002731CD">
          <w:rPr>
            <w:noProof/>
            <w:lang w:val="es-ES"/>
          </w:rPr>
          <w:t>1</w:t>
        </w:r>
        <w:r>
          <w:fldChar w:fldCharType="end"/>
        </w:r>
      </w:p>
    </w:sdtContent>
  </w:sdt>
  <w:p w14:paraId="20458E42" w14:textId="77777777" w:rsidR="006979FD" w:rsidRDefault="006979F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A5FD3" w14:textId="77777777" w:rsidR="002731CD" w:rsidRDefault="002731CD" w:rsidP="0076361C">
      <w:pPr>
        <w:spacing w:after="0" w:line="240" w:lineRule="auto"/>
      </w:pPr>
      <w:r>
        <w:separator/>
      </w:r>
    </w:p>
  </w:footnote>
  <w:footnote w:type="continuationSeparator" w:id="0">
    <w:p w14:paraId="2E53C463" w14:textId="77777777" w:rsidR="002731CD" w:rsidRDefault="002731CD"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3A31"/>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96D42"/>
    <w:rsid w:val="000975FA"/>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426F1"/>
    <w:rsid w:val="001536F9"/>
    <w:rsid w:val="001539B2"/>
    <w:rsid w:val="001540AC"/>
    <w:rsid w:val="00156EE9"/>
    <w:rsid w:val="001674BF"/>
    <w:rsid w:val="00170429"/>
    <w:rsid w:val="0017250A"/>
    <w:rsid w:val="001729B3"/>
    <w:rsid w:val="00172E53"/>
    <w:rsid w:val="00175F2F"/>
    <w:rsid w:val="001802BB"/>
    <w:rsid w:val="00180868"/>
    <w:rsid w:val="00180FA9"/>
    <w:rsid w:val="00182C49"/>
    <w:rsid w:val="001861C3"/>
    <w:rsid w:val="00186F75"/>
    <w:rsid w:val="00195532"/>
    <w:rsid w:val="001964AB"/>
    <w:rsid w:val="001A04A0"/>
    <w:rsid w:val="001A330C"/>
    <w:rsid w:val="001A536E"/>
    <w:rsid w:val="001A69F8"/>
    <w:rsid w:val="001B06F1"/>
    <w:rsid w:val="001B6D7B"/>
    <w:rsid w:val="001D1045"/>
    <w:rsid w:val="001D2DFA"/>
    <w:rsid w:val="001D4343"/>
    <w:rsid w:val="001D6AC1"/>
    <w:rsid w:val="001D6F92"/>
    <w:rsid w:val="001D7953"/>
    <w:rsid w:val="001E0D3E"/>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323D7"/>
    <w:rsid w:val="00233388"/>
    <w:rsid w:val="00244BE9"/>
    <w:rsid w:val="00245C61"/>
    <w:rsid w:val="00247F5A"/>
    <w:rsid w:val="002509C3"/>
    <w:rsid w:val="002537D2"/>
    <w:rsid w:val="00253C9C"/>
    <w:rsid w:val="00257A37"/>
    <w:rsid w:val="00261D15"/>
    <w:rsid w:val="00262C4F"/>
    <w:rsid w:val="00266090"/>
    <w:rsid w:val="00270382"/>
    <w:rsid w:val="00272DF4"/>
    <w:rsid w:val="002731CD"/>
    <w:rsid w:val="00275E44"/>
    <w:rsid w:val="00275F90"/>
    <w:rsid w:val="002808E7"/>
    <w:rsid w:val="00287500"/>
    <w:rsid w:val="002A0D40"/>
    <w:rsid w:val="002A5BF6"/>
    <w:rsid w:val="002A6C20"/>
    <w:rsid w:val="002B166E"/>
    <w:rsid w:val="002B1D31"/>
    <w:rsid w:val="002B1EBB"/>
    <w:rsid w:val="002B34D7"/>
    <w:rsid w:val="002C15C8"/>
    <w:rsid w:val="002C226C"/>
    <w:rsid w:val="002D0CFF"/>
    <w:rsid w:val="002D0FFA"/>
    <w:rsid w:val="002D28D2"/>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24DA"/>
    <w:rsid w:val="003743FC"/>
    <w:rsid w:val="00375690"/>
    <w:rsid w:val="00377572"/>
    <w:rsid w:val="0037799B"/>
    <w:rsid w:val="003808EC"/>
    <w:rsid w:val="00381EF7"/>
    <w:rsid w:val="0038365E"/>
    <w:rsid w:val="00383E49"/>
    <w:rsid w:val="00392C63"/>
    <w:rsid w:val="00393BB5"/>
    <w:rsid w:val="00393CA3"/>
    <w:rsid w:val="00393E5D"/>
    <w:rsid w:val="00394542"/>
    <w:rsid w:val="00395878"/>
    <w:rsid w:val="003A127E"/>
    <w:rsid w:val="003A1442"/>
    <w:rsid w:val="003A62DA"/>
    <w:rsid w:val="003B1B28"/>
    <w:rsid w:val="003B306C"/>
    <w:rsid w:val="003B3B16"/>
    <w:rsid w:val="003B598F"/>
    <w:rsid w:val="003B640D"/>
    <w:rsid w:val="003C1FD7"/>
    <w:rsid w:val="003D1D4A"/>
    <w:rsid w:val="003D342E"/>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27CB0"/>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921"/>
    <w:rsid w:val="00475D17"/>
    <w:rsid w:val="00487D22"/>
    <w:rsid w:val="004A3FDE"/>
    <w:rsid w:val="004A4399"/>
    <w:rsid w:val="004A5D54"/>
    <w:rsid w:val="004A7D39"/>
    <w:rsid w:val="004B011C"/>
    <w:rsid w:val="004B1511"/>
    <w:rsid w:val="004B20F4"/>
    <w:rsid w:val="004B3499"/>
    <w:rsid w:val="004B5BAB"/>
    <w:rsid w:val="004C4179"/>
    <w:rsid w:val="004C57ED"/>
    <w:rsid w:val="004D02D0"/>
    <w:rsid w:val="004D30E4"/>
    <w:rsid w:val="004D7866"/>
    <w:rsid w:val="004E0D7E"/>
    <w:rsid w:val="004E21AF"/>
    <w:rsid w:val="004E7807"/>
    <w:rsid w:val="004F3734"/>
    <w:rsid w:val="0050356B"/>
    <w:rsid w:val="00504993"/>
    <w:rsid w:val="0050653E"/>
    <w:rsid w:val="00524D9A"/>
    <w:rsid w:val="005261CE"/>
    <w:rsid w:val="00527479"/>
    <w:rsid w:val="00531EB8"/>
    <w:rsid w:val="00534411"/>
    <w:rsid w:val="0053488D"/>
    <w:rsid w:val="0054270D"/>
    <w:rsid w:val="00543090"/>
    <w:rsid w:val="00545153"/>
    <w:rsid w:val="00546A53"/>
    <w:rsid w:val="00546CE8"/>
    <w:rsid w:val="0055250C"/>
    <w:rsid w:val="005564BF"/>
    <w:rsid w:val="00560F29"/>
    <w:rsid w:val="005620E6"/>
    <w:rsid w:val="00562748"/>
    <w:rsid w:val="00565139"/>
    <w:rsid w:val="00565978"/>
    <w:rsid w:val="00570ACB"/>
    <w:rsid w:val="00570B04"/>
    <w:rsid w:val="00573189"/>
    <w:rsid w:val="00590429"/>
    <w:rsid w:val="005A2F2D"/>
    <w:rsid w:val="005A3DB6"/>
    <w:rsid w:val="005B4780"/>
    <w:rsid w:val="005B7F30"/>
    <w:rsid w:val="005C0BFC"/>
    <w:rsid w:val="005C1B57"/>
    <w:rsid w:val="005C40DB"/>
    <w:rsid w:val="005C41C8"/>
    <w:rsid w:val="005C5E1A"/>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979FD"/>
    <w:rsid w:val="006A0F56"/>
    <w:rsid w:val="006A7135"/>
    <w:rsid w:val="006A7A15"/>
    <w:rsid w:val="006B0030"/>
    <w:rsid w:val="006B20B7"/>
    <w:rsid w:val="006B75DC"/>
    <w:rsid w:val="006C0F60"/>
    <w:rsid w:val="006C156F"/>
    <w:rsid w:val="006C2332"/>
    <w:rsid w:val="006C46FF"/>
    <w:rsid w:val="006D25FF"/>
    <w:rsid w:val="006D4A3D"/>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08C9"/>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2A2B"/>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26D10"/>
    <w:rsid w:val="008304A2"/>
    <w:rsid w:val="00831E75"/>
    <w:rsid w:val="00833AF3"/>
    <w:rsid w:val="00835AEF"/>
    <w:rsid w:val="008413D0"/>
    <w:rsid w:val="00850414"/>
    <w:rsid w:val="00852E92"/>
    <w:rsid w:val="00854967"/>
    <w:rsid w:val="00854B74"/>
    <w:rsid w:val="00860FD3"/>
    <w:rsid w:val="0086189A"/>
    <w:rsid w:val="0086425A"/>
    <w:rsid w:val="00870084"/>
    <w:rsid w:val="00870584"/>
    <w:rsid w:val="0087329F"/>
    <w:rsid w:val="00882B84"/>
    <w:rsid w:val="008852D8"/>
    <w:rsid w:val="00893A88"/>
    <w:rsid w:val="00893F73"/>
    <w:rsid w:val="008941A3"/>
    <w:rsid w:val="008A125F"/>
    <w:rsid w:val="008A18BB"/>
    <w:rsid w:val="008A3880"/>
    <w:rsid w:val="008A7784"/>
    <w:rsid w:val="008B030A"/>
    <w:rsid w:val="008B55DB"/>
    <w:rsid w:val="008B627A"/>
    <w:rsid w:val="008B6FC9"/>
    <w:rsid w:val="008C13F4"/>
    <w:rsid w:val="008C70D0"/>
    <w:rsid w:val="008D1AB2"/>
    <w:rsid w:val="008D77EA"/>
    <w:rsid w:val="008E485A"/>
    <w:rsid w:val="008E7700"/>
    <w:rsid w:val="008F13D0"/>
    <w:rsid w:val="008F3B15"/>
    <w:rsid w:val="008F710C"/>
    <w:rsid w:val="008F7F12"/>
    <w:rsid w:val="00900838"/>
    <w:rsid w:val="009023B9"/>
    <w:rsid w:val="00911184"/>
    <w:rsid w:val="0093103B"/>
    <w:rsid w:val="00931A6C"/>
    <w:rsid w:val="00934065"/>
    <w:rsid w:val="0093641C"/>
    <w:rsid w:val="00937261"/>
    <w:rsid w:val="00940370"/>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5C0B"/>
    <w:rsid w:val="0099610C"/>
    <w:rsid w:val="00996CB2"/>
    <w:rsid w:val="00997388"/>
    <w:rsid w:val="009A33A3"/>
    <w:rsid w:val="009A33D6"/>
    <w:rsid w:val="009A3408"/>
    <w:rsid w:val="009B1E9B"/>
    <w:rsid w:val="009B3E5D"/>
    <w:rsid w:val="009B44F3"/>
    <w:rsid w:val="009B5FEF"/>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269F5"/>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1FB5"/>
    <w:rsid w:val="00AB445B"/>
    <w:rsid w:val="00AB44E9"/>
    <w:rsid w:val="00AC10CF"/>
    <w:rsid w:val="00AC3DC8"/>
    <w:rsid w:val="00AC415E"/>
    <w:rsid w:val="00AC54E0"/>
    <w:rsid w:val="00AD62B5"/>
    <w:rsid w:val="00AD6D8C"/>
    <w:rsid w:val="00AE17E5"/>
    <w:rsid w:val="00AE562C"/>
    <w:rsid w:val="00AF0EA8"/>
    <w:rsid w:val="00AF4358"/>
    <w:rsid w:val="00AF6AAB"/>
    <w:rsid w:val="00B030B0"/>
    <w:rsid w:val="00B0369A"/>
    <w:rsid w:val="00B0504A"/>
    <w:rsid w:val="00B0543E"/>
    <w:rsid w:val="00B11FFA"/>
    <w:rsid w:val="00B24486"/>
    <w:rsid w:val="00B30FAB"/>
    <w:rsid w:val="00B3773C"/>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34EF"/>
    <w:rsid w:val="00B96678"/>
    <w:rsid w:val="00B97DE3"/>
    <w:rsid w:val="00BA0B81"/>
    <w:rsid w:val="00BA4A1D"/>
    <w:rsid w:val="00BB1E3B"/>
    <w:rsid w:val="00BC1E0F"/>
    <w:rsid w:val="00BC2D0F"/>
    <w:rsid w:val="00BC5A2D"/>
    <w:rsid w:val="00BC5C70"/>
    <w:rsid w:val="00BC6FA5"/>
    <w:rsid w:val="00BC77BC"/>
    <w:rsid w:val="00BD2DE8"/>
    <w:rsid w:val="00BD44A1"/>
    <w:rsid w:val="00BE670A"/>
    <w:rsid w:val="00BF7CE9"/>
    <w:rsid w:val="00BF7D7E"/>
    <w:rsid w:val="00C06EBA"/>
    <w:rsid w:val="00C120DA"/>
    <w:rsid w:val="00C20246"/>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3256"/>
    <w:rsid w:val="00C8734B"/>
    <w:rsid w:val="00C8738D"/>
    <w:rsid w:val="00C962B9"/>
    <w:rsid w:val="00CA01CF"/>
    <w:rsid w:val="00CA4CE8"/>
    <w:rsid w:val="00CB0778"/>
    <w:rsid w:val="00CB5F25"/>
    <w:rsid w:val="00CC0535"/>
    <w:rsid w:val="00CC5625"/>
    <w:rsid w:val="00CD11CA"/>
    <w:rsid w:val="00CD2BCD"/>
    <w:rsid w:val="00CE1BA9"/>
    <w:rsid w:val="00CE59D3"/>
    <w:rsid w:val="00CE7002"/>
    <w:rsid w:val="00CF03CE"/>
    <w:rsid w:val="00CF1A5E"/>
    <w:rsid w:val="00CF62AF"/>
    <w:rsid w:val="00D01141"/>
    <w:rsid w:val="00D01589"/>
    <w:rsid w:val="00D023BB"/>
    <w:rsid w:val="00D02C0D"/>
    <w:rsid w:val="00D03655"/>
    <w:rsid w:val="00D120AB"/>
    <w:rsid w:val="00D13B17"/>
    <w:rsid w:val="00D17A6A"/>
    <w:rsid w:val="00D258E1"/>
    <w:rsid w:val="00D26529"/>
    <w:rsid w:val="00D30F34"/>
    <w:rsid w:val="00D35CDA"/>
    <w:rsid w:val="00D36E0B"/>
    <w:rsid w:val="00D45645"/>
    <w:rsid w:val="00D477DE"/>
    <w:rsid w:val="00D52F5B"/>
    <w:rsid w:val="00D54A32"/>
    <w:rsid w:val="00D572DC"/>
    <w:rsid w:val="00D60649"/>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31F9"/>
    <w:rsid w:val="00E358D1"/>
    <w:rsid w:val="00E35BB3"/>
    <w:rsid w:val="00E42FFF"/>
    <w:rsid w:val="00E45546"/>
    <w:rsid w:val="00E51F04"/>
    <w:rsid w:val="00E52D7D"/>
    <w:rsid w:val="00E52EA3"/>
    <w:rsid w:val="00E534E7"/>
    <w:rsid w:val="00E55BFD"/>
    <w:rsid w:val="00E56322"/>
    <w:rsid w:val="00E568C8"/>
    <w:rsid w:val="00E625CB"/>
    <w:rsid w:val="00E62871"/>
    <w:rsid w:val="00E66E66"/>
    <w:rsid w:val="00E66EC0"/>
    <w:rsid w:val="00E8098B"/>
    <w:rsid w:val="00E82704"/>
    <w:rsid w:val="00EA05C8"/>
    <w:rsid w:val="00EA3FB9"/>
    <w:rsid w:val="00EA40F9"/>
    <w:rsid w:val="00EA572E"/>
    <w:rsid w:val="00EB2478"/>
    <w:rsid w:val="00EC4DA1"/>
    <w:rsid w:val="00EC4F77"/>
    <w:rsid w:val="00ED502E"/>
    <w:rsid w:val="00EE1E62"/>
    <w:rsid w:val="00EE3312"/>
    <w:rsid w:val="00EF166B"/>
    <w:rsid w:val="00EF1F16"/>
    <w:rsid w:val="00F00AF3"/>
    <w:rsid w:val="00F10F64"/>
    <w:rsid w:val="00F215CB"/>
    <w:rsid w:val="00F22CD0"/>
    <w:rsid w:val="00F3044D"/>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677"/>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 w:type="character" w:customStyle="1" w:styleId="fontstyle01">
    <w:name w:val="fontstyle01"/>
    <w:basedOn w:val="Fuentedeprrafopredeter"/>
    <w:rsid w:val="0086189A"/>
    <w:rPr>
      <w:rFonts w:ascii="MathematicalPi-One" w:hAnsi="MathematicalPi-One" w:hint="default"/>
      <w:b w:val="0"/>
      <w:bCs w:val="0"/>
      <w:i w:val="0"/>
      <w:iCs w:val="0"/>
      <w:color w:val="242021"/>
      <w:sz w:val="20"/>
      <w:szCs w:val="20"/>
    </w:rPr>
  </w:style>
  <w:style w:type="character" w:customStyle="1" w:styleId="fontstyle21">
    <w:name w:val="fontstyle21"/>
    <w:basedOn w:val="Fuentedeprrafopredeter"/>
    <w:rsid w:val="00CF1A5E"/>
    <w:rPr>
      <w:rFonts w:ascii="ITCSymbolStd-Book" w:hAnsi="ITCSymbolStd-Book"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378162D4-013E-44CA-9BD2-716E42D51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13982</TotalTime>
  <Pages>33</Pages>
  <Words>56384</Words>
  <Characters>310117</Characters>
  <Application>Microsoft Office Word</Application>
  <DocSecurity>0</DocSecurity>
  <Lines>2584</Lines>
  <Paragraphs>731</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365770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149</cp:revision>
  <cp:lastPrinted>2018-10-10T04:01:00Z</cp:lastPrinted>
  <dcterms:created xsi:type="dcterms:W3CDTF">2018-10-07T08:04:00Z</dcterms:created>
  <dcterms:modified xsi:type="dcterms:W3CDTF">2018-12-11T17:28:00Z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