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1FB88A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C06EBA">
        <w:rPr>
          <w:rFonts w:cs="Arial"/>
          <w:szCs w:val="24"/>
          <w:lang w:val="es-MX"/>
        </w:rPr>
        <w:t xml:space="preserve">El análisis molecular muestra </w:t>
      </w:r>
      <w:r w:rsidR="00F871C8" w:rsidRPr="001133CE">
        <w:rPr>
          <w:rFonts w:cs="Arial"/>
          <w:szCs w:val="24"/>
          <w:lang w:val="es-MX"/>
        </w:rPr>
        <w:t>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rsidRPr="00381EF7">
                <w:rPr>
                  <w:lang w:val="es-MX"/>
                </w:rPr>
                <w:t>‬</w:t>
              </w:r>
              <w:r w:rsidR="006A7A15" w:rsidRPr="00381EF7">
                <w:rPr>
                  <w:lang w:val="es-MX"/>
                </w:rPr>
                <w:t>‬</w:t>
              </w:r>
              <w:r w:rsidR="006A7A15" w:rsidRPr="00381EF7">
                <w:rPr>
                  <w:lang w:val="es-MX"/>
                </w:rPr>
                <w:t>‬</w:t>
              </w:r>
              <w:r w:rsidR="006A7A15" w:rsidRPr="00381EF7">
                <w:rPr>
                  <w:lang w:val="es-MX"/>
                </w:rPr>
                <w:t>‬</w:t>
              </w:r>
              <w:r w:rsidR="007508C9" w:rsidRPr="00381EF7">
                <w:rPr>
                  <w:lang w:val="es-MX"/>
                </w:rPr>
                <w:t>‬</w:t>
              </w:r>
              <w:r w:rsidR="007508C9" w:rsidRPr="00381EF7">
                <w:rPr>
                  <w:lang w:val="es-MX"/>
                </w:rPr>
                <w:t>‬</w:t>
              </w:r>
              <w:r w:rsidR="007508C9" w:rsidRPr="00381EF7">
                <w:rPr>
                  <w:lang w:val="es-MX"/>
                </w:rPr>
                <w:t>‬</w:t>
              </w:r>
              <w:r w:rsidR="007508C9" w:rsidRPr="00381EF7">
                <w:rPr>
                  <w:lang w:val="es-MX"/>
                </w:rPr>
                <w:t>‬</w:t>
              </w:r>
              <w:r w:rsidR="00C06EBA" w:rsidRPr="00C06EBA">
                <w:rPr>
                  <w:lang w:val="es-MX"/>
                </w:rPr>
                <w:t>‬</w:t>
              </w:r>
              <w:r w:rsidR="00C06EBA" w:rsidRPr="00C06EBA">
                <w:rPr>
                  <w:lang w:val="es-MX"/>
                </w:rPr>
                <w:t>‬</w:t>
              </w:r>
              <w:r w:rsidR="00C06EBA" w:rsidRPr="00C06EBA">
                <w:rPr>
                  <w:lang w:val="es-MX"/>
                </w:rPr>
                <w:t>‬</w:t>
              </w:r>
              <w:r w:rsidR="00C06EBA" w:rsidRPr="00C06EBA">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4CA1DFBD"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79113DF5" w14:textId="77777777" w:rsidR="00C06EBA" w:rsidRDefault="00C06EBA" w:rsidP="002323D7">
      <w:pPr>
        <w:spacing w:after="0" w:line="360" w:lineRule="auto"/>
        <w:rPr>
          <w:rFonts w:cs="Arial"/>
          <w:szCs w:val="24"/>
          <w:lang w:val="es-MX"/>
        </w:rPr>
      </w:pPr>
    </w:p>
    <w:p w14:paraId="63523E9F" w14:textId="0EBF0966" w:rsidR="000975FA"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 xml:space="preserve">creció ligeramente un poco más que las cepas con deleción del gen, situación que se vio alterada por acción de la luz, donde en condiciones de </w:t>
      </w:r>
      <w:r w:rsidR="00C06EBA">
        <w:rPr>
          <w:rFonts w:eastAsia="Times New Roman" w:cs="Arial"/>
          <w:szCs w:val="24"/>
          <w:lang w:val="es-ES" w:eastAsia="es-MX"/>
        </w:rPr>
        <w:t>LL (</w:t>
      </w:r>
      <w:r w:rsidRPr="001133CE">
        <w:rPr>
          <w:rFonts w:eastAsia="Times New Roman" w:cs="Arial"/>
          <w:szCs w:val="24"/>
          <w:lang w:val="es-ES" w:eastAsia="es-MX"/>
        </w:rPr>
        <w:t>L</w:t>
      </w:r>
      <w:r w:rsidR="00C06EBA">
        <w:rPr>
          <w:rFonts w:eastAsia="Times New Roman" w:cs="Arial"/>
          <w:szCs w:val="24"/>
          <w:lang w:val="es-ES" w:eastAsia="es-MX"/>
        </w:rPr>
        <w:t>ight-Light)</w:t>
      </w:r>
      <w:r w:rsidRPr="001133CE">
        <w:rPr>
          <w:rFonts w:eastAsia="Times New Roman" w:cs="Arial"/>
          <w:szCs w:val="24"/>
          <w:lang w:val="es-ES" w:eastAsia="es-MX"/>
        </w:rPr>
        <w:t xml:space="preserve">, ∆gna-1  presenta un mayor crecimiento que gna-1Q204L  en presencia de menadiona y crece menos que gna-1Q204L  en ausencia de menadiona </w:t>
      </w:r>
      <w:r w:rsidR="00C06EBA">
        <w:rPr>
          <w:rFonts w:eastAsia="Times New Roman" w:cs="Arial"/>
          <w:szCs w:val="24"/>
          <w:lang w:val="es-ES" w:eastAsia="es-MX"/>
        </w:rPr>
        <w:t xml:space="preserve"> </w:t>
      </w:r>
      <w:r w:rsidR="00C06EBA">
        <w:rPr>
          <w:rFonts w:eastAsia="Times New Roman" w:cs="Arial"/>
          <w:szCs w:val="24"/>
          <w:lang w:val="es-ES" w:eastAsia="es-MX"/>
        </w:rPr>
        <w:fldChar w:fldCharType="begin" w:fldLock="1"/>
      </w:r>
      <w:r w:rsidR="00C20246">
        <w:rPr>
          <w:rFonts w:eastAsia="Times New Roman" w:cs="Arial"/>
          <w:szCs w:val="24"/>
          <w:lang w:val="es-ES" w:eastAsia="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mendeley":{"formattedCitation":"[47]","plainTextFormattedCitation":"[47]","previouslyFormattedCitation":"[47]"},"properties":{"noteIndex":0},"schema":"https://github.com/citation-style-language/schema/raw/master/csl-citation.json"}</w:instrText>
      </w:r>
      <w:r w:rsidR="00C06EBA">
        <w:rPr>
          <w:rFonts w:eastAsia="Times New Roman" w:cs="Arial"/>
          <w:szCs w:val="24"/>
          <w:lang w:val="es-ES" w:eastAsia="es-MX"/>
        </w:rPr>
        <w:fldChar w:fldCharType="separate"/>
      </w:r>
      <w:r w:rsidR="00C06EBA" w:rsidRPr="00C06EBA">
        <w:rPr>
          <w:rFonts w:eastAsia="Times New Roman" w:cs="Arial"/>
          <w:noProof/>
          <w:szCs w:val="24"/>
          <w:lang w:val="es-ES" w:eastAsia="es-MX"/>
        </w:rPr>
        <w:t>[47]</w:t>
      </w:r>
      <w:r w:rsidR="00C06EBA">
        <w:rPr>
          <w:rFonts w:eastAsia="Times New Roman" w:cs="Arial"/>
          <w:szCs w:val="24"/>
          <w:lang w:val="es-ES" w:eastAsia="es-MX"/>
        </w:rPr>
        <w:fldChar w:fldCharType="end"/>
      </w:r>
      <w:r w:rsidRPr="001133CE">
        <w:rPr>
          <w:rFonts w:eastAsia="Times New Roman" w:cs="Arial"/>
          <w:szCs w:val="24"/>
          <w:lang w:val="es-ES" w:eastAsia="es-MX"/>
        </w:rPr>
        <w:t>.</w:t>
      </w:r>
    </w:p>
    <w:p w14:paraId="00840862" w14:textId="35C68C59" w:rsidR="00C06EBA" w:rsidRDefault="00C06EBA" w:rsidP="000975FA">
      <w:pPr>
        <w:spacing w:after="0" w:line="360" w:lineRule="auto"/>
        <w:rPr>
          <w:rFonts w:eastAsia="Times New Roman" w:cs="Arial"/>
          <w:szCs w:val="24"/>
          <w:lang w:val="es-ES" w:eastAsia="es-MX"/>
        </w:rPr>
      </w:pPr>
    </w:p>
    <w:p w14:paraId="4D04A934" w14:textId="77777777" w:rsidR="007508C9" w:rsidRPr="001133CE" w:rsidRDefault="007508C9" w:rsidP="000975FA">
      <w:pPr>
        <w:spacing w:after="0" w:line="360" w:lineRule="auto"/>
        <w:rPr>
          <w:rFonts w:eastAsia="Times New Roman" w:cs="Arial"/>
          <w:szCs w:val="24"/>
          <w:lang w:val="es-ES" w:eastAsia="es-MX"/>
        </w:rPr>
      </w:pPr>
    </w:p>
    <w:p w14:paraId="6539347F" w14:textId="1C8A6B55"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N. crassa,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0544658A" w14:textId="77777777" w:rsidR="007508C9" w:rsidRDefault="007508C9" w:rsidP="000975FA">
      <w:pPr>
        <w:spacing w:after="0" w:line="360" w:lineRule="auto"/>
        <w:rPr>
          <w:rFonts w:eastAsia="Times New Roman" w:cs="Arial"/>
          <w:szCs w:val="24"/>
          <w:lang w:val="es-ES" w:eastAsia="es-MX"/>
        </w:rPr>
      </w:pPr>
    </w:p>
    <w:p w14:paraId="7CB62B67" w14:textId="4FEB6AD3" w:rsidR="00A269F5" w:rsidRDefault="000975FA" w:rsidP="00A269F5">
      <w:pPr>
        <w:spacing w:after="0" w:line="360" w:lineRule="auto"/>
        <w:rPr>
          <w:rFonts w:cs="Arial"/>
          <w:szCs w:val="24"/>
          <w:lang w:val="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w:t>
      </w:r>
    </w:p>
    <w:p w14:paraId="5E9FEB10" w14:textId="6A4488D8" w:rsidR="000975FA" w:rsidRPr="00A269F5" w:rsidRDefault="000975FA" w:rsidP="000975FA">
      <w:pPr>
        <w:spacing w:after="0" w:line="360" w:lineRule="auto"/>
        <w:rPr>
          <w:rFonts w:eastAsia="Times New Roman" w:cs="Arial"/>
          <w:szCs w:val="24"/>
          <w:lang w:val="es-MX" w:eastAsia="es-MX"/>
        </w:rPr>
      </w:pP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3045B37A" w14:textId="463B3086" w:rsidR="00A269F5" w:rsidRDefault="00A269F5" w:rsidP="002323D7">
      <w:pPr>
        <w:spacing w:after="0" w:line="360" w:lineRule="auto"/>
        <w:rPr>
          <w:rFonts w:cs="Arial"/>
          <w:szCs w:val="24"/>
          <w:lang w:val="es-MX"/>
        </w:rPr>
      </w:pPr>
      <w:r>
        <w:rPr>
          <w:rFonts w:eastAsia="Times New Roman" w:cs="Arial"/>
          <w:szCs w:val="24"/>
          <w:lang w:val="es-ES" w:eastAsia="es-MX"/>
        </w:rPr>
        <w:t xml:space="preserve">Frente a agentes oxidativos fuertes, se han encontrado enzimas conservadas como las SOD, </w:t>
      </w:r>
      <w:r>
        <w:rPr>
          <w:rFonts w:cs="Arial"/>
          <w:szCs w:val="24"/>
          <w:lang w:val="es-MX"/>
        </w:rPr>
        <w:t xml:space="preserve">acorde a su cofactor metálico, las SOD pueden clasificarse en tres isoformas principales Cu/ZnSOD, MnSOD, y FeSOD, estas dos últimas aparecen como homodimeros u homotetrámeros que se parece unas con otras en su secuencia y estructura </w:t>
      </w:r>
      <w:r>
        <w:rPr>
          <w:rFonts w:cs="Arial"/>
          <w:szCs w:val="24"/>
          <w:lang w:val="es-MX"/>
        </w:rPr>
        <w:fldChar w:fldCharType="begin" w:fldLock="1"/>
      </w:r>
      <w:r w:rsidR="00C20246">
        <w:rPr>
          <w:rFonts w:cs="Arial"/>
          <w:szCs w:val="24"/>
          <w:lang w:val="es-MX"/>
        </w:rPr>
        <w:instrText>ADDIN CSL_CITATION {"citationItems":[{"id":"ITEM-1","itemData":{"DOI":"10.1016/J.YMPEV.2006.05.001","ISSN":"1055-7903","abstract":"Superoxide dismutases (SODs), which provide protection against oxidative stress, exhibit an essential role for fungal cell survival, especially during host invasion. Here, 20 partial SOD sequences from 19 pathogenic fungi were determined and aligned with 43 homologous fungal sequences from databases. All sequences encoded tetrameric manganese (Mn)-containing SODs showing predicted cytosolic or mitochondrial subcellular localization. Numerous fungi possessed both cytosolic and mitochondrial MnSODs in addition to the mainly cytosolic copper/zinc isozyme. Moreover, MnSOD sequence variability was higher than SSU rRNA and similar to ITS rRNA, suggesting MnSOD could be used to identify closely related fungal species. MnSOD- and SSU rRNA-based phylogenetic trees were constructed and compared. Despite a more complex topology of the MnSOD tree, due to several gene duplication events, all the classic fungal classes and orders were recovered. A salient point was the existence of two paralogous cytosolic and mitochondrial MnSODs in some Ascomycota. A hypothetical evolutionary scenario with an early gene duplication of the “mitochondrial” gene is proposed.","author":[{"dropping-particle":"","family":"Fréalle","given":"Emilie","non-dropping-particle":"","parse-names":false,"suffix":""},{"dropping-particle":"","family":"Noël","given":"Christophe","non-dropping-particle":"","parse-names":false,"suffix":""},{"dropping-particle":"","family":"Nolard","given":"Nicole","non-dropping-particle":"","parse-names":false,"suffix":""},{"dropping-particle":"","family":"Symoens","given":"Françoise","non-dropping-particle":"","parse-names":false,"suffix":""},{"dropping-particle":"","family":"Felipe","given":"Maria-Sueli","non-dropping-particle":"","parse-names":false,"suffix":""},{"dropping-particle":"","family":"Dei-Cas","given":"Eduardo","non-dropping-particle":"","parse-names":false,"suffix":""},{"dropping-particle":"","family":"Camus","given":"Daniel","non-dropping-particle":"","parse-names":false,"suffix":""},{"dropping-particle":"","family":"Viscogliosi","given":"Eric","non-dropping-particle":"","parse-names":false,"suffix":""},{"dropping-particle":"","family":"Delhaes","given":"Laurence","non-dropping-particle":"","parse-names":false,"suffix":""}],"container-title":"Molecular Phylogenetics and Evolution","id":"ITEM-1","issue":"1","issued":{"date-parts":[["2006","10","1"]]},"page":"28-39","publisher":"Academic Press","title":"Manganese superoxide dismutase based phylogeny of pathogenic fungi","type":"article-journal","volume":"41"},"uris":["http://www.mendeley.com/documents/?uuid=e58bd13c-c30d-3ac5-9112-9518b395195e"]}],"mendeley":{"formattedCitation":"[48]","plainTextFormattedCitation":"[48]","previouslyFormattedCitation":"[48]"},"properties":{"noteIndex":0},"schema":"https://github.com/citation-style-language/schema/raw/master/csl-citation.json"}</w:instrText>
      </w:r>
      <w:r>
        <w:rPr>
          <w:rFonts w:cs="Arial"/>
          <w:szCs w:val="24"/>
          <w:lang w:val="es-MX"/>
        </w:rPr>
        <w:fldChar w:fldCharType="separate"/>
      </w:r>
      <w:r w:rsidR="00C06EBA" w:rsidRPr="00C06EBA">
        <w:rPr>
          <w:rFonts w:cs="Arial"/>
          <w:noProof/>
          <w:szCs w:val="24"/>
          <w:lang w:val="es-MX"/>
        </w:rPr>
        <w:t>[48]</w:t>
      </w:r>
      <w:r>
        <w:rPr>
          <w:rFonts w:cs="Arial"/>
          <w:szCs w:val="24"/>
          <w:lang w:val="es-MX"/>
        </w:rPr>
        <w:fldChar w:fldCharType="end"/>
      </w:r>
      <w:r>
        <w:rPr>
          <w:rFonts w:cs="Arial"/>
          <w:szCs w:val="24"/>
          <w:lang w:val="es-MX"/>
        </w:rPr>
        <w:t>, en S. c</w:t>
      </w:r>
      <w:r w:rsidR="002D28D2">
        <w:rPr>
          <w:rFonts w:cs="Arial"/>
          <w:szCs w:val="24"/>
          <w:lang w:val="es-MX"/>
        </w:rPr>
        <w:t>erevisia</w:t>
      </w:r>
      <w:r>
        <w:rPr>
          <w:rFonts w:cs="Arial"/>
          <w:szCs w:val="24"/>
          <w:lang w:val="es-MX"/>
        </w:rPr>
        <w:t>e</w:t>
      </w:r>
      <w:r w:rsidR="002D28D2">
        <w:rPr>
          <w:rFonts w:cs="Arial"/>
          <w:szCs w:val="24"/>
          <w:lang w:val="es-MX"/>
        </w:rPr>
        <w:t>, la MnSOD ha sido reportada por participar en la respuesta a estrés oxidativo</w:t>
      </w:r>
      <w:r>
        <w:rPr>
          <w:rFonts w:cs="Arial"/>
          <w:szCs w:val="24"/>
          <w:lang w:val="es-MX"/>
        </w:rPr>
        <w:t xml:space="preserve"> </w:t>
      </w:r>
      <w:r w:rsidR="002D28D2">
        <w:rPr>
          <w:rFonts w:cs="Arial"/>
          <w:szCs w:val="24"/>
          <w:lang w:val="es-MX"/>
        </w:rPr>
        <w:t>(figura 2), y de la que se han encontrado ortólogos en hongos filamentosos, que también presentan otras SOD participando en la respuesta a estrés, en</w:t>
      </w:r>
      <w:r w:rsidR="002D28D2">
        <w:rPr>
          <w:rFonts w:eastAsia="Times New Roman" w:cs="Arial"/>
          <w:szCs w:val="24"/>
          <w:lang w:val="es-ES" w:eastAsia="es-MX"/>
        </w:rPr>
        <w:t xml:space="preserve"> </w:t>
      </w:r>
      <w:r w:rsidR="002D28D2" w:rsidRPr="002D28D2">
        <w:rPr>
          <w:rFonts w:eastAsia="Times New Roman" w:cs="Arial"/>
          <w:i/>
          <w:szCs w:val="24"/>
          <w:lang w:val="es-ES" w:eastAsia="es-MX"/>
        </w:rPr>
        <w:t>N</w:t>
      </w:r>
      <w:r w:rsidR="002D28D2">
        <w:rPr>
          <w:rFonts w:eastAsia="Times New Roman" w:cs="Arial"/>
          <w:i/>
          <w:szCs w:val="24"/>
          <w:lang w:val="es-ES" w:eastAsia="es-MX"/>
        </w:rPr>
        <w:t>.</w:t>
      </w:r>
      <w:r w:rsidR="002D28D2" w:rsidRPr="002D28D2">
        <w:rPr>
          <w:rFonts w:eastAsia="Times New Roman" w:cs="Arial"/>
          <w:i/>
          <w:szCs w:val="24"/>
          <w:lang w:val="es-ES" w:eastAsia="es-MX"/>
        </w:rPr>
        <w:t xml:space="preserve"> crassa</w:t>
      </w:r>
      <w:r w:rsidR="002D28D2">
        <w:rPr>
          <w:rFonts w:eastAsia="Times New Roman" w:cs="Arial"/>
          <w:szCs w:val="24"/>
          <w:lang w:val="es-ES" w:eastAsia="es-MX"/>
        </w:rPr>
        <w:t xml:space="preserve"> se ha encontrado la</w:t>
      </w:r>
      <w:r>
        <w:rPr>
          <w:rFonts w:eastAsia="Times New Roman" w:cs="Arial"/>
          <w:szCs w:val="24"/>
          <w:lang w:val="es-ES" w:eastAsia="es-MX"/>
        </w:rPr>
        <w:t xml:space="preserve"> </w:t>
      </w:r>
      <w:r>
        <w:rPr>
          <w:rFonts w:cs="Arial"/>
          <w:szCs w:val="24"/>
          <w:lang w:val="es-MX"/>
        </w:rPr>
        <w:t xml:space="preserve">SOD-Cu/Zn codificada por el gen dos-1, enzima que al estar ausente, aumenta la sensibilidad a paraquat. </w:t>
      </w:r>
    </w:p>
    <w:p w14:paraId="4FA40339" w14:textId="77777777" w:rsidR="002D28D2" w:rsidRDefault="002D28D2" w:rsidP="002323D7">
      <w:pPr>
        <w:spacing w:after="0" w:line="360" w:lineRule="auto"/>
        <w:rPr>
          <w:rFonts w:eastAsia="Times New Roman" w:cs="Arial"/>
          <w:szCs w:val="24"/>
          <w:lang w:val="es-ES" w:eastAsia="es-MX"/>
        </w:rPr>
      </w:pPr>
    </w:p>
    <w:p w14:paraId="0FFE8E4C" w14:textId="16427AB3"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w:t>
      </w:r>
      <w:r w:rsidR="00893F73">
        <w:rPr>
          <w:rFonts w:cs="Arial"/>
          <w:szCs w:val="24"/>
          <w:lang w:val="es-MX"/>
        </w:rPr>
        <w:t xml:space="preserve"> de hierro o de manganeso</w:t>
      </w:r>
      <w:r w:rsidRPr="001133CE">
        <w:rPr>
          <w:rFonts w:cs="Arial"/>
          <w:szCs w:val="24"/>
          <w:lang w:val="es-MX"/>
        </w:rPr>
        <w:t xml:space="preserve"> (SOD</w:t>
      </w:r>
      <w:r w:rsidR="00893F73">
        <w:rPr>
          <w:rFonts w:cs="Arial"/>
          <w:szCs w:val="24"/>
          <w:lang w:val="es-MX"/>
        </w:rPr>
        <w:t>-</w:t>
      </w:r>
      <w:r w:rsidR="00893F73" w:rsidRPr="00893F73">
        <w:rPr>
          <w:rFonts w:cs="Arial"/>
          <w:szCs w:val="24"/>
          <w:lang w:val="es-MX"/>
        </w:rPr>
        <w:t xml:space="preserve"> </w:t>
      </w:r>
      <w:r w:rsidR="00893F73">
        <w:rPr>
          <w:rFonts w:cs="Arial"/>
          <w:szCs w:val="24"/>
          <w:lang w:val="es-MX"/>
        </w:rPr>
        <w:t>Fe/Mn</w:t>
      </w:r>
      <w:r w:rsidRPr="001133CE">
        <w:rPr>
          <w:rFonts w:cs="Arial"/>
          <w:szCs w:val="24"/>
          <w:lang w:val="es-MX"/>
        </w:rPr>
        <w:t>),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w:t>
      </w:r>
      <w:r w:rsidR="002D28D2">
        <w:rPr>
          <w:rFonts w:cs="Arial"/>
          <w:szCs w:val="24"/>
          <w:lang w:val="es-MX"/>
        </w:rPr>
        <w:t>ior</w:t>
      </w:r>
      <w:r w:rsidRPr="001133CE">
        <w:rPr>
          <w:rFonts w:cs="Arial"/>
          <w:szCs w:val="24"/>
          <w:lang w:val="es-MX"/>
        </w:rPr>
        <w:t xml:space="preserve">,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10F99B3B" w14:textId="588C844B" w:rsidR="007508C9" w:rsidRDefault="007508C9" w:rsidP="002323D7">
      <w:pPr>
        <w:spacing w:after="0" w:line="360" w:lineRule="auto"/>
        <w:rPr>
          <w:rFonts w:cs="Arial"/>
          <w:szCs w:val="24"/>
          <w:lang w:val="es-MX"/>
        </w:rPr>
      </w:pPr>
    </w:p>
    <w:p w14:paraId="22F022CF" w14:textId="77777777" w:rsidR="000975FA" w:rsidRPr="006B75DC" w:rsidRDefault="000975FA" w:rsidP="002323D7">
      <w:pPr>
        <w:spacing w:after="0" w:line="360" w:lineRule="auto"/>
        <w:rPr>
          <w:rFonts w:cs="Arial"/>
          <w:i/>
          <w:szCs w:val="24"/>
          <w:lang w:val="es-MX"/>
        </w:rPr>
      </w:pPr>
    </w:p>
    <w:p w14:paraId="7FA1AC7C" w14:textId="616C66A1" w:rsidR="005564BF" w:rsidRDefault="005564BF" w:rsidP="002323D7">
      <w:pPr>
        <w:spacing w:after="0" w:line="360" w:lineRule="auto"/>
        <w:rPr>
          <w:rFonts w:eastAsia="Times New Roman" w:cs="Arial"/>
          <w:szCs w:val="24"/>
          <w:lang w:val="es-ES" w:eastAsia="es-MX"/>
        </w:rPr>
      </w:pPr>
      <w:r>
        <w:rPr>
          <w:rFonts w:eastAsia="Times New Roman" w:cs="Arial"/>
          <w:szCs w:val="24"/>
          <w:lang w:val="es-ES" w:eastAsia="es-MX"/>
        </w:rPr>
        <w:t>STRE dependientes de cAMP aparecen durante el estrés pero se desconoce como regulan los genes de respuesta a estrés, no explican la expresión de todos los genes de respuesta a estrés</w:t>
      </w:r>
    </w:p>
    <w:p w14:paraId="61DA7234" w14:textId="77777777" w:rsidR="005564BF" w:rsidRDefault="005564BF" w:rsidP="002323D7">
      <w:pPr>
        <w:spacing w:after="0" w:line="360" w:lineRule="auto"/>
        <w:rPr>
          <w:rFonts w:eastAsia="Times New Roman" w:cs="Arial"/>
          <w:szCs w:val="24"/>
          <w:lang w:val="es-ES" w:eastAsia="es-MX"/>
        </w:rPr>
      </w:pPr>
    </w:p>
    <w:p w14:paraId="4150EBAE" w14:textId="75AA6907" w:rsidR="0050653E" w:rsidRDefault="00F94969" w:rsidP="002323D7">
      <w:pPr>
        <w:spacing w:after="0" w:line="360" w:lineRule="auto"/>
        <w:rPr>
          <w:rFonts w:eastAsia="Times New Roman" w:cs="Arial"/>
          <w:szCs w:val="24"/>
          <w:lang w:val="es-MX" w:eastAsia="es-MX"/>
        </w:rPr>
      </w:pPr>
      <w:r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6FAAE984" w14:textId="77777777"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40D18DA5"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C20246">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[49]","plainTextFormattedCitation":"[49]","previouslyFormattedCitation":"[49]"},"properties":{"noteIndex":0},"schema":"https://github.com/citation-style-language/schema/raw/master/csl-citation.json"}</w:instrText>
      </w:r>
      <w:r w:rsidRPr="001133CE">
        <w:rPr>
          <w:rFonts w:cs="Arial"/>
          <w:szCs w:val="24"/>
          <w:lang w:val="es-MX"/>
        </w:rPr>
        <w:fldChar w:fldCharType="separate"/>
      </w:r>
      <w:r w:rsidR="00C06EBA" w:rsidRPr="00C06EBA">
        <w:rPr>
          <w:rFonts w:cs="Arial"/>
          <w:noProof/>
          <w:szCs w:val="24"/>
          <w:lang w:val="es-MX"/>
        </w:rPr>
        <w:t>[49]</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w:t>
      </w:r>
      <w:r w:rsidR="00C83256">
        <w:rPr>
          <w:rFonts w:cs="Arial"/>
          <w:szCs w:val="24"/>
          <w:lang w:val="es-MX"/>
        </w:rPr>
        <w:t>i</w:t>
      </w:r>
      <w:r w:rsidR="00620D3E" w:rsidRPr="001133CE">
        <w:rPr>
          <w:rFonts w:cs="Arial"/>
          <w:szCs w:val="24"/>
          <w:lang w:val="es-MX"/>
        </w:rPr>
        <w:t>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C83256">
        <w:rPr>
          <w:rFonts w:cs="Arial"/>
          <w:szCs w:val="24"/>
          <w:lang w:val="es-MX"/>
        </w:rPr>
        <w:t xml:space="preserve"> condiciones hi</w:t>
      </w:r>
      <w:r w:rsidR="00931A6C" w:rsidRPr="001133CE">
        <w:rPr>
          <w:rFonts w:cs="Arial"/>
          <w:szCs w:val="24"/>
          <w:lang w:val="es-MX"/>
        </w:rPr>
        <w:t>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C20246">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[50]","plainTextFormattedCitation":"[50]","previouslyFormattedCitation":"[50]"},"properties":{"noteIndex":0},"schema":"https://github.com/citation-style-language/schema/raw/master/csl-citation.json"}</w:instrText>
      </w:r>
      <w:r w:rsidR="00B634A1" w:rsidRPr="001133CE">
        <w:rPr>
          <w:rFonts w:cs="Arial"/>
          <w:szCs w:val="24"/>
          <w:lang w:val="es-ES"/>
        </w:rPr>
        <w:fldChar w:fldCharType="separate"/>
      </w:r>
      <w:r w:rsidR="00C06EBA" w:rsidRPr="00C06EBA">
        <w:rPr>
          <w:rFonts w:cs="Arial"/>
          <w:noProof/>
          <w:szCs w:val="24"/>
          <w:lang w:val="es-ES"/>
        </w:rPr>
        <w:t>[50]</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C20246">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[51]","plainTextFormattedCitation":"[51]","previouslyFormattedCitation":"[51]"},"properties":{"noteIndex":0},"schema":"https://github.com/citation-style-language/schema/raw/master/csl-citation.json"}</w:instrText>
      </w:r>
      <w:r w:rsidR="005D4591" w:rsidRPr="001133CE">
        <w:rPr>
          <w:rFonts w:cs="Arial"/>
          <w:szCs w:val="24"/>
          <w:lang w:val="es-MX"/>
        </w:rPr>
        <w:fldChar w:fldCharType="separate"/>
      </w:r>
      <w:r w:rsidR="00C06EBA" w:rsidRPr="00C06EBA">
        <w:rPr>
          <w:rFonts w:cs="Arial"/>
          <w:noProof/>
          <w:szCs w:val="24"/>
          <w:lang w:val="es-MX"/>
        </w:rPr>
        <w:t>[51]</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3903083D" w14:textId="77777777" w:rsidR="00C83256" w:rsidRDefault="00C83256">
      <w:pPr>
        <w:rPr>
          <w:rFonts w:cs="Arial"/>
          <w:szCs w:val="24"/>
          <w:highlight w:val="yellow"/>
          <w:lang w:val="es-MX"/>
        </w:rPr>
      </w:pPr>
    </w:p>
    <w:p w14:paraId="219A651D" w14:textId="530E6E25" w:rsidR="002323D7" w:rsidRDefault="002323D7">
      <w:pPr>
        <w:rPr>
          <w:rFonts w:cs="Arial"/>
          <w:szCs w:val="24"/>
          <w:highlight w:val="yellow"/>
          <w:lang w:val="es-MX"/>
        </w:rPr>
      </w:pPr>
      <w:r>
        <w:rPr>
          <w:rFonts w:cs="Arial"/>
          <w:szCs w:val="24"/>
          <w:highlight w:val="yellow"/>
          <w:lang w:val="es-MX"/>
        </w:rPr>
        <w:br w:type="page"/>
      </w:r>
    </w:p>
    <w:p w14:paraId="5B0F23A2" w14:textId="72EE0A72" w:rsidR="009636BC"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3FC3772B" w14:textId="4D55F76E" w:rsidR="00E66EC0" w:rsidRDefault="00C83256" w:rsidP="002323D7">
      <w:pPr>
        <w:spacing w:after="0" w:line="240" w:lineRule="auto"/>
        <w:rPr>
          <w:rFonts w:cs="Arial"/>
          <w:szCs w:val="24"/>
          <w:lang w:val="es-MX"/>
        </w:rPr>
      </w:pPr>
      <w:r>
        <w:rPr>
          <w:rFonts w:cs="Arial"/>
          <w:szCs w:val="24"/>
          <w:lang w:val="es-MX"/>
        </w:rPr>
        <w:t>En M. grisea magB regula diversos procesos morfológicos,</w:t>
      </w:r>
      <w:r w:rsidR="00E358D1">
        <w:rPr>
          <w:rFonts w:cs="Arial"/>
          <w:szCs w:val="24"/>
          <w:lang w:val="es-MX"/>
        </w:rPr>
        <w:t xml:space="preserve"> como el crecimiento vegetativo, la conidiación, patogenicidad, etc, esta Gα del grupo I regula negativamente la función adenilato ciclasa. El cAMP exógeno resta</w:t>
      </w:r>
      <w:r w:rsidR="00D45645">
        <w:rPr>
          <w:rFonts w:cs="Arial"/>
          <w:szCs w:val="24"/>
          <w:lang w:val="es-MX"/>
        </w:rPr>
        <w:t>u</w:t>
      </w:r>
      <w:r w:rsidR="00E358D1">
        <w:rPr>
          <w:rFonts w:cs="Arial"/>
          <w:szCs w:val="24"/>
          <w:lang w:val="es-MX"/>
        </w:rPr>
        <w:t xml:space="preserve">ra la formación de apresorio cuando magB </w:t>
      </w:r>
      <w:r w:rsidR="00D45645">
        <w:rPr>
          <w:rFonts w:cs="Arial"/>
          <w:szCs w:val="24"/>
          <w:lang w:val="es-MX"/>
        </w:rPr>
        <w:t>presenta una</w:t>
      </w:r>
      <w:r w:rsidR="00E358D1">
        <w:rPr>
          <w:rFonts w:cs="Arial"/>
          <w:szCs w:val="24"/>
          <w:lang w:val="es-MX"/>
        </w:rPr>
        <w:t xml:space="preserve"> disrupci</w:t>
      </w:r>
      <w:r w:rsidR="00D45645">
        <w:rPr>
          <w:rFonts w:cs="Arial"/>
          <w:szCs w:val="24"/>
          <w:lang w:val="es-MX"/>
        </w:rPr>
        <w:t>ón</w:t>
      </w:r>
      <w:r w:rsidR="00E358D1">
        <w:rPr>
          <w:rFonts w:cs="Arial"/>
          <w:szCs w:val="24"/>
          <w:lang w:val="es-MX"/>
        </w:rPr>
        <w:t>. A su vez la señal activa</w:t>
      </w:r>
      <w:r w:rsidR="00E66EC0">
        <w:rPr>
          <w:rFonts w:cs="Arial"/>
          <w:szCs w:val="24"/>
          <w:lang w:val="es-MX"/>
        </w:rPr>
        <w:t xml:space="preserve"> constitutiva</w:t>
      </w:r>
      <w:r w:rsidR="00E358D1">
        <w:rPr>
          <w:rFonts w:cs="Arial"/>
          <w:szCs w:val="24"/>
          <w:lang w:val="es-MX"/>
        </w:rPr>
        <w:t xml:space="preserve"> de la Gα </w:t>
      </w:r>
      <w:r w:rsidR="00E66EC0">
        <w:rPr>
          <w:rFonts w:cs="Arial"/>
          <w:szCs w:val="24"/>
          <w:lang w:val="es-MX"/>
        </w:rPr>
        <w:t xml:space="preserve">(obtenida por la mutación magB-G42R) </w:t>
      </w:r>
      <w:r w:rsidR="00E358D1">
        <w:rPr>
          <w:rFonts w:cs="Arial"/>
          <w:szCs w:val="24"/>
          <w:lang w:val="es-MX"/>
        </w:rPr>
        <w:t>induc</w:t>
      </w:r>
      <w:r w:rsidR="00E66EC0">
        <w:rPr>
          <w:rFonts w:cs="Arial"/>
          <w:szCs w:val="24"/>
          <w:lang w:val="es-MX"/>
        </w:rPr>
        <w:t xml:space="preserve">e </w:t>
      </w:r>
      <w:r w:rsidR="00D45645">
        <w:rPr>
          <w:rFonts w:cs="Arial"/>
          <w:szCs w:val="24"/>
          <w:lang w:val="es-MX"/>
        </w:rPr>
        <w:t xml:space="preserve">a reducción de la conidiación y a </w:t>
      </w:r>
      <w:r w:rsidR="00E66EC0">
        <w:rPr>
          <w:rFonts w:cs="Arial"/>
          <w:szCs w:val="24"/>
          <w:lang w:val="es-MX"/>
        </w:rPr>
        <w:t xml:space="preserve">procesos de autolisis, que </w:t>
      </w:r>
      <w:r w:rsidR="00D45645">
        <w:rPr>
          <w:rFonts w:cs="Arial"/>
          <w:szCs w:val="24"/>
          <w:lang w:val="es-MX"/>
        </w:rPr>
        <w:t>son inhibidos</w:t>
      </w:r>
      <w:r w:rsidR="00E358D1">
        <w:rPr>
          <w:rFonts w:cs="Arial"/>
          <w:szCs w:val="24"/>
          <w:lang w:val="es-MX"/>
        </w:rPr>
        <w:t xml:space="preserve"> en presencia de 3%NaCl y en medios ricos en nutrientes, así como se reduce el fenotipo algodonoso</w:t>
      </w:r>
      <w:r w:rsidR="00E66EC0">
        <w:rPr>
          <w:rFonts w:cs="Arial"/>
          <w:szCs w:val="24"/>
          <w:lang w:val="es-MX"/>
        </w:rPr>
        <w:t>.</w:t>
      </w:r>
    </w:p>
    <w:p w14:paraId="0CE09B07" w14:textId="77777777" w:rsidR="00E66EC0" w:rsidRDefault="00E66EC0" w:rsidP="002323D7">
      <w:pPr>
        <w:spacing w:after="0" w:line="240" w:lineRule="auto"/>
        <w:rPr>
          <w:rFonts w:cs="Arial"/>
          <w:szCs w:val="24"/>
          <w:lang w:val="es-MX"/>
        </w:rPr>
      </w:pPr>
    </w:p>
    <w:p w14:paraId="6C15AC51" w14:textId="14426735" w:rsidR="00C83256" w:rsidRDefault="00E66EC0" w:rsidP="002323D7">
      <w:pPr>
        <w:spacing w:after="0" w:line="240" w:lineRule="auto"/>
        <w:rPr>
          <w:rFonts w:cs="Arial"/>
          <w:szCs w:val="24"/>
          <w:lang w:val="es-MX"/>
        </w:rPr>
      </w:pPr>
      <w:r>
        <w:rPr>
          <w:rFonts w:cs="Arial"/>
          <w:szCs w:val="24"/>
          <w:lang w:val="es-MX"/>
        </w:rPr>
        <w:t xml:space="preserve">El efecto osmótico del NaCl conduce a la </w:t>
      </w:r>
      <w:r w:rsidR="00D45645">
        <w:rPr>
          <w:rFonts w:cs="Arial"/>
          <w:szCs w:val="24"/>
          <w:lang w:val="es-MX"/>
        </w:rPr>
        <w:t>supres</w:t>
      </w:r>
      <w:r>
        <w:rPr>
          <w:rFonts w:cs="Arial"/>
          <w:szCs w:val="24"/>
          <w:lang w:val="es-MX"/>
        </w:rPr>
        <w:t>ión de la conidiación</w:t>
      </w:r>
      <w:r w:rsidR="00E358D1">
        <w:rPr>
          <w:rFonts w:cs="Arial"/>
          <w:szCs w:val="24"/>
          <w:lang w:val="es-MX"/>
        </w:rPr>
        <w:t xml:space="preserve"> y la</w:t>
      </w:r>
      <w:r w:rsidR="00D45645">
        <w:rPr>
          <w:rFonts w:cs="Arial"/>
          <w:szCs w:val="24"/>
          <w:lang w:val="es-MX"/>
        </w:rPr>
        <w:t xml:space="preserve"> reducción en la</w:t>
      </w:r>
      <w:r w:rsidR="00E358D1">
        <w:rPr>
          <w:rFonts w:cs="Arial"/>
          <w:szCs w:val="24"/>
          <w:lang w:val="es-MX"/>
        </w:rPr>
        <w:t xml:space="preserve"> melanización</w:t>
      </w:r>
      <w:r>
        <w:rPr>
          <w:rFonts w:cs="Arial"/>
          <w:szCs w:val="24"/>
          <w:lang w:val="es-MX"/>
        </w:rPr>
        <w:t xml:space="preserve"> tanto en las cepas silvestres como en aquellas con señal constitutivamente inactiva (magBG203R)</w:t>
      </w:r>
      <w:r w:rsidR="00D45645">
        <w:rPr>
          <w:rFonts w:cs="Arial"/>
          <w:szCs w:val="24"/>
          <w:lang w:val="es-MX"/>
        </w:rPr>
        <w:t xml:space="preserve"> </w:t>
      </w:r>
      <w:r w:rsidR="004C4179">
        <w:rPr>
          <w:rFonts w:cs="Arial"/>
          <w:szCs w:val="24"/>
          <w:lang w:val="es-MX"/>
        </w:rPr>
        <w:t>que,</w:t>
      </w:r>
      <w:r w:rsidR="00D45645">
        <w:rPr>
          <w:rFonts w:cs="Arial"/>
          <w:szCs w:val="24"/>
          <w:lang w:val="es-MX"/>
        </w:rPr>
        <w:t xml:space="preserve"> en condiciones óptimas de cultivo, no afecta la conidiación</w:t>
      </w:r>
      <w:r>
        <w:rPr>
          <w:rFonts w:cs="Arial"/>
          <w:szCs w:val="24"/>
          <w:lang w:val="es-MX"/>
        </w:rPr>
        <w:t>.</w:t>
      </w:r>
      <w:r w:rsidR="00940370">
        <w:rPr>
          <w:rFonts w:cs="Arial"/>
          <w:szCs w:val="24"/>
          <w:lang w:val="es-MX"/>
        </w:rPr>
        <w:t xml:space="preserve"> Lo que indica que la Gα proporciona mayor osmosensibilidad</w:t>
      </w:r>
    </w:p>
    <w:p w14:paraId="2F596DFE" w14:textId="0CC5BAEA" w:rsidR="00E66EC0" w:rsidRDefault="00E66EC0" w:rsidP="002323D7">
      <w:pPr>
        <w:spacing w:after="0" w:line="240" w:lineRule="auto"/>
        <w:rPr>
          <w:rFonts w:cs="Arial"/>
          <w:szCs w:val="24"/>
          <w:lang w:val="es-MX"/>
        </w:rPr>
      </w:pPr>
    </w:p>
    <w:p w14:paraId="18A0647F" w14:textId="77777777" w:rsidR="004C4179" w:rsidRDefault="004C4179" w:rsidP="002323D7">
      <w:pPr>
        <w:spacing w:after="0" w:line="240" w:lineRule="auto"/>
        <w:rPr>
          <w:rFonts w:cs="Arial"/>
          <w:szCs w:val="24"/>
          <w:lang w:val="es-MX"/>
        </w:rPr>
      </w:pPr>
    </w:p>
    <w:p w14:paraId="1007B19C" w14:textId="44D6C5C2" w:rsidR="00E66EC0" w:rsidRDefault="00E66EC0" w:rsidP="002323D7">
      <w:pPr>
        <w:spacing w:after="0" w:line="240" w:lineRule="auto"/>
        <w:rPr>
          <w:rFonts w:cs="Arial"/>
          <w:szCs w:val="24"/>
          <w:lang w:val="es-MX"/>
        </w:rPr>
      </w:pPr>
    </w:p>
    <w:p w14:paraId="6D72C085" w14:textId="77777777" w:rsidR="00E358D1" w:rsidRDefault="00E358D1" w:rsidP="002323D7">
      <w:pPr>
        <w:spacing w:after="0" w:line="240" w:lineRule="auto"/>
        <w:rPr>
          <w:rFonts w:cs="Arial"/>
          <w:szCs w:val="24"/>
          <w:lang w:val="es-MX"/>
        </w:rPr>
      </w:pPr>
    </w:p>
    <w:p w14:paraId="472F2A1C" w14:textId="77777777" w:rsidR="00E358D1" w:rsidRPr="001133CE" w:rsidRDefault="00E358D1" w:rsidP="002323D7">
      <w:pPr>
        <w:spacing w:after="0" w:line="240" w:lineRule="auto"/>
        <w:rPr>
          <w:rFonts w:cs="Arial"/>
          <w:szCs w:val="24"/>
          <w:lang w:val="es-MX"/>
        </w:rPr>
      </w:pP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588CB492" w14:textId="57B00895" w:rsidR="00B3773C"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w:t>
      </w:r>
    </w:p>
    <w:p w14:paraId="17461AC4" w14:textId="2DD80F80" w:rsidR="00CF1A5E" w:rsidRDefault="00CF1A5E" w:rsidP="00CF1A5E">
      <w:pPr>
        <w:spacing w:after="0" w:line="360" w:lineRule="auto"/>
        <w:rPr>
          <w:rFonts w:cs="Arial"/>
          <w:szCs w:val="24"/>
          <w:lang w:val="es-MX"/>
        </w:rPr>
      </w:pPr>
      <w:bookmarkStart w:id="0" w:name="_GoBack"/>
      <w:bookmarkEnd w:id="0"/>
      <w:r>
        <w:rPr>
          <w:rFonts w:cs="Arial"/>
          <w:szCs w:val="24"/>
          <w:lang w:val="es-MX"/>
        </w:rPr>
        <w:t xml:space="preserve">La longitudes de onda de la luz visible son absorbidas por proteínas fotoreceptoras que siempre contienen una molécula orgánica, el cromoforo, </w:t>
      </w:r>
    </w:p>
    <w:p w14:paraId="0292037C" w14:textId="77777777" w:rsidR="00CF1A5E" w:rsidRDefault="00CF1A5E" w:rsidP="002323D7">
      <w:pPr>
        <w:spacing w:after="0" w:line="360" w:lineRule="auto"/>
        <w:rPr>
          <w:rFonts w:cs="Arial"/>
          <w:szCs w:val="24"/>
          <w:lang w:val="es-MX"/>
        </w:rPr>
      </w:pPr>
    </w:p>
    <w:p w14:paraId="468FEB45" w14:textId="3C425A3D" w:rsidR="00F6028E" w:rsidRPr="001133CE" w:rsidRDefault="00F6028E" w:rsidP="002323D7">
      <w:pPr>
        <w:spacing w:after="0" w:line="360" w:lineRule="auto"/>
        <w:rPr>
          <w:rFonts w:cs="Arial"/>
          <w:szCs w:val="24"/>
          <w:lang w:val="es-MX"/>
        </w:rPr>
      </w:pPr>
      <w:r w:rsidRPr="001133CE">
        <w:rPr>
          <w:rFonts w:cs="Arial"/>
          <w:szCs w:val="24"/>
          <w:lang w:val="es-MX"/>
        </w:rPr>
        <w:t xml:space="preserve">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5005E82E"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w:t>
      </w:r>
      <w:r w:rsidR="00893F73">
        <w:rPr>
          <w:rFonts w:cs="Arial"/>
          <w:szCs w:val="24"/>
          <w:lang w:val="es-MX"/>
        </w:rPr>
        <w:t>roxinaftaleno o melanina en Cha</w:t>
      </w:r>
      <w:r w:rsidR="00995C0B">
        <w:rPr>
          <w:rFonts w:cs="Arial"/>
          <w:szCs w:val="24"/>
          <w:lang w:val="es-MX"/>
        </w:rPr>
        <w:t>e</w:t>
      </w:r>
      <w:r w:rsidR="00893F73">
        <w:rPr>
          <w:rFonts w:cs="Arial"/>
          <w:szCs w:val="24"/>
          <w:lang w:val="es-MX"/>
        </w:rPr>
        <w:t>tom</w:t>
      </w:r>
      <w:r w:rsidR="00995C0B">
        <w:rPr>
          <w:rFonts w:cs="Arial"/>
          <w:szCs w:val="24"/>
          <w:lang w:val="es-MX"/>
        </w:rPr>
        <w:t>ium</w:t>
      </w:r>
      <w:r w:rsidRPr="001133CE">
        <w:rPr>
          <w:rFonts w:cs="Arial"/>
          <w:szCs w:val="24"/>
          <w:lang w:val="es-MX"/>
        </w:rPr>
        <w:t xml:space="preserve"> globosum cuando el gna-1 de la proteína Gα del subgrupo 1 es interrumpido, disminuye la acción de pks-1 afectand</w:t>
      </w:r>
      <w:r w:rsidR="00893F73">
        <w:rPr>
          <w:rFonts w:cs="Arial"/>
          <w:szCs w:val="24"/>
          <w:lang w:val="es-MX"/>
        </w:rPr>
        <w:t>o la producción de melanina, así</w:t>
      </w:r>
      <w:r w:rsidRPr="001133CE">
        <w:rPr>
          <w:rFonts w:cs="Arial"/>
          <w:szCs w:val="24"/>
          <w:lang w:val="es-MX"/>
        </w:rPr>
        <w:t xml:space="preserve"> como afecta el normal desarrollo de peritecios o inhibe totalmente su formación</w:t>
      </w:r>
      <w:r w:rsidR="00377572">
        <w:rPr>
          <w:rFonts w:cs="Arial"/>
          <w:szCs w:val="24"/>
          <w:lang w:val="es-MX"/>
        </w:rPr>
        <w:t xml:space="preserve"> </w:t>
      </w:r>
      <w:r w:rsidR="00377572">
        <w:rPr>
          <w:rFonts w:cs="Arial"/>
          <w:szCs w:val="24"/>
          <w:lang w:val="es-MX"/>
        </w:rPr>
        <w:fldChar w:fldCharType="begin" w:fldLock="1"/>
      </w:r>
      <w:r w:rsidR="00C20246">
        <w:rPr>
          <w:rFonts w:cs="Arial"/>
          <w:szCs w:val="24"/>
          <w:lang w:val="es-MX"/>
        </w:rPr>
        <w:instrText>ADDIN CSL_CITATION {"citationItems":[{"id":"ITEM-1","itemData":{"DOI":"10.1371/journal.pone.0195553","ISSN":"1932-6203","abstract":"Sensing the environmental signals, the canonical Gα-cAMP/PKA pathway modulates mycelial growth and development, and negatively regulates some secondary metabolism in filamentous fungi, e.g. aflatoxin in Aspergillus nidulans. Here we report the characterization of this signaling pathway in Chaetomium globosum, a widely spread fungus known for synthesizing abundant secondary metabolites, e.g. chaetoglobosin A (ChA). RNAi-mediated knockdown of a putative Gα-encoding gene gna-1, led to plural changes in phenotype, e.g. albino mycelium, significant restriction on perithecium development and decreased production of ChA. RNA-seq profiling and qRT-PCR verified significantly fall in expression of corresponding genes, e.g. pks-1 and CgcheA. These defects could be restored by simultaneous knock-down of the pkaR gene encoding a regulatory subunit of cAMP-dependent protein kinase A (PKA), suggesting that pkaR had a negative effect on the above mentioned traits. Confirmatively, the intracellular level of cAMP in wild-type strain was about 3.4-fold to that in gna-1 silenced mutant pG14, and addition of a cAMP analog, 8-Br-cAMP, restored the same defects, e.g., the expression of CgcheA. Furthermore, the intracellular cAMP in gna-1 and pkaR double silenced mutant was approaching the normal level. The following activity inhibition experiment proved that the expression of CgcheA was indeed regulated by PKA. Down-regulation of LaeA/VeA/SptJ expression in gna-1 mutant was also observed, implying that Gα signaling may crosstalk to other regulatory pathways. Taken together, this study proposes that the heterotrimeric Gα protein-cAMP/PKA signaling pathway positively mediates the sexual development, melanin biosynthesis, and secondary metabolism in C. globosum.","author":[{"dropping-particle":"","family":"Hu","given":"Yang","non-dropping-particle":"","parse-names":false,"suffix":""},{"dropping-particle":"","family":"Hao","given":"Xiaoran","non-dropping-particle":"","parse-names":false,"suffix":""},{"dropping-particle":"","family":"Chen","given":"Longfei","non-dropping-particle":"","parse-names":false,"suffix":""},{"dropping-particle":"","family":"Akhberdi","given":"Oren","non-dropping-particle":"","parse-names":false,"suffix":""},{"dropping-particle":"","family":"Yu","given":"Xi","non-dropping-particle":"","parse-names":false,"suffix":""},{"dropping-particle":"","family":"Liu","given":"Yanjie","non-dropping-particle":"","parse-names":false,"suffix":""},{"dropping-particle":"","family":"Zhu","given":"Xudong","non-dropping-particle":"","parse-names":false,"suffix":""}],"container-title":"PLOS ONE","editor":[{"dropping-particle":"","family":"Borkovich","given":"Katherine A.","non-dropping-particle":"","parse-names":false,"suffix":""}],"id":"ITEM-1","issue":"4","issued":{"date-parts":[["2018","4","13"]]},"page":"e0195553","publisher":"Public Library of Science","title":"Gα-cAMP/PKA pathway positively regulates pigmentation, chaetoglobosin A biosynthesis and sexual development in Chaetomium globosum","type":"article-journal","volume":"13"},"uris":["http://www.mendeley.com/documents/?uuid=965f5f97-05d4-34b2-93ec-f1040fd4671b"]}],"mendeley":{"formattedCitation":"[52]","plainTextFormattedCitation":"[52]","previouslyFormattedCitation":"[52]"},"properties":{"noteIndex":0},"schema":"https://github.com/citation-style-language/schema/raw/master/csl-citation.json"}</w:instrText>
      </w:r>
      <w:r w:rsidR="00377572">
        <w:rPr>
          <w:rFonts w:cs="Arial"/>
          <w:szCs w:val="24"/>
          <w:lang w:val="es-MX"/>
        </w:rPr>
        <w:fldChar w:fldCharType="separate"/>
      </w:r>
      <w:r w:rsidR="00C06EBA" w:rsidRPr="00C06EBA">
        <w:rPr>
          <w:rFonts w:cs="Arial"/>
          <w:noProof/>
          <w:szCs w:val="24"/>
          <w:lang w:val="es-MX"/>
        </w:rPr>
        <w:t>[52]</w:t>
      </w:r>
      <w:r w:rsidR="00377572">
        <w:rPr>
          <w:rFonts w:cs="Arial"/>
          <w:szCs w:val="24"/>
          <w:lang w:val="es-MX"/>
        </w:rPr>
        <w:fldChar w:fldCharType="end"/>
      </w:r>
    </w:p>
    <w:p w14:paraId="564B4D5F" w14:textId="415988FC" w:rsidR="00F6028E" w:rsidRPr="001133CE" w:rsidRDefault="00F6028E" w:rsidP="002323D7">
      <w:pPr>
        <w:spacing w:after="0" w:line="360" w:lineRule="auto"/>
        <w:rPr>
          <w:rFonts w:cs="Arial"/>
          <w:szCs w:val="24"/>
          <w:lang w:val="es-MX"/>
        </w:rPr>
      </w:pPr>
    </w:p>
    <w:p w14:paraId="76210579" w14:textId="77777777" w:rsidR="00C41E1D" w:rsidRPr="00BC77BC" w:rsidRDefault="00C41E1D" w:rsidP="002323D7">
      <w:pPr>
        <w:spacing w:after="0" w:line="240" w:lineRule="auto"/>
        <w:rPr>
          <w:rFonts w:cs="Arial"/>
          <w:szCs w:val="24"/>
          <w:lang w:val="es-MX"/>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791F9B26"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C20246">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[53]","plainTextFormattedCitation":"[53]","previouslyFormattedCitation":"[53]"},"properties":{"noteIndex":0},"schema":"https://github.com/citation-style-language/schema/raw/master/csl-citation.json"}</w:instrText>
      </w:r>
      <w:r w:rsidR="007D5144" w:rsidRPr="001133CE">
        <w:rPr>
          <w:rFonts w:cs="Arial"/>
          <w:szCs w:val="24"/>
          <w:lang w:val="es-MX"/>
        </w:rPr>
        <w:fldChar w:fldCharType="separate"/>
      </w:r>
      <w:r w:rsidR="00C06EBA" w:rsidRPr="00C06EBA">
        <w:rPr>
          <w:rFonts w:cs="Arial"/>
          <w:noProof/>
          <w:szCs w:val="24"/>
          <w:lang w:val="es-MX"/>
        </w:rPr>
        <w:t>[53]</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56285699"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C20246">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[54]","plainTextFormattedCitation":"[54]","previouslyFormattedCitation":"[54]"},"properties":{"noteIndex":0},"schema":"https://github.com/citation-style-language/schema/raw/master/csl-citation.json"}</w:instrText>
      </w:r>
      <w:r w:rsidR="000F254B" w:rsidRPr="001133CE">
        <w:rPr>
          <w:rFonts w:cs="Arial"/>
          <w:szCs w:val="24"/>
          <w:lang w:val="es-MX"/>
        </w:rPr>
        <w:fldChar w:fldCharType="separate"/>
      </w:r>
      <w:r w:rsidR="00C06EBA" w:rsidRPr="00C06EBA">
        <w:rPr>
          <w:rFonts w:cs="Arial"/>
          <w:noProof/>
          <w:szCs w:val="24"/>
          <w:lang w:val="es-MX"/>
        </w:rPr>
        <w:t>[54]</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C20246">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Fungi","type":"article-journal","volume":"2015"},"uris":["http://www.mendeley.com/documents/?uuid=fd2fbf7c-b624-31a5-8cbf-f8e02efd1533"]}],"mendeley":{"formattedCitation":"[55], [56]","plainTextFormattedCitation":"[55], [56]","previouslyFormattedCitation":"[55], [56]"},"properties":{"noteIndex":0},"schema":"https://github.com/citation-style-language/schema/raw/master/csl-citation.json"}</w:instrText>
      </w:r>
      <w:r w:rsidR="003648A3" w:rsidRPr="001133CE">
        <w:rPr>
          <w:rFonts w:cs="Arial"/>
          <w:szCs w:val="24"/>
          <w:lang w:val="es-MX"/>
        </w:rPr>
        <w:fldChar w:fldCharType="separate"/>
      </w:r>
      <w:r w:rsidR="00C06EBA" w:rsidRPr="00C06EBA">
        <w:rPr>
          <w:rFonts w:cs="Arial"/>
          <w:noProof/>
          <w:szCs w:val="24"/>
          <w:lang w:val="es-MX"/>
        </w:rPr>
        <w:t>[55], [56]</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C20246">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[57]","plainTextFormattedCitation":"[57]","previouslyFormattedCitation":"[57]"},"properties":{"noteIndex":0},"schema":"https://github.com/citation-style-language/schema/raw/master/csl-citation.json"}</w:instrText>
      </w:r>
      <w:r w:rsidR="00401EC1" w:rsidRPr="001133CE">
        <w:rPr>
          <w:rFonts w:cs="Arial"/>
          <w:szCs w:val="24"/>
          <w:lang w:val="es-MX"/>
        </w:rPr>
        <w:fldChar w:fldCharType="separate"/>
      </w:r>
      <w:r w:rsidR="00C06EBA" w:rsidRPr="00C06EBA">
        <w:rPr>
          <w:rFonts w:cs="Arial"/>
          <w:noProof/>
          <w:szCs w:val="24"/>
          <w:lang w:val="es-MX"/>
        </w:rPr>
        <w:t>[57]</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C20246">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[57]","plainTextFormattedCitation":"[57]","previouslyFormattedCitation":"[57]"},"properties":{"noteIndex":0},"schema":"https://github.com/citation-style-language/schema/raw/master/csl-citation.json"}</w:instrText>
      </w:r>
      <w:r w:rsidR="00401EC1" w:rsidRPr="001133CE">
        <w:rPr>
          <w:rFonts w:cs="Arial"/>
          <w:szCs w:val="24"/>
          <w:lang w:val="es-MX"/>
        </w:rPr>
        <w:fldChar w:fldCharType="separate"/>
      </w:r>
      <w:r w:rsidR="00C06EBA" w:rsidRPr="00C06EBA">
        <w:rPr>
          <w:rFonts w:cs="Arial"/>
          <w:noProof/>
          <w:szCs w:val="24"/>
          <w:lang w:val="es-MX"/>
        </w:rPr>
        <w:t>[57]</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C20246">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[58]","plainTextFormattedCitation":"[58]","previouslyFormattedCitation":"[58]"},"properties":{"noteIndex":0},"schema":"https://github.com/citation-style-language/schema/raw/master/csl-citation.json"}</w:instrText>
      </w:r>
      <w:r w:rsidR="00E8098B" w:rsidRPr="001133CE">
        <w:rPr>
          <w:rFonts w:cs="Arial"/>
          <w:szCs w:val="24"/>
          <w:lang w:val="es-MX"/>
        </w:rPr>
        <w:fldChar w:fldCharType="separate"/>
      </w:r>
      <w:r w:rsidR="00C06EBA" w:rsidRPr="00C06EBA">
        <w:rPr>
          <w:rFonts w:cs="Arial"/>
          <w:noProof/>
          <w:szCs w:val="24"/>
          <w:lang w:val="es-MX"/>
        </w:rPr>
        <w:t>[58]</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C20246">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[59]","plainTextFormattedCitation":"[59]","previouslyFormattedCitation":"[59]"},"properties":{"noteIndex":0},"schema":"https://github.com/citation-style-language/schema/raw/master/csl-citation.json"}</w:instrText>
      </w:r>
      <w:r w:rsidR="004B3499" w:rsidRPr="001133CE">
        <w:rPr>
          <w:rFonts w:cs="Arial"/>
          <w:szCs w:val="24"/>
          <w:lang w:val="es-MX"/>
        </w:rPr>
        <w:fldChar w:fldCharType="separate"/>
      </w:r>
      <w:r w:rsidR="00C06EBA" w:rsidRPr="00C06EBA">
        <w:rPr>
          <w:rFonts w:cs="Arial"/>
          <w:noProof/>
          <w:szCs w:val="24"/>
          <w:lang w:val="es-MX"/>
        </w:rPr>
        <w:t>[59]</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C20246">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[60]","plainTextFormattedCitation":"[60]","previouslyFormattedCitation":"[60]"},"properties":{"noteIndex":0},"schema":"https://github.com/citation-style-language/schema/raw/master/csl-citation.json"}</w:instrText>
      </w:r>
      <w:r w:rsidR="00E8098B" w:rsidRPr="001133CE">
        <w:rPr>
          <w:rFonts w:cs="Arial"/>
          <w:szCs w:val="24"/>
          <w:lang w:val="es-MX"/>
        </w:rPr>
        <w:fldChar w:fldCharType="separate"/>
      </w:r>
      <w:r w:rsidR="00C06EBA" w:rsidRPr="00C06EBA">
        <w:rPr>
          <w:rFonts w:cs="Arial"/>
          <w:noProof/>
          <w:szCs w:val="24"/>
          <w:lang w:val="es-MX"/>
        </w:rPr>
        <w:t>[60]</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C20246">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[61]–[63]","plainTextFormattedCitation":"[61]–[63]","previouslyFormattedCitation":"[61]–[63]"},"properties":{"noteIndex":0},"schema":"https://github.com/citation-style-language/schema/raw/master/csl-citation.json"}</w:instrText>
      </w:r>
      <w:r w:rsidR="006209A6" w:rsidRPr="001133CE">
        <w:rPr>
          <w:rFonts w:cs="Arial"/>
          <w:szCs w:val="24"/>
          <w:lang w:val="es-MX"/>
        </w:rPr>
        <w:fldChar w:fldCharType="separate"/>
      </w:r>
      <w:r w:rsidR="00C06EBA" w:rsidRPr="00C06EBA">
        <w:rPr>
          <w:rFonts w:cs="Arial"/>
          <w:noProof/>
          <w:szCs w:val="24"/>
          <w:lang w:val="es-MX"/>
        </w:rPr>
        <w:t>[61]–[63]</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4568442F"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C20246">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pathway","type":"report","volume":"17"},"uris":["http://www.mendeley.com/documents/?uuid=df094feb-b8ab-399c-afd3-1cb67dd943d3"]}],"mendeley":{"formattedCitation":"[64], [65]","plainTextFormattedCitation":"[64], [65]","previouslyFormattedCitation":"[64], [65]"},"properties":{"noteIndex":0},"schema":"https://github.com/citation-style-language/schema/raw/master/csl-citation.json"}</w:instrText>
      </w:r>
      <w:r w:rsidR="007C4766" w:rsidRPr="001133CE">
        <w:rPr>
          <w:rFonts w:cs="Arial"/>
          <w:szCs w:val="24"/>
          <w:lang w:val="es-MX"/>
        </w:rPr>
        <w:fldChar w:fldCharType="separate"/>
      </w:r>
      <w:r w:rsidR="00C06EBA" w:rsidRPr="00C06EBA">
        <w:rPr>
          <w:rFonts w:cs="Arial"/>
          <w:noProof/>
          <w:szCs w:val="24"/>
          <w:lang w:val="es-MX"/>
        </w:rPr>
        <w:t>[64], [65]</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C20246">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[66]","plainTextFormattedCitation":"[66]","previouslyFormattedCitation":"[66]"},"properties":{"noteIndex":0},"schema":"https://github.com/citation-style-language/schema/raw/master/csl-citation.json"}</w:instrText>
      </w:r>
      <w:r w:rsidR="00B462FF" w:rsidRPr="001133CE">
        <w:rPr>
          <w:rFonts w:cs="Arial"/>
          <w:szCs w:val="24"/>
          <w:lang w:val="es-MX"/>
        </w:rPr>
        <w:fldChar w:fldCharType="separate"/>
      </w:r>
      <w:r w:rsidR="00C06EBA" w:rsidRPr="00C06EBA">
        <w:rPr>
          <w:rFonts w:cs="Arial"/>
          <w:noProof/>
          <w:szCs w:val="24"/>
          <w:lang w:val="es-MX"/>
        </w:rPr>
        <w:t>[66]</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C20246">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[67]","plainTextFormattedCitation":"[67]","previouslyFormattedCitation":"[67]"},"properties":{"noteIndex":0},"schema":"https://github.com/citation-style-language/schema/raw/master/csl-citation.json"}</w:instrText>
      </w:r>
      <w:r w:rsidR="00DB1184" w:rsidRPr="001133CE">
        <w:rPr>
          <w:rFonts w:cs="Arial"/>
          <w:szCs w:val="24"/>
          <w:lang w:val="es-MX"/>
        </w:rPr>
        <w:fldChar w:fldCharType="separate"/>
      </w:r>
      <w:r w:rsidR="00C06EBA" w:rsidRPr="00C06EBA">
        <w:rPr>
          <w:rFonts w:cs="Arial"/>
          <w:noProof/>
          <w:szCs w:val="24"/>
          <w:lang w:val="es-MX"/>
        </w:rPr>
        <w:t>[67]</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C20246">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[65]","plainTextFormattedCitation":"[65]","previouslyFormattedCitation":"[65]"},"properties":{"noteIndex":0},"schema":"https://github.com/citation-style-language/schema/raw/master/csl-citation.json"}</w:instrText>
      </w:r>
      <w:r w:rsidR="00D36E0B" w:rsidRPr="001133CE">
        <w:rPr>
          <w:rFonts w:cs="Arial"/>
          <w:szCs w:val="24"/>
          <w:lang w:val="es-MX"/>
        </w:rPr>
        <w:fldChar w:fldCharType="separate"/>
      </w:r>
      <w:r w:rsidR="00C06EBA" w:rsidRPr="00C06EBA">
        <w:rPr>
          <w:rFonts w:cs="Arial"/>
          <w:noProof/>
          <w:szCs w:val="24"/>
          <w:lang w:val="es-MX"/>
        </w:rPr>
        <w:t>[65]</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C20246">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[68]","plainTextFormattedCitation":"[68]","previouslyFormattedCitation":"[68]"},"properties":{"noteIndex":0},"schema":"https://github.com/citation-style-language/schema/raw/master/csl-citation.json"}</w:instrText>
      </w:r>
      <w:r w:rsidR="00686192" w:rsidRPr="001133CE">
        <w:rPr>
          <w:rFonts w:cs="Arial"/>
          <w:szCs w:val="24"/>
          <w:lang w:val="es-MX"/>
        </w:rPr>
        <w:fldChar w:fldCharType="separate"/>
      </w:r>
      <w:r w:rsidR="00C06EBA" w:rsidRPr="00C06EBA">
        <w:rPr>
          <w:rFonts w:cs="Arial"/>
          <w:noProof/>
          <w:szCs w:val="24"/>
          <w:lang w:val="es-MX"/>
        </w:rPr>
        <w:t>[68]</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377572">
        <w:rPr>
          <w:rFonts w:cs="Arial"/>
          <w:noProof/>
          <w:szCs w:val="24"/>
        </w:rPr>
        <w:t>[22], [29], [40]</w:t>
      </w:r>
      <w:r w:rsidR="0030023B" w:rsidRPr="001133CE">
        <w:rPr>
          <w:rFonts w:cs="Arial"/>
          <w:szCs w:val="24"/>
          <w:lang w:val="es-MX"/>
        </w:rPr>
        <w:fldChar w:fldCharType="end"/>
      </w:r>
      <w:r w:rsidR="00D85026" w:rsidRPr="00377572">
        <w:rPr>
          <w:rFonts w:cs="Arial"/>
          <w:szCs w:val="24"/>
        </w:rPr>
        <w:t xml:space="preserve">, </w:t>
      </w:r>
      <w:r w:rsidR="00393CA3" w:rsidRPr="00377572">
        <w:rPr>
          <w:rFonts w:cs="Arial"/>
          <w:i/>
          <w:szCs w:val="24"/>
        </w:rPr>
        <w:t>F. oxysporum</w:t>
      </w:r>
      <w:r w:rsidR="00393CA3" w:rsidRPr="00377572">
        <w:rPr>
          <w:rFonts w:cs="Arial"/>
          <w:szCs w:val="24"/>
        </w:rPr>
        <w:t xml:space="preserve"> </w:t>
      </w:r>
      <w:r w:rsidR="00393CA3" w:rsidRPr="001133CE">
        <w:rPr>
          <w:rFonts w:cs="Arial"/>
          <w:szCs w:val="24"/>
          <w:lang w:val="es-MX"/>
        </w:rPr>
        <w:fldChar w:fldCharType="begin" w:fldLock="1"/>
      </w:r>
      <w:r w:rsidR="00C20246">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[67]","plainTextFormattedCitation":"[67]","previouslyFormattedCitation":"[67]"},"properties":{"noteIndex":0},"schema":"https://github.com/citation-style-language/schema/raw/master/csl-citation.json"}</w:instrText>
      </w:r>
      <w:r w:rsidR="00393CA3" w:rsidRPr="001133CE">
        <w:rPr>
          <w:rFonts w:cs="Arial"/>
          <w:szCs w:val="24"/>
          <w:lang w:val="es-MX"/>
        </w:rPr>
        <w:fldChar w:fldCharType="separate"/>
      </w:r>
      <w:r w:rsidR="00C06EBA" w:rsidRPr="00C06EBA">
        <w:rPr>
          <w:rFonts w:cs="Arial"/>
          <w:noProof/>
          <w:szCs w:val="24"/>
        </w:rPr>
        <w:t>[67]</w:t>
      </w:r>
      <w:r w:rsidR="00393CA3" w:rsidRPr="001133CE">
        <w:rPr>
          <w:rFonts w:cs="Arial"/>
          <w:szCs w:val="24"/>
          <w:lang w:val="es-MX"/>
        </w:rPr>
        <w:fldChar w:fldCharType="end"/>
      </w:r>
      <w:r w:rsidR="004A7D39" w:rsidRPr="00377572">
        <w:rPr>
          <w:rFonts w:cs="Arial"/>
          <w:szCs w:val="24"/>
        </w:rPr>
        <w:t xml:space="preserve"> </w:t>
      </w:r>
      <w:r w:rsidR="004A7D39" w:rsidRPr="00377572">
        <w:rPr>
          <w:rFonts w:cs="Arial"/>
          <w:color w:val="FF0000"/>
          <w:szCs w:val="24"/>
        </w:rPr>
        <w:t>entre otros</w:t>
      </w:r>
      <w:r w:rsidR="00E568C8" w:rsidRPr="00377572">
        <w:rPr>
          <w:rFonts w:cs="Arial"/>
          <w:szCs w:val="24"/>
        </w:rPr>
        <w:t>.</w:t>
      </w:r>
      <w:r w:rsidR="00223DF4" w:rsidRPr="00377572">
        <w:rPr>
          <w:rFonts w:cs="Arial"/>
          <w:szCs w:val="24"/>
        </w:rPr>
        <w:t xml:space="preserve"> Los estudios realizados en las </w:t>
      </w:r>
      <w:r w:rsidR="003A62DA" w:rsidRPr="00377572">
        <w:rPr>
          <w:rFonts w:cs="Arial"/>
          <w:szCs w:val="24"/>
        </w:rPr>
        <w:t xml:space="preserve">tres especies del </w:t>
      </w:r>
      <w:r w:rsidR="003675BE" w:rsidRPr="00377572">
        <w:rPr>
          <w:rFonts w:cs="Arial"/>
          <w:szCs w:val="24"/>
        </w:rPr>
        <w:t xml:space="preserve">género </w:t>
      </w:r>
      <w:r w:rsidR="003675BE" w:rsidRPr="00377572">
        <w:rPr>
          <w:rFonts w:cs="Arial"/>
          <w:i/>
          <w:szCs w:val="24"/>
        </w:rPr>
        <w:t>Penicillium</w:t>
      </w:r>
      <w:r w:rsidR="004A7D39" w:rsidRPr="00377572">
        <w:rPr>
          <w:rFonts w:cs="Arial"/>
          <w:szCs w:val="24"/>
        </w:rPr>
        <w:t xml:space="preserve"> </w:t>
      </w:r>
      <w:r w:rsidR="004A7D39" w:rsidRPr="00377572">
        <w:rPr>
          <w:rFonts w:cs="Arial"/>
          <w:i/>
          <w:szCs w:val="24"/>
        </w:rPr>
        <w:t>sp</w:t>
      </w:r>
      <w:r w:rsidR="003675BE" w:rsidRPr="00377572">
        <w:rPr>
          <w:rFonts w:cs="Arial"/>
          <w:szCs w:val="24"/>
        </w:rPr>
        <w:t>,</w:t>
      </w:r>
      <w:r w:rsidR="003A62DA" w:rsidRPr="00377572">
        <w:rPr>
          <w:rFonts w:cs="Arial"/>
          <w:szCs w:val="24"/>
        </w:rPr>
        <w:t xml:space="preserve"> </w:t>
      </w:r>
      <w:r w:rsidR="00223DF4" w:rsidRPr="00377572">
        <w:rPr>
          <w:rFonts w:cs="Arial"/>
          <w:szCs w:val="24"/>
        </w:rPr>
        <w:t xml:space="preserve">han revelado </w:t>
      </w:r>
      <w:r w:rsidR="00835AEF" w:rsidRPr="00377572">
        <w:rPr>
          <w:rFonts w:cs="Arial"/>
          <w:szCs w:val="24"/>
        </w:rPr>
        <w:t>respuestas</w:t>
      </w:r>
      <w:r w:rsidR="003675BE" w:rsidRPr="00377572">
        <w:rPr>
          <w:rFonts w:cs="Arial"/>
          <w:szCs w:val="24"/>
        </w:rPr>
        <w:t xml:space="preserve"> </w:t>
      </w:r>
      <w:r w:rsidR="00835AEF" w:rsidRPr="00377572">
        <w:rPr>
          <w:rFonts w:cs="Arial"/>
          <w:szCs w:val="24"/>
        </w:rPr>
        <w:t xml:space="preserve">idénticas </w:t>
      </w:r>
      <w:r w:rsidR="003675BE" w:rsidRPr="00377572">
        <w:rPr>
          <w:rFonts w:cs="Arial"/>
          <w:szCs w:val="24"/>
        </w:rPr>
        <w:t>a</w:t>
      </w:r>
      <w:r w:rsidR="008D77EA" w:rsidRPr="00377572">
        <w:rPr>
          <w:rFonts w:cs="Arial"/>
          <w:szCs w:val="24"/>
        </w:rPr>
        <w:t>l</w:t>
      </w:r>
      <w:r w:rsidR="003675BE" w:rsidRPr="00377572">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C20246">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[69]","plainTextFormattedCitation":"[69]","previouslyFormattedCitation":"[69]"},"properties":{"noteIndex":0},"schema":"https://github.com/citation-style-language/schema/raw/master/csl-citation.json"}</w:instrText>
      </w:r>
      <w:r w:rsidR="008D77EA" w:rsidRPr="001133CE">
        <w:rPr>
          <w:rFonts w:cs="Arial"/>
          <w:szCs w:val="24"/>
          <w:lang w:val="es-MX"/>
        </w:rPr>
        <w:fldChar w:fldCharType="separate"/>
      </w:r>
      <w:r w:rsidR="00C06EBA" w:rsidRPr="00C06EBA">
        <w:rPr>
          <w:rFonts w:cs="Arial"/>
          <w:noProof/>
          <w:szCs w:val="24"/>
          <w:lang w:val="es-MX"/>
        </w:rPr>
        <w:t>[69]</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732824B2" w:rsidR="00DA5853"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C20246">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C20246" w:rsidRPr="00CF1A5E">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[70]","plainTextFormattedCitation":"[70]","previouslyFormattedCitation":"[70]"},"properties":{"noteIndex":0},"schema":"https://github.com/citation-style-language/schema/raw/master/csl-citation.json"}</w:instrText>
      </w:r>
      <w:r w:rsidR="0036291D" w:rsidRPr="001133CE">
        <w:rPr>
          <w:rFonts w:cs="Arial"/>
          <w:szCs w:val="24"/>
          <w:lang w:val="es-ES"/>
        </w:rPr>
        <w:fldChar w:fldCharType="separate"/>
      </w:r>
      <w:r w:rsidR="00C06EBA" w:rsidRPr="00C06EBA">
        <w:rPr>
          <w:rFonts w:cs="Arial"/>
          <w:noProof/>
          <w:szCs w:val="24"/>
        </w:rPr>
        <w:t>[70]</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C20246">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[71]","plainTextFormattedCitation":"[71]","previouslyFormattedCitation":"[71]"},"properties":{"noteIndex":0},"schema":"https://github.com/citation-style-language/schema/raw/master/csl-citation.json"}</w:instrText>
      </w:r>
      <w:r w:rsidR="0036291D" w:rsidRPr="001133CE">
        <w:rPr>
          <w:rFonts w:cs="Arial"/>
          <w:szCs w:val="24"/>
          <w:lang w:val="es-ES"/>
        </w:rPr>
        <w:fldChar w:fldCharType="separate"/>
      </w:r>
      <w:r w:rsidR="00C06EBA" w:rsidRPr="00C06EBA">
        <w:rPr>
          <w:rFonts w:cs="Arial"/>
          <w:noProof/>
          <w:szCs w:val="24"/>
        </w:rPr>
        <w:t>[71]</w:t>
      </w:r>
      <w:r w:rsidR="0036291D" w:rsidRPr="001133CE">
        <w:rPr>
          <w:rFonts w:cs="Arial"/>
          <w:szCs w:val="24"/>
          <w:lang w:val="es-ES"/>
        </w:rPr>
        <w:fldChar w:fldCharType="end"/>
      </w:r>
      <w:r w:rsidR="00F47170" w:rsidRPr="00377572">
        <w:rPr>
          <w:rFonts w:cs="Arial"/>
          <w:szCs w:val="24"/>
        </w:rPr>
        <w:t xml:space="preserve">), respectivamente, de </w:t>
      </w:r>
      <w:r w:rsidR="00F47170" w:rsidRPr="00377572">
        <w:rPr>
          <w:rFonts w:cs="Arial"/>
          <w:i/>
          <w:szCs w:val="24"/>
        </w:rPr>
        <w:t>S. cerevisiae</w:t>
      </w:r>
      <w:r w:rsidR="00E42FFF" w:rsidRPr="00377572">
        <w:rPr>
          <w:rFonts w:cs="Arial"/>
          <w:szCs w:val="24"/>
        </w:rPr>
        <w:t>, mostrando más del 70% de identidad</w:t>
      </w:r>
      <w:r w:rsidR="0096048C" w:rsidRPr="00377572">
        <w:rPr>
          <w:rFonts w:cs="Arial"/>
          <w:szCs w:val="24"/>
        </w:rPr>
        <w:t xml:space="preserve"> en sus secuencias</w:t>
      </w:r>
      <w:r w:rsidR="007D0ADA" w:rsidRPr="00377572">
        <w:rPr>
          <w:rFonts w:cs="Arial"/>
          <w:szCs w:val="24"/>
        </w:rPr>
        <w:t xml:space="preserve"> (Figura </w:t>
      </w:r>
      <w:r w:rsidR="00B713D3" w:rsidRPr="00377572">
        <w:rPr>
          <w:rFonts w:cs="Arial"/>
          <w:szCs w:val="24"/>
        </w:rPr>
        <w:t>4</w:t>
      </w:r>
      <w:r w:rsidR="007D0ADA" w:rsidRPr="00377572">
        <w:rPr>
          <w:rFonts w:cs="Arial"/>
          <w:szCs w:val="24"/>
        </w:rPr>
        <w:t>)</w:t>
      </w:r>
      <w:r w:rsidR="00E82704" w:rsidRPr="00377572">
        <w:rPr>
          <w:rFonts w:cs="Arial"/>
          <w:szCs w:val="24"/>
        </w:rPr>
        <w:t xml:space="preserve">. </w:t>
      </w:r>
      <w:r w:rsidR="00E82704" w:rsidRPr="001133CE">
        <w:rPr>
          <w:rFonts w:cs="Arial"/>
          <w:szCs w:val="24"/>
          <w:lang w:val="es-MX"/>
        </w:rPr>
        <w:t xml:space="preserve">Por otro lado, en se observa un efecto opuesto cuando la subunidad Gα Pga1 se encuentra constitutivamente activa, provocando </w:t>
      </w:r>
      <w:r w:rsidR="00381EF7">
        <w:rPr>
          <w:rFonts w:cs="Arial"/>
          <w:szCs w:val="24"/>
          <w:lang w:val="es-MX"/>
        </w:rPr>
        <w:t xml:space="preserve">aumento de la </w:t>
      </w:r>
      <w:r w:rsidR="00E82704" w:rsidRPr="001133CE">
        <w:rPr>
          <w:rFonts w:cs="Arial"/>
          <w:szCs w:val="24"/>
          <w:lang w:val="es-MX"/>
        </w:rPr>
        <w:t>sensibilidad</w:t>
      </w:r>
      <w:r w:rsidR="00381EF7">
        <w:rPr>
          <w:rFonts w:cs="Arial"/>
          <w:szCs w:val="24"/>
          <w:lang w:val="es-MX"/>
        </w:rPr>
        <w:t xml:space="preserve"> a la temperatura elevada.</w:t>
      </w:r>
    </w:p>
    <w:p w14:paraId="17953A39" w14:textId="77777777" w:rsidR="00381EF7" w:rsidRPr="001133CE" w:rsidRDefault="00381EF7" w:rsidP="002323D7">
      <w:pPr>
        <w:spacing w:after="0" w:line="360" w:lineRule="auto"/>
        <w:rPr>
          <w:rFonts w:cs="Arial"/>
          <w:szCs w:val="24"/>
          <w:lang w:val="es-MX"/>
        </w:rPr>
      </w:pPr>
    </w:p>
    <w:p w14:paraId="572096E4" w14:textId="50A22935"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w:t>
      </w:r>
      <w:r w:rsidR="00381EF7">
        <w:rPr>
          <w:rFonts w:eastAsia="Times New Roman" w:cs="Arial"/>
          <w:szCs w:val="24"/>
          <w:lang w:val="es-ES" w:eastAsia="es-MX"/>
        </w:rPr>
        <w:t xml:space="preserve"> </w:t>
      </w:r>
      <w:r w:rsidR="004F3734">
        <w:rPr>
          <w:rFonts w:eastAsia="Times New Roman" w:cs="Arial"/>
          <w:szCs w:val="24"/>
          <w:lang w:val="es-ES" w:eastAsia="es-MX"/>
        </w:rPr>
        <w:t xml:space="preserve">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sidR="007508C9">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66E64773" w:rsidR="00DA5853" w:rsidRDefault="00DA5853" w:rsidP="002323D7">
      <w:pPr>
        <w:spacing w:after="0" w:line="360" w:lineRule="auto"/>
        <w:rPr>
          <w:rFonts w:cs="Arial"/>
          <w:szCs w:val="24"/>
          <w:lang w:val="es-MX"/>
        </w:rPr>
      </w:pPr>
    </w:p>
    <w:p w14:paraId="2B4FE6B0" w14:textId="598FF980" w:rsidR="00381EF7" w:rsidRPr="001133CE" w:rsidRDefault="00381EF7" w:rsidP="002323D7">
      <w:pPr>
        <w:spacing w:after="0" w:line="360" w:lineRule="auto"/>
        <w:rPr>
          <w:rFonts w:cs="Arial"/>
          <w:szCs w:val="24"/>
          <w:lang w:val="es-MX"/>
        </w:rPr>
      </w:pPr>
      <w:r>
        <w:rPr>
          <w:rFonts w:cs="Arial"/>
          <w:szCs w:val="24"/>
          <w:lang w:val="es-MX"/>
        </w:rPr>
        <w:t>El cAMP regula la señalización por unión a la subunidad reguladora de la PKA codificada por el gen mcb en N crassa, una vez se une, causa la disociación de la unidad catalítica de la PKA, facilitando la actividad quinasa. Mutaciones en el gen mcb que es recesivo en la cepa silvestre</w:t>
      </w:r>
      <w:r w:rsidR="007508C9">
        <w:rPr>
          <w:rFonts w:cs="Arial"/>
          <w:szCs w:val="24"/>
          <w:lang w:val="es-MX"/>
        </w:rPr>
        <w:t xml:space="preserve"> (la mutación cr-1 es epistatica a mcb), reduce las cantidades de proteína MCB, cuadando hiperactivación de la subunindad catalítica y lisis celular a 37°C aun cuando exista la cantidad adecuada de cAMP.</w:t>
      </w:r>
      <w:r w:rsidR="007508C9">
        <w:rPr>
          <w:rFonts w:cs="Arial"/>
          <w:szCs w:val="24"/>
          <w:lang w:val="es-MX"/>
        </w:rPr>
        <w:fldChar w:fldCharType="begin" w:fldLock="1"/>
      </w:r>
      <w:r w:rsidR="00A269F5">
        <w:rPr>
          <w:rFonts w:cs="Arial"/>
          <w:szCs w:val="24"/>
          <w:lang w:val="es-MX"/>
        </w:rPr>
        <w:instrText>ADDIN CSL_CITATION {"citationItems":[{"id":"ITEM-1","itemData":{"DOI":"10.1534/genetics.166.3.1229","ISBN":"0016-6731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A.","non-dropping-particle":"","parse-names":false,"suffix":""}],"container-title":"Genetics","id":"ITEM-1","issue":"3","issued":{"date-parts":[["2004"]]},"page":"1229-1240","title":"Severe Impairment of Growth and Differentiation in a Neurospora crassa Mutant Lacking All Heterotrimeric G?? Proteins","type":"article-journal","volume":"166"},"uris":["http://www.mendeley.com/documents/?uuid=8cf5f549-3160-4aa5-bf52-6d27fd2b1e26"]}],"mendeley":{"formattedCitation":"[43]","plainTextFormattedCitation":"[43]","previouslyFormattedCitation":"[43]"},"properties":{"noteIndex":0},"schema":"https://github.com/citation-style-language/schema/raw/master/csl-citation.json"}</w:instrText>
      </w:r>
      <w:r w:rsidR="007508C9">
        <w:rPr>
          <w:rFonts w:cs="Arial"/>
          <w:szCs w:val="24"/>
          <w:lang w:val="es-MX"/>
        </w:rPr>
        <w:fldChar w:fldCharType="separate"/>
      </w:r>
      <w:r w:rsidR="007508C9" w:rsidRPr="007508C9">
        <w:rPr>
          <w:rFonts w:cs="Arial"/>
          <w:noProof/>
          <w:szCs w:val="24"/>
          <w:lang w:val="es-MX"/>
        </w:rPr>
        <w:t>[43]</w:t>
      </w:r>
      <w:r w:rsidR="007508C9">
        <w:rPr>
          <w:rFonts w:cs="Arial"/>
          <w:szCs w:val="24"/>
          <w:lang w:val="es-MX"/>
        </w:rPr>
        <w:fldChar w:fldCharType="end"/>
      </w: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05402A1B"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sidR="00C20246">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[72]","plainTextFormattedCitation":"[72]","previouslyFormattedCitation":"[72]"},"properties":{"noteIndex":0},"schema":"https://github.com/citation-style-language/schema/raw/master/csl-citation.json"}</w:instrText>
      </w:r>
      <w:r w:rsidRPr="001133CE">
        <w:rPr>
          <w:rFonts w:eastAsia="Times New Roman" w:cs="Arial"/>
          <w:szCs w:val="24"/>
          <w:lang w:val="es-MX" w:eastAsia="es-MX"/>
        </w:rPr>
        <w:fldChar w:fldCharType="separate"/>
      </w:r>
      <w:r w:rsidR="00C06EBA" w:rsidRPr="00C06EBA">
        <w:rPr>
          <w:rFonts w:eastAsia="Times New Roman" w:cs="Arial"/>
          <w:noProof/>
          <w:szCs w:val="24"/>
          <w:lang w:val="es-MX" w:eastAsia="es-MX"/>
        </w:rPr>
        <w:t>[72]</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381EF7" w:rsidRDefault="00096D42" w:rsidP="004A3FDE">
      <w:pPr>
        <w:pStyle w:val="Ttulo1"/>
        <w:spacing w:before="0" w:line="360" w:lineRule="auto"/>
        <w:ind w:left="567"/>
        <w:rPr>
          <w:lang w:val="es-MX"/>
        </w:rPr>
      </w:pPr>
      <w:r w:rsidRPr="00381EF7">
        <w:rPr>
          <w:lang w:val="es-MX"/>
        </w:rPr>
        <w:t>REFERENCIAS</w:t>
      </w:r>
    </w:p>
    <w:p w14:paraId="3341BF67" w14:textId="1F06E209" w:rsidR="00C20246" w:rsidRPr="00C20246" w:rsidRDefault="00B934EF" w:rsidP="00C20246">
      <w:pPr>
        <w:widowControl w:val="0"/>
        <w:autoSpaceDE w:val="0"/>
        <w:autoSpaceDN w:val="0"/>
        <w:adjustRightInd w:val="0"/>
        <w:spacing w:after="0" w:line="360" w:lineRule="auto"/>
        <w:ind w:left="640" w:hanging="640"/>
        <w:rPr>
          <w:rFonts w:cs="Arial"/>
          <w:noProof/>
          <w:szCs w:val="24"/>
        </w:rPr>
      </w:pPr>
      <w:r w:rsidRPr="001133CE">
        <w:rPr>
          <w:rFonts w:cs="Arial"/>
          <w:szCs w:val="24"/>
          <w:lang w:val="es-MX"/>
        </w:rPr>
        <w:fldChar w:fldCharType="begin" w:fldLock="1"/>
      </w:r>
      <w:r w:rsidRPr="00381EF7">
        <w:rPr>
          <w:rFonts w:cs="Arial"/>
          <w:szCs w:val="24"/>
          <w:lang w:val="es-MX"/>
        </w:rPr>
        <w:instrText xml:space="preserve">ADDIN Mendeley Bibliography CSL_BIBLIOGRAPHY </w:instrText>
      </w:r>
      <w:r w:rsidRPr="001133CE">
        <w:rPr>
          <w:rFonts w:cs="Arial"/>
          <w:szCs w:val="24"/>
          <w:lang w:val="es-MX"/>
        </w:rPr>
        <w:fldChar w:fldCharType="separate"/>
      </w:r>
      <w:r w:rsidR="00C20246" w:rsidRPr="00C20246">
        <w:rPr>
          <w:rFonts w:cs="Arial"/>
          <w:noProof/>
          <w:szCs w:val="24"/>
        </w:rPr>
        <w:t>[1]</w:t>
      </w:r>
      <w:r w:rsidR="00C20246" w:rsidRPr="00C20246">
        <w:rPr>
          <w:rFonts w:cs="Arial"/>
          <w:noProof/>
          <w:szCs w:val="24"/>
        </w:rPr>
        <w:tab/>
        <w:t xml:space="preserve">S. Ghorai, S. P. Banik, D. Verma, S. Chowdhury, S. Mukherjee, and S. Khowala, “Fungal biotechnology in food and feed processing,” </w:t>
      </w:r>
      <w:r w:rsidR="00C20246" w:rsidRPr="00C20246">
        <w:rPr>
          <w:rFonts w:cs="Arial"/>
          <w:i/>
          <w:iCs/>
          <w:noProof/>
          <w:szCs w:val="24"/>
        </w:rPr>
        <w:t>Food Res. Int.</w:t>
      </w:r>
      <w:r w:rsidR="00C20246" w:rsidRPr="00C20246">
        <w:rPr>
          <w:rFonts w:cs="Arial"/>
          <w:noProof/>
          <w:szCs w:val="24"/>
        </w:rPr>
        <w:t>, vol. 42, no. 5–6, pp. 577–587, Jun. 2009.</w:t>
      </w:r>
    </w:p>
    <w:p w14:paraId="7C58A3F0"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w:t>
      </w:r>
      <w:r w:rsidRPr="00C20246">
        <w:rPr>
          <w:rFonts w:cs="Arial"/>
          <w:noProof/>
          <w:szCs w:val="24"/>
        </w:rPr>
        <w:tab/>
        <w:t xml:space="preserve">F. Alberti, G. D. Foster, and A. M. Bailey, “Natural products from filamentous fungi and production by heterologous expression,” </w:t>
      </w:r>
      <w:r w:rsidRPr="00C20246">
        <w:rPr>
          <w:rFonts w:cs="Arial"/>
          <w:i/>
          <w:iCs/>
          <w:noProof/>
          <w:szCs w:val="24"/>
        </w:rPr>
        <w:t>Appl. Microbiol. Biotechnol.</w:t>
      </w:r>
    </w:p>
    <w:p w14:paraId="6F96370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w:t>
      </w:r>
      <w:r w:rsidRPr="00C20246">
        <w:rPr>
          <w:rFonts w:cs="Arial"/>
          <w:noProof/>
          <w:szCs w:val="24"/>
        </w:rPr>
        <w:tab/>
        <w:t xml:space="preserve">V. Meyer </w:t>
      </w:r>
      <w:r w:rsidRPr="00C20246">
        <w:rPr>
          <w:rFonts w:cs="Arial"/>
          <w:i/>
          <w:iCs/>
          <w:noProof/>
          <w:szCs w:val="24"/>
        </w:rPr>
        <w:t>et al.</w:t>
      </w:r>
      <w:r w:rsidRPr="00C20246">
        <w:rPr>
          <w:rFonts w:cs="Arial"/>
          <w:noProof/>
          <w:szCs w:val="24"/>
        </w:rPr>
        <w:t xml:space="preserve">, “Current challenges of research on filamentous fungi in relation to human welfare and a sustainable bio-economy: a white paper Fungal Biology and Biotechnology,” </w:t>
      </w:r>
      <w:r w:rsidRPr="00C20246">
        <w:rPr>
          <w:rFonts w:cs="Arial"/>
          <w:i/>
          <w:iCs/>
          <w:noProof/>
          <w:szCs w:val="24"/>
        </w:rPr>
        <w:t>Fungal Biol. Biotechnol.</w:t>
      </w:r>
      <w:r w:rsidRPr="00C20246">
        <w:rPr>
          <w:rFonts w:cs="Arial"/>
          <w:noProof/>
          <w:szCs w:val="24"/>
        </w:rPr>
        <w:t>, vol. 3, p. 6, 2016.</w:t>
      </w:r>
    </w:p>
    <w:p w14:paraId="70C9154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w:t>
      </w:r>
      <w:r w:rsidRPr="00C20246">
        <w:rPr>
          <w:rFonts w:cs="Arial"/>
          <w:noProof/>
          <w:szCs w:val="24"/>
        </w:rPr>
        <w:tab/>
        <w:t xml:space="preserve">S. Challa, S. G. Uppin, M. S. Uppin, U. Pamidimukkala, and L. Vemu, “Diagnosis of filamentous fungi on tissue sections by immunohistochemistry using anti-aspergillus antibody,” </w:t>
      </w:r>
      <w:r w:rsidRPr="00C20246">
        <w:rPr>
          <w:rFonts w:cs="Arial"/>
          <w:i/>
          <w:iCs/>
          <w:noProof/>
          <w:szCs w:val="24"/>
        </w:rPr>
        <w:t>Med. Mycol.</w:t>
      </w:r>
      <w:r w:rsidRPr="00C20246">
        <w:rPr>
          <w:rFonts w:cs="Arial"/>
          <w:noProof/>
          <w:szCs w:val="24"/>
        </w:rPr>
        <w:t>, vol. 53, pp. 470–476, 2015.</w:t>
      </w:r>
    </w:p>
    <w:p w14:paraId="6D421EA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w:t>
      </w:r>
      <w:r w:rsidRPr="00C20246">
        <w:rPr>
          <w:rFonts w:cs="Arial"/>
          <w:noProof/>
          <w:szCs w:val="24"/>
        </w:rPr>
        <w:tab/>
        <w:t xml:space="preserve">M. R. Islam, G. Tudryn, R. Bucinell, L. Schadler, and R. C. Picu, “Morphology and mechanics of fungal mycelium,” </w:t>
      </w:r>
      <w:r w:rsidRPr="00C20246">
        <w:rPr>
          <w:rFonts w:cs="Arial"/>
          <w:i/>
          <w:iCs/>
          <w:noProof/>
          <w:szCs w:val="24"/>
        </w:rPr>
        <w:t>Sci. Rep.</w:t>
      </w:r>
      <w:r w:rsidRPr="00C20246">
        <w:rPr>
          <w:rFonts w:cs="Arial"/>
          <w:noProof/>
          <w:szCs w:val="24"/>
        </w:rPr>
        <w:t>, vol. 7, no. 1, p. 13070, Dec. 2017.</w:t>
      </w:r>
    </w:p>
    <w:p w14:paraId="1C9DFE9A"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w:t>
      </w:r>
      <w:r w:rsidRPr="00C20246">
        <w:rPr>
          <w:rFonts w:cs="Arial"/>
          <w:noProof/>
          <w:szCs w:val="24"/>
        </w:rPr>
        <w:tab/>
        <w:t xml:space="preserve">L. H. Grimm, S. Kelly, R. Krull, and D. C. Hempel, “Morphology and productivity of filamentous fungi,” </w:t>
      </w:r>
      <w:r w:rsidRPr="00C20246">
        <w:rPr>
          <w:rFonts w:cs="Arial"/>
          <w:i/>
          <w:iCs/>
          <w:noProof/>
          <w:szCs w:val="24"/>
        </w:rPr>
        <w:t>Appl. Microbiol. Biotechnol.</w:t>
      </w:r>
      <w:r w:rsidRPr="00C20246">
        <w:rPr>
          <w:rFonts w:cs="Arial"/>
          <w:noProof/>
          <w:szCs w:val="24"/>
        </w:rPr>
        <w:t>, vol. 69, no. 4, pp. 375–384, Dec. 2005.</w:t>
      </w:r>
    </w:p>
    <w:p w14:paraId="743D1403"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[7]</w:t>
      </w:r>
      <w:r w:rsidRPr="00C20246">
        <w:rPr>
          <w:rFonts w:cs="Arial"/>
          <w:noProof/>
          <w:szCs w:val="24"/>
        </w:rPr>
        <w:tab/>
        <w:t xml:space="preserve">D. S. Hibbett </w:t>
      </w:r>
      <w:r w:rsidRPr="00C20246">
        <w:rPr>
          <w:rFonts w:cs="Arial"/>
          <w:i/>
          <w:iCs/>
          <w:noProof/>
          <w:szCs w:val="24"/>
        </w:rPr>
        <w:t>et al.</w:t>
      </w:r>
      <w:r w:rsidRPr="00C20246">
        <w:rPr>
          <w:rFonts w:cs="Arial"/>
          <w:noProof/>
          <w:szCs w:val="24"/>
        </w:rPr>
        <w:t xml:space="preserve">, “A higher-level phylogenetic classification of the Fungi,” </w:t>
      </w:r>
      <w:r w:rsidRPr="00C20246">
        <w:rPr>
          <w:rFonts w:cs="Arial"/>
          <w:i/>
          <w:iCs/>
          <w:noProof/>
          <w:szCs w:val="24"/>
        </w:rPr>
        <w:t>Mycol. Res.</w:t>
      </w:r>
      <w:r w:rsidRPr="00C20246">
        <w:rPr>
          <w:rFonts w:cs="Arial"/>
          <w:noProof/>
          <w:szCs w:val="24"/>
        </w:rPr>
        <w:t>, vol. 111, no. 5, pp. 509–547, May 2007.</w:t>
      </w:r>
    </w:p>
    <w:p w14:paraId="6635AE8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[8]</w:t>
      </w:r>
      <w:r w:rsidRPr="00C20246">
        <w:rPr>
          <w:rFonts w:cs="Arial"/>
          <w:noProof/>
          <w:szCs w:val="24"/>
        </w:rPr>
        <w:tab/>
        <w:t xml:space="preserve">M. V. Powers-Fletcher, B. A. Kendall, A. T. Griffin, and K. E. Hanson, “Filamentous Fungi,” in </w:t>
      </w:r>
      <w:r w:rsidRPr="00C20246">
        <w:rPr>
          <w:rFonts w:cs="Arial"/>
          <w:i/>
          <w:iCs/>
          <w:noProof/>
          <w:szCs w:val="24"/>
        </w:rPr>
        <w:t>Diagnostic Microbiology of the Immunocompromised Host, Second Edition</w:t>
      </w:r>
      <w:r w:rsidRPr="00C20246">
        <w:rPr>
          <w:rFonts w:cs="Arial"/>
          <w:noProof/>
          <w:szCs w:val="24"/>
        </w:rPr>
        <w:t>, vol. 4, no. 3, American Society of Microbiology, 2016, pp. 311–341.</w:t>
      </w:r>
    </w:p>
    <w:p w14:paraId="34753933"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[9]</w:t>
      </w:r>
      <w:r w:rsidRPr="00C20246">
        <w:rPr>
          <w:rFonts w:cs="Arial"/>
          <w:noProof/>
          <w:szCs w:val="24"/>
        </w:rPr>
        <w:tab/>
        <w:t>H. Babich and G. Stotzky, “Abiotic Factors Affecting the Toxicity of Lead to Fungi,” 1979.</w:t>
      </w:r>
    </w:p>
    <w:p w14:paraId="1020304C"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[10]</w:t>
      </w:r>
      <w:r w:rsidRPr="00C20246">
        <w:rPr>
          <w:rFonts w:cs="Arial"/>
          <w:noProof/>
          <w:szCs w:val="24"/>
        </w:rPr>
        <w:tab/>
        <w:t xml:space="preserve">T. Emri </w:t>
      </w:r>
      <w:r w:rsidRPr="00C20246">
        <w:rPr>
          <w:rFonts w:cs="Arial"/>
          <w:i/>
          <w:iCs/>
          <w:noProof/>
          <w:szCs w:val="24"/>
        </w:rPr>
        <w:t>et al.</w:t>
      </w:r>
      <w:r w:rsidRPr="00C20246">
        <w:rPr>
          <w:rFonts w:cs="Arial"/>
          <w:noProof/>
          <w:szCs w:val="24"/>
        </w:rPr>
        <w:t xml:space="preserve">, “Core oxidative stress response in Aspergillus nidulans,” </w:t>
      </w:r>
      <w:r w:rsidRPr="00C20246">
        <w:rPr>
          <w:rFonts w:cs="Arial"/>
          <w:i/>
          <w:iCs/>
          <w:noProof/>
          <w:szCs w:val="24"/>
        </w:rPr>
        <w:t>BMC Genomics</w:t>
      </w:r>
      <w:r w:rsidRPr="00C20246">
        <w:rPr>
          <w:rFonts w:cs="Arial"/>
          <w:noProof/>
          <w:szCs w:val="24"/>
        </w:rPr>
        <w:t>, vol. 16, no. 1, 2015.</w:t>
      </w:r>
    </w:p>
    <w:p w14:paraId="3DE99420"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[11]</w:t>
      </w:r>
      <w:r w:rsidRPr="00C20246">
        <w:rPr>
          <w:rFonts w:cs="Arial"/>
          <w:noProof/>
          <w:szCs w:val="24"/>
        </w:rPr>
        <w:tab/>
        <w:t xml:space="preserve">D. Kültz, “MOLECULAR AND EVOLUTIONARY BASIS OF THE CELLULAR STRESS RESPONSE,” </w:t>
      </w:r>
      <w:r w:rsidRPr="00C20246">
        <w:rPr>
          <w:rFonts w:cs="Arial"/>
          <w:i/>
          <w:iCs/>
          <w:noProof/>
          <w:szCs w:val="24"/>
        </w:rPr>
        <w:t>Annu. Rev. Physiol.</w:t>
      </w:r>
      <w:r w:rsidRPr="00C20246">
        <w:rPr>
          <w:rFonts w:cs="Arial"/>
          <w:noProof/>
          <w:szCs w:val="24"/>
        </w:rPr>
        <w:t>, vol. 67, no. 1, pp. 225–257, Mar. 2005.</w:t>
      </w:r>
    </w:p>
    <w:p w14:paraId="44E45229"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[12]</w:t>
      </w:r>
      <w:r w:rsidRPr="00C20246">
        <w:rPr>
          <w:rFonts w:cs="Arial"/>
          <w:noProof/>
          <w:szCs w:val="24"/>
        </w:rPr>
        <w:tab/>
        <w:t xml:space="preserve">D. Hagiwara, K. Sakamoto, K. Abe, and K. Gomi, “Signaling pathways for stress responses and adaptation in Aspergillus species: Stress biology in the post-genomic era,” </w:t>
      </w:r>
      <w:r w:rsidRPr="00C20246">
        <w:rPr>
          <w:rFonts w:cs="Arial"/>
          <w:i/>
          <w:iCs/>
          <w:noProof/>
          <w:szCs w:val="24"/>
        </w:rPr>
        <w:t>Biosci. Biotechnol. Biochem.</w:t>
      </w:r>
      <w:r w:rsidRPr="00C20246">
        <w:rPr>
          <w:rFonts w:cs="Arial"/>
          <w:noProof/>
          <w:szCs w:val="24"/>
        </w:rPr>
        <w:t>, vol. 80, no. 9, pp. 1667–1680, 2016.</w:t>
      </w:r>
    </w:p>
    <w:p w14:paraId="0630D420"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[13]</w:t>
      </w:r>
      <w:r w:rsidRPr="00C20246">
        <w:rPr>
          <w:rFonts w:cs="Arial"/>
          <w:noProof/>
          <w:szCs w:val="24"/>
        </w:rPr>
        <w:tab/>
        <w:t>M. I. Simon, M. P. Strathmann, and N. Gautam, “Diversity of Proteins in Signal Transduction,” vol. 252, no. 5007, pp. 802–808, 1991.</w:t>
      </w:r>
    </w:p>
    <w:p w14:paraId="1A469250"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[14]</w:t>
      </w:r>
      <w:r w:rsidRPr="00C20246">
        <w:rPr>
          <w:rFonts w:cs="Arial"/>
          <w:noProof/>
          <w:szCs w:val="24"/>
        </w:rPr>
        <w:tab/>
        <w:t xml:space="preserve">S. Rens-Domiano and H. E. Hamm, “Structural and functional relationships of heterotrimeric G-proteins,” </w:t>
      </w:r>
      <w:r w:rsidRPr="00C20246">
        <w:rPr>
          <w:rFonts w:cs="Arial"/>
          <w:i/>
          <w:iCs/>
          <w:noProof/>
          <w:szCs w:val="24"/>
        </w:rPr>
        <w:t>Faseb J</w:t>
      </w:r>
      <w:r w:rsidRPr="00C20246">
        <w:rPr>
          <w:rFonts w:cs="Arial"/>
          <w:noProof/>
          <w:szCs w:val="24"/>
        </w:rPr>
        <w:t>, vol. 9, no. 11, pp. 1059–1066, 1995.</w:t>
      </w:r>
    </w:p>
    <w:p w14:paraId="2067D3D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[15]</w:t>
      </w:r>
      <w:r w:rsidRPr="00C20246">
        <w:rPr>
          <w:rFonts w:cs="Arial"/>
          <w:noProof/>
          <w:szCs w:val="24"/>
        </w:rPr>
        <w:tab/>
        <w:t xml:space="preserve">L. Li, S. J. Wright, S. Krystofova, G. Park, and K. A. Borkovich, “Heterotrimeric G Protein Signaling in Filamentous Fungi,” </w:t>
      </w:r>
      <w:r w:rsidRPr="00C20246">
        <w:rPr>
          <w:rFonts w:cs="Arial"/>
          <w:i/>
          <w:iCs/>
          <w:noProof/>
          <w:szCs w:val="24"/>
        </w:rPr>
        <w:t>Annu. Rev. Microbiol.</w:t>
      </w:r>
      <w:r w:rsidRPr="00C20246">
        <w:rPr>
          <w:rFonts w:cs="Arial"/>
          <w:noProof/>
          <w:szCs w:val="24"/>
        </w:rPr>
        <w:t>, vol. 61, no. 1, pp. 423–452, 2007.</w:t>
      </w:r>
    </w:p>
    <w:p w14:paraId="4A37A61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[16]</w:t>
      </w:r>
      <w:r w:rsidRPr="00C20246">
        <w:rPr>
          <w:rFonts w:cs="Arial"/>
          <w:noProof/>
          <w:szCs w:val="24"/>
        </w:rPr>
        <w:tab/>
        <w:t xml:space="preserve">S. Liu and R. a Dean, “G protein alpha subunit genes control growth, development, and pathogenicity of Magnaporthe grisea.,” </w:t>
      </w:r>
      <w:r w:rsidRPr="00C20246">
        <w:rPr>
          <w:rFonts w:cs="Arial"/>
          <w:i/>
          <w:iCs/>
          <w:noProof/>
          <w:szCs w:val="24"/>
        </w:rPr>
        <w:t>Mol. Plant. Microbe. Interact.</w:t>
      </w:r>
      <w:r w:rsidRPr="00C20246">
        <w:rPr>
          <w:rFonts w:cs="Arial"/>
          <w:noProof/>
          <w:szCs w:val="24"/>
        </w:rPr>
        <w:t>, vol. 10, no. 9, pp. 1075–86, 1997.</w:t>
      </w:r>
    </w:p>
    <w:p w14:paraId="53EBB445"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[17]</w:t>
      </w:r>
      <w:r w:rsidRPr="00C20246">
        <w:rPr>
          <w:rFonts w:cs="Arial"/>
          <w:noProof/>
          <w:szCs w:val="24"/>
        </w:rPr>
        <w:tab/>
        <w:t xml:space="preserve">Y. Liu </w:t>
      </w:r>
      <w:r w:rsidRPr="00C20246">
        <w:rPr>
          <w:rFonts w:cs="Arial"/>
          <w:i/>
          <w:iCs/>
          <w:noProof/>
          <w:szCs w:val="24"/>
        </w:rPr>
        <w:t>et al.</w:t>
      </w:r>
      <w:r w:rsidRPr="00C20246">
        <w:rPr>
          <w:rFonts w:cs="Arial"/>
          <w:noProof/>
          <w:szCs w:val="24"/>
        </w:rPr>
        <w:t xml:space="preserve">, “G Protein α Subunit GpaB is Required for Asexual Development, Aflatoxin Biosynthesis and Pathogenicity by Regulating cAMP Signaling in Aspergillus flavus.,” </w:t>
      </w:r>
      <w:r w:rsidRPr="00C20246">
        <w:rPr>
          <w:rFonts w:cs="Arial"/>
          <w:i/>
          <w:iCs/>
          <w:noProof/>
          <w:szCs w:val="24"/>
        </w:rPr>
        <w:t>Toxins (Basel).</w:t>
      </w:r>
      <w:r w:rsidRPr="00C20246">
        <w:rPr>
          <w:rFonts w:cs="Arial"/>
          <w:noProof/>
          <w:szCs w:val="24"/>
        </w:rPr>
        <w:t>, vol. 10, no. 3, Mar. 2018.</w:t>
      </w:r>
    </w:p>
    <w:p w14:paraId="146F94D5"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[18]</w:t>
      </w:r>
      <w:r w:rsidRPr="00C20246">
        <w:rPr>
          <w:rFonts w:cs="Arial"/>
          <w:noProof/>
          <w:szCs w:val="24"/>
        </w:rPr>
        <w:tab/>
        <w:t xml:space="preserve">M. Bölker, “Sex and crime: Heterotrimeric G proteins in fungal mating and pathogenesis,” </w:t>
      </w:r>
      <w:r w:rsidRPr="00C20246">
        <w:rPr>
          <w:rFonts w:cs="Arial"/>
          <w:i/>
          <w:iCs/>
          <w:noProof/>
          <w:szCs w:val="24"/>
        </w:rPr>
        <w:t>Fungal Genet. Biol.</w:t>
      </w:r>
      <w:r w:rsidRPr="00C20246">
        <w:rPr>
          <w:rFonts w:cs="Arial"/>
          <w:noProof/>
          <w:szCs w:val="24"/>
        </w:rPr>
        <w:t>, vol. 25, no. 3, pp. 143–156, 1998.</w:t>
      </w:r>
    </w:p>
    <w:p w14:paraId="17AD7A1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[19]</w:t>
      </w:r>
      <w:r w:rsidRPr="00C20246">
        <w:rPr>
          <w:rFonts w:cs="Arial"/>
          <w:noProof/>
          <w:szCs w:val="24"/>
        </w:rPr>
        <w:tab/>
        <w:t>C. G. Alvaro and J. Thorner, “Heterotrimeric G Protein-coupled Receptor Signaling in Yeast Mating Pheromone Response *,” 2016.</w:t>
      </w:r>
    </w:p>
    <w:p w14:paraId="75315523"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[20]</w:t>
      </w:r>
      <w:r w:rsidRPr="00C20246">
        <w:rPr>
          <w:rFonts w:cs="Arial"/>
          <w:noProof/>
          <w:szCs w:val="24"/>
        </w:rPr>
        <w:tab/>
        <w:t xml:space="preserve">G. M. TRUESDELL, Z. YANG, and M. B. DICKMAN, “A Gα subunit gene from the phytopathogenic fungus Colletotrichum trifolii is required for conidial germination,” </w:t>
      </w:r>
      <w:r w:rsidRPr="00C20246">
        <w:rPr>
          <w:rFonts w:cs="Arial"/>
          <w:i/>
          <w:iCs/>
          <w:noProof/>
          <w:szCs w:val="24"/>
        </w:rPr>
        <w:t>Physiol. Mol. Plant Pathol.</w:t>
      </w:r>
      <w:r w:rsidRPr="00C20246">
        <w:rPr>
          <w:rFonts w:cs="Arial"/>
          <w:noProof/>
          <w:szCs w:val="24"/>
        </w:rPr>
        <w:t>, vol. 56, no. 3, pp. 131–140, Mar. 2000.</w:t>
      </w:r>
    </w:p>
    <w:p w14:paraId="009C13EF"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[21]</w:t>
      </w:r>
      <w:r w:rsidRPr="00C20246">
        <w:rPr>
          <w:rFonts w:cs="Arial"/>
          <w:noProof/>
          <w:szCs w:val="24"/>
        </w:rPr>
        <w:tab/>
        <w:t xml:space="preserve">G. E. Turner and K. A. Borkovich, “Identification of a G protein α subunit from Neurospora crassa that is a member of the G(i) family,” </w:t>
      </w:r>
      <w:r w:rsidRPr="00C20246">
        <w:rPr>
          <w:rFonts w:cs="Arial"/>
          <w:i/>
          <w:iCs/>
          <w:noProof/>
          <w:szCs w:val="24"/>
        </w:rPr>
        <w:t>J. Biol. Chem.</w:t>
      </w:r>
      <w:r w:rsidRPr="00C20246">
        <w:rPr>
          <w:rFonts w:cs="Arial"/>
          <w:noProof/>
          <w:szCs w:val="24"/>
        </w:rPr>
        <w:t>, vol. 268, no. 20, pp. 14805–14811, 1993.</w:t>
      </w:r>
    </w:p>
    <w:p w14:paraId="7EB560C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[22]</w:t>
      </w:r>
      <w:r w:rsidRPr="00C20246">
        <w:rPr>
          <w:rFonts w:cs="Arial"/>
          <w:noProof/>
          <w:szCs w:val="24"/>
        </w:rPr>
        <w:tab/>
        <w:t xml:space="preserve">F. D. Ivey, P. N. Hodge, G. E. Turner, and K. A. Borkovich, “The G alpha i homologue gna-1 controls multiple differentiation pathways in Neurospora crassa,” </w:t>
      </w:r>
      <w:r w:rsidRPr="00C20246">
        <w:rPr>
          <w:rFonts w:cs="Arial"/>
          <w:i/>
          <w:iCs/>
          <w:noProof/>
          <w:szCs w:val="24"/>
        </w:rPr>
        <w:t>Mol Biol Cell</w:t>
      </w:r>
      <w:r w:rsidRPr="00C20246">
        <w:rPr>
          <w:rFonts w:cs="Arial"/>
          <w:noProof/>
          <w:szCs w:val="24"/>
        </w:rPr>
        <w:t>, vol. 7, no. 8, pp. 1283–1297, 1996.</w:t>
      </w:r>
    </w:p>
    <w:p w14:paraId="0F4FCCC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[23]</w:t>
      </w:r>
      <w:r w:rsidRPr="00C20246">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C20246">
        <w:rPr>
          <w:rFonts w:cs="Arial"/>
          <w:i/>
          <w:iCs/>
          <w:noProof/>
          <w:szCs w:val="24"/>
        </w:rPr>
        <w:t>Fungal Genet. Biol.</w:t>
      </w:r>
      <w:r w:rsidRPr="00C20246">
        <w:rPr>
          <w:rFonts w:cs="Arial"/>
          <w:noProof/>
          <w:szCs w:val="24"/>
        </w:rPr>
        <w:t>, vol. 48, no. 6, pp. 631–640, 2011.</w:t>
      </w:r>
    </w:p>
    <w:p w14:paraId="036EC82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[24]</w:t>
      </w:r>
      <w:r w:rsidRPr="00C20246">
        <w:rPr>
          <w:rFonts w:cs="Arial"/>
          <w:noProof/>
          <w:szCs w:val="24"/>
        </w:rPr>
        <w:tab/>
        <w:t xml:space="preserve">E. Regenfelder, T. Spellig, A. Hartmann, S. Lauenstein, M. Bölker, and R. Kahmann, “G proteins in Ustilago maydis: transmission of multiple signals?,” </w:t>
      </w:r>
      <w:r w:rsidRPr="00C20246">
        <w:rPr>
          <w:rFonts w:cs="Arial"/>
          <w:i/>
          <w:iCs/>
          <w:noProof/>
          <w:szCs w:val="24"/>
        </w:rPr>
        <w:t>EMBO J.</w:t>
      </w:r>
      <w:r w:rsidRPr="00C20246">
        <w:rPr>
          <w:rFonts w:cs="Arial"/>
          <w:noProof/>
          <w:szCs w:val="24"/>
        </w:rPr>
        <w:t>, vol. 16, no. 8, pp. 1934–1942, Apr. 1997.</w:t>
      </w:r>
    </w:p>
    <w:p w14:paraId="4C024BCD"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[25]</w:t>
      </w:r>
      <w:r w:rsidRPr="00C20246">
        <w:rPr>
          <w:rFonts w:cs="Arial"/>
          <w:noProof/>
          <w:szCs w:val="24"/>
        </w:rPr>
        <w:tab/>
        <w:t xml:space="preserve">H. Liu, A. Suresh, F. S. Willard, D. P. Siderovski, S. Lu, and N. I. Naqvi, “Rgs1 regulates multiple Gα subunits in Magnaporthe pathogenesis, asexual growth and thigmotropism,” </w:t>
      </w:r>
      <w:r w:rsidRPr="00C20246">
        <w:rPr>
          <w:rFonts w:cs="Arial"/>
          <w:i/>
          <w:iCs/>
          <w:noProof/>
          <w:szCs w:val="24"/>
        </w:rPr>
        <w:t>EMBO J.</w:t>
      </w:r>
      <w:r w:rsidRPr="00C20246">
        <w:rPr>
          <w:rFonts w:cs="Arial"/>
          <w:noProof/>
          <w:szCs w:val="24"/>
        </w:rPr>
        <w:t>, vol. 26, no. 3, pp. 690–700, Feb. 2007.</w:t>
      </w:r>
    </w:p>
    <w:p w14:paraId="0F22CF1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[26]</w:t>
      </w:r>
      <w:r w:rsidRPr="00C20246">
        <w:rPr>
          <w:rFonts w:cs="Arial"/>
          <w:noProof/>
          <w:szCs w:val="24"/>
        </w:rPr>
        <w:tab/>
        <w:t xml:space="preserve">D. M. Berman, T. M. Wilkie, and A. G. Gilman, “GAIP and RGS4 are GTPase-activating proteins for the G(i) subfamily of G protein α subunits,” </w:t>
      </w:r>
      <w:r w:rsidRPr="00C20246">
        <w:rPr>
          <w:rFonts w:cs="Arial"/>
          <w:i/>
          <w:iCs/>
          <w:noProof/>
          <w:szCs w:val="24"/>
        </w:rPr>
        <w:t>Cell</w:t>
      </w:r>
      <w:r w:rsidRPr="00C20246">
        <w:rPr>
          <w:rFonts w:cs="Arial"/>
          <w:noProof/>
          <w:szCs w:val="24"/>
        </w:rPr>
        <w:t>, vol. 86, no. 3, pp. 445–452, 1996.</w:t>
      </w:r>
    </w:p>
    <w:p w14:paraId="456E7F9D"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[27]</w:t>
      </w:r>
      <w:r w:rsidRPr="00C20246">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C20246">
        <w:rPr>
          <w:rFonts w:cs="Arial"/>
          <w:i/>
          <w:iCs/>
          <w:noProof/>
          <w:szCs w:val="24"/>
        </w:rPr>
        <w:t>Mol. Microbiol.</w:t>
      </w:r>
      <w:r w:rsidRPr="00C20246">
        <w:rPr>
          <w:rFonts w:cs="Arial"/>
          <w:noProof/>
          <w:szCs w:val="24"/>
        </w:rPr>
        <w:t>, vol. 53, no. 2, pp. 529–540, 2004.</w:t>
      </w:r>
    </w:p>
    <w:p w14:paraId="3B228BF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[28]</w:t>
      </w:r>
      <w:r w:rsidRPr="00C20246">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C20246">
        <w:rPr>
          <w:rFonts w:cs="Arial"/>
          <w:i/>
          <w:iCs/>
          <w:noProof/>
          <w:szCs w:val="24"/>
        </w:rPr>
        <w:t>Eukaryot. Cell</w:t>
      </w:r>
      <w:r w:rsidRPr="00C20246">
        <w:rPr>
          <w:rFonts w:cs="Arial"/>
          <w:noProof/>
          <w:szCs w:val="24"/>
        </w:rPr>
        <w:t>, vol. 1, no. 3, pp. 440–447, 2002.</w:t>
      </w:r>
    </w:p>
    <w:p w14:paraId="37606C15"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[29]</w:t>
      </w:r>
      <w:r w:rsidRPr="00C20246">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C20246">
        <w:rPr>
          <w:rFonts w:cs="Arial"/>
          <w:i/>
          <w:iCs/>
          <w:noProof/>
          <w:szCs w:val="24"/>
        </w:rPr>
        <w:t>Eukaryot. Cell</w:t>
      </w:r>
      <w:r w:rsidRPr="00C20246">
        <w:rPr>
          <w:rFonts w:cs="Arial"/>
          <w:noProof/>
          <w:szCs w:val="24"/>
        </w:rPr>
        <w:t>, vol. 1, no. 4, pp. 634–642, 2002.</w:t>
      </w:r>
    </w:p>
    <w:p w14:paraId="091F23F2"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[30]</w:t>
      </w:r>
      <w:r w:rsidRPr="00C20246">
        <w:rPr>
          <w:rFonts w:cs="Arial"/>
          <w:noProof/>
          <w:szCs w:val="24"/>
        </w:rPr>
        <w:tab/>
        <w:t xml:space="preserve">S. J. Wright, R. Inchausti, C. J. Eaton, S. Krystofova, K. A. Borkovich </w:t>
      </w:r>
      <w:dir w:val="rtl">
        <w:r w:rsidRPr="00C20246">
          <w:rPr>
            <w:rFonts w:cs="Arial"/>
            <w:noProof/>
            <w:szCs w:val="24"/>
          </w:rPr>
          <w:t xml:space="preserve">3, and ٭. </w:t>
        </w:r>
        <w:dir w:val="rtl">
          <w:r w:rsidRPr="00C20246">
            <w:rPr>
              <w:rFonts w:cs="Arial"/>
              <w:noProof/>
              <w:szCs w:val="24"/>
            </w:rPr>
            <w:t>٭</w:t>
          </w:r>
          <w:r w:rsidRPr="00C20246">
            <w:rPr>
              <w:rFonts w:cs="Arial"/>
              <w:noProof/>
              <w:szCs w:val="24"/>
            </w:rPr>
            <w:t>‬, “RIC8 is a guanine-nucleotide exchange factor for Gα subunits that regulates growth and development in Neurospora crassa.”</w:t>
          </w:r>
        </w:dir>
      </w:dir>
    </w:p>
    <w:p w14:paraId="0AB2A4E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[31]</w:t>
      </w:r>
      <w:r w:rsidRPr="00C20246">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C20246">
        <w:rPr>
          <w:rFonts w:cs="Arial"/>
          <w:i/>
          <w:iCs/>
          <w:noProof/>
          <w:szCs w:val="24"/>
        </w:rPr>
        <w:t>PLoS One</w:t>
      </w:r>
      <w:r w:rsidRPr="00C20246">
        <w:rPr>
          <w:rFonts w:cs="Arial"/>
          <w:noProof/>
          <w:szCs w:val="24"/>
        </w:rPr>
        <w:t>, vol. 7, no. 10, p. e48026, Oct. 2012.</w:t>
      </w:r>
    </w:p>
    <w:p w14:paraId="026BF46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[32]</w:t>
      </w:r>
      <w:r w:rsidRPr="00C20246">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C20246">
        <w:rPr>
          <w:rFonts w:cs="Arial"/>
          <w:i/>
          <w:iCs/>
          <w:noProof/>
          <w:szCs w:val="24"/>
        </w:rPr>
        <w:t>BMC Microbiol.</w:t>
      </w:r>
      <w:r w:rsidRPr="00C20246">
        <w:rPr>
          <w:rFonts w:cs="Arial"/>
          <w:noProof/>
          <w:szCs w:val="24"/>
        </w:rPr>
        <w:t>, vol. 10, no. 1, p. 317, 2010.</w:t>
      </w:r>
    </w:p>
    <w:p w14:paraId="028CC54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[33]</w:t>
      </w:r>
      <w:r w:rsidRPr="00C20246">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C20246">
        <w:rPr>
          <w:rFonts w:cs="Arial"/>
          <w:i/>
          <w:iCs/>
          <w:noProof/>
          <w:szCs w:val="24"/>
        </w:rPr>
        <w:t>Biomolecules</w:t>
      </w:r>
      <w:r w:rsidRPr="00C20246">
        <w:rPr>
          <w:rFonts w:cs="Arial"/>
          <w:noProof/>
          <w:szCs w:val="24"/>
        </w:rPr>
        <w:t>, vol. 5, no. 2, pp. 318–42, Apr. 2015.</w:t>
      </w:r>
    </w:p>
    <w:p w14:paraId="6D78F9CD"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[34]</w:t>
      </w:r>
      <w:r w:rsidRPr="00C20246">
        <w:rPr>
          <w:rFonts w:cs="Arial"/>
          <w:noProof/>
          <w:szCs w:val="24"/>
        </w:rPr>
        <w:tab/>
        <w:t xml:space="preserve">E. Birben, U. M. Sahiner, C. Sackesen, S. Erzurum, and O. Kalayci, “Oxidative stress and antioxidant defense.,” </w:t>
      </w:r>
      <w:r w:rsidRPr="00C20246">
        <w:rPr>
          <w:rFonts w:cs="Arial"/>
          <w:i/>
          <w:iCs/>
          <w:noProof/>
          <w:szCs w:val="24"/>
        </w:rPr>
        <w:t>World Allergy Organ. J.</w:t>
      </w:r>
      <w:r w:rsidRPr="00C20246">
        <w:rPr>
          <w:rFonts w:cs="Arial"/>
          <w:noProof/>
          <w:szCs w:val="24"/>
        </w:rPr>
        <w:t>, vol. 5, no. 1, pp. 9–19, Jan. 2012.</w:t>
      </w:r>
    </w:p>
    <w:p w14:paraId="55142979"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[35]</w:t>
      </w:r>
      <w:r w:rsidRPr="00C20246">
        <w:rPr>
          <w:rFonts w:cs="Arial"/>
          <w:noProof/>
          <w:szCs w:val="24"/>
        </w:rPr>
        <w:tab/>
        <w:t xml:space="preserve">D. Trachootham, W. Lu, M. A. Ogasawara, R.-D. V. Nilsa, and P. Huang, “Redox regulation of cell survival.,” </w:t>
      </w:r>
      <w:r w:rsidRPr="00C20246">
        <w:rPr>
          <w:rFonts w:cs="Arial"/>
          <w:i/>
          <w:iCs/>
          <w:noProof/>
          <w:szCs w:val="24"/>
        </w:rPr>
        <w:t>Antioxid. Redox Signal.</w:t>
      </w:r>
      <w:r w:rsidRPr="00C20246">
        <w:rPr>
          <w:rFonts w:cs="Arial"/>
          <w:noProof/>
          <w:szCs w:val="24"/>
        </w:rPr>
        <w:t>, vol. 10, no. 8, pp. 1343–74, Aug. 2008.</w:t>
      </w:r>
    </w:p>
    <w:p w14:paraId="0187F0D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[36]</w:t>
      </w:r>
      <w:r w:rsidRPr="00C20246">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C20246">
        <w:rPr>
          <w:rFonts w:cs="Arial"/>
          <w:i/>
          <w:iCs/>
          <w:noProof/>
          <w:szCs w:val="24"/>
        </w:rPr>
        <w:t>Int. Microbiol.</w:t>
      </w:r>
      <w:r w:rsidRPr="00C20246">
        <w:rPr>
          <w:rFonts w:cs="Arial"/>
          <w:noProof/>
          <w:szCs w:val="24"/>
        </w:rPr>
        <w:t>, vol. 12, no. 2, pp. 123–9, Jun. 2009.</w:t>
      </w:r>
    </w:p>
    <w:p w14:paraId="572EE81B"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[37]</w:t>
      </w:r>
      <w:r w:rsidRPr="00C20246">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C20246">
        <w:rPr>
          <w:rFonts w:cs="Arial"/>
          <w:i/>
          <w:iCs/>
          <w:noProof/>
          <w:szCs w:val="24"/>
        </w:rPr>
        <w:t>Fungal Genet. Biol.</w:t>
      </w:r>
      <w:r w:rsidRPr="00C20246">
        <w:rPr>
          <w:rFonts w:cs="Arial"/>
          <w:noProof/>
          <w:szCs w:val="24"/>
        </w:rPr>
        <w:t>, vol. 48, no. 6, pp. 641–649, 2011.</w:t>
      </w:r>
    </w:p>
    <w:p w14:paraId="3D8B2DA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[38]</w:t>
      </w:r>
      <w:r w:rsidRPr="00C20246">
        <w:rPr>
          <w:rFonts w:cs="Arial"/>
          <w:noProof/>
          <w:szCs w:val="24"/>
        </w:rPr>
        <w:tab/>
        <w:t xml:space="preserve">R. O. García-Rico </w:t>
      </w:r>
      <w:r w:rsidRPr="00C20246">
        <w:rPr>
          <w:rFonts w:cs="Arial"/>
          <w:i/>
          <w:iCs/>
          <w:noProof/>
          <w:szCs w:val="24"/>
        </w:rPr>
        <w:t>et al.</w:t>
      </w:r>
      <w:r w:rsidRPr="00C20246">
        <w:rPr>
          <w:rFonts w:cs="Arial"/>
          <w:noProof/>
          <w:szCs w:val="24"/>
        </w:rPr>
        <w:t xml:space="preserve">, “Heterotrimeric G protein alpha subunit controls growth, stress response, extracellular protease activity, and cyclopiazonic acid production in Penicillium camemberti,” </w:t>
      </w:r>
      <w:r w:rsidRPr="00C20246">
        <w:rPr>
          <w:rFonts w:cs="Arial"/>
          <w:i/>
          <w:iCs/>
          <w:noProof/>
          <w:szCs w:val="24"/>
        </w:rPr>
        <w:t>Fungal Biol.</w:t>
      </w:r>
      <w:r w:rsidRPr="00C20246">
        <w:rPr>
          <w:rFonts w:cs="Arial"/>
          <w:noProof/>
          <w:szCs w:val="24"/>
        </w:rPr>
        <w:t>, vol. 121, no. 9, pp. 754–762, Sep. 2017.</w:t>
      </w:r>
    </w:p>
    <w:p w14:paraId="1F63167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[39]</w:t>
      </w:r>
      <w:r w:rsidRPr="00C20246">
        <w:rPr>
          <w:rFonts w:cs="Arial"/>
          <w:noProof/>
          <w:szCs w:val="24"/>
        </w:rPr>
        <w:tab/>
        <w:t xml:space="preserve">U. Carrasco-Navarro </w:t>
      </w:r>
      <w:r w:rsidRPr="00C20246">
        <w:rPr>
          <w:rFonts w:cs="Arial"/>
          <w:i/>
          <w:iCs/>
          <w:noProof/>
          <w:szCs w:val="24"/>
        </w:rPr>
        <w:t>et al.</w:t>
      </w:r>
      <w:r w:rsidRPr="00C20246">
        <w:rPr>
          <w:rFonts w:cs="Arial"/>
          <w:noProof/>
          <w:szCs w:val="24"/>
        </w:rPr>
        <w:t xml:space="preserve">, “Proteomic analysis of the signaling pathway mediated by the heterotrimeric Ga protein Pga1 of Penicillium chrysogenum,” </w:t>
      </w:r>
      <w:r w:rsidRPr="00C20246">
        <w:rPr>
          <w:rFonts w:cs="Arial"/>
          <w:i/>
          <w:iCs/>
          <w:noProof/>
          <w:szCs w:val="24"/>
        </w:rPr>
        <w:t>Microb. Cell Fact.</w:t>
      </w:r>
      <w:r w:rsidRPr="00C20246">
        <w:rPr>
          <w:rFonts w:cs="Arial"/>
          <w:noProof/>
          <w:szCs w:val="24"/>
        </w:rPr>
        <w:t>, vol. 15, no. 1, pp. 1–17, 2016.</w:t>
      </w:r>
    </w:p>
    <w:p w14:paraId="3760BE6C"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[40]</w:t>
      </w:r>
      <w:r w:rsidRPr="00C20246">
        <w:rPr>
          <w:rFonts w:cs="Arial"/>
          <w:noProof/>
          <w:szCs w:val="24"/>
        </w:rPr>
        <w:tab/>
        <w:t xml:space="preserve">Q. Yang and K. A. Borkovich, “Mutational activation of a Gα(i) causes uncontrolled proliferation of aerial hyphae and increased sensitivity to heat and oxidative stress in Neurospora crassa,” </w:t>
      </w:r>
      <w:r w:rsidRPr="00C20246">
        <w:rPr>
          <w:rFonts w:cs="Arial"/>
          <w:i/>
          <w:iCs/>
          <w:noProof/>
          <w:szCs w:val="24"/>
        </w:rPr>
        <w:t>Genetics</w:t>
      </w:r>
      <w:r w:rsidRPr="00C20246">
        <w:rPr>
          <w:rFonts w:cs="Arial"/>
          <w:noProof/>
          <w:szCs w:val="24"/>
        </w:rPr>
        <w:t>, vol. 151, no. 1, pp. 107–117, 1999.</w:t>
      </w:r>
    </w:p>
    <w:p w14:paraId="1576191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[41]</w:t>
      </w:r>
      <w:r w:rsidRPr="00C20246">
        <w:rPr>
          <w:rFonts w:cs="Arial"/>
          <w:noProof/>
          <w:szCs w:val="24"/>
        </w:rPr>
        <w:tab/>
        <w:t xml:space="preserve">A. M. Kays, P. S. Rowley, R. A. Baasiri, and K. A. Borkovich, “Regulation of conidiation and adenylyl cyclase levels by the Galpha protein GNA-3 in Neurospora crassa,” </w:t>
      </w:r>
      <w:r w:rsidRPr="00C20246">
        <w:rPr>
          <w:rFonts w:cs="Arial"/>
          <w:i/>
          <w:iCs/>
          <w:noProof/>
          <w:szCs w:val="24"/>
        </w:rPr>
        <w:t>Mol Cell Biol</w:t>
      </w:r>
      <w:r w:rsidRPr="00C20246">
        <w:rPr>
          <w:rFonts w:cs="Arial"/>
          <w:noProof/>
          <w:szCs w:val="24"/>
        </w:rPr>
        <w:t>, vol. 20, no. 20, pp. 7693–7705, 2000.</w:t>
      </w:r>
    </w:p>
    <w:p w14:paraId="6EAE4C3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[42]</w:t>
      </w:r>
      <w:r w:rsidRPr="00C20246">
        <w:rPr>
          <w:rFonts w:cs="Arial"/>
          <w:noProof/>
          <w:szCs w:val="24"/>
        </w:rPr>
        <w:tab/>
        <w:t xml:space="preserve">F. D. Ivey, Q. Yang, and K. A. Borkovich, “Positive Regulation of Adenylyl Cyclase Activity by a GαiHomolog inNeurospora crassa,” </w:t>
      </w:r>
      <w:r w:rsidRPr="00C20246">
        <w:rPr>
          <w:rFonts w:cs="Arial"/>
          <w:i/>
          <w:iCs/>
          <w:noProof/>
          <w:szCs w:val="24"/>
        </w:rPr>
        <w:t>Fungal Genet. Biol.</w:t>
      </w:r>
      <w:r w:rsidRPr="00C20246">
        <w:rPr>
          <w:rFonts w:cs="Arial"/>
          <w:noProof/>
          <w:szCs w:val="24"/>
        </w:rPr>
        <w:t>, vol. 26, no. 1, pp. 48–61, Feb. 1999.</w:t>
      </w:r>
    </w:p>
    <w:p w14:paraId="2FAFD724"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[43]</w:t>
      </w:r>
      <w:r w:rsidRPr="00C20246">
        <w:rPr>
          <w:rFonts w:cs="Arial"/>
          <w:noProof/>
          <w:szCs w:val="24"/>
        </w:rPr>
        <w:tab/>
        <w:t xml:space="preserve">A. M. Kays and K. A. Borkovich, “Severe Impairment of Growth and Differentiation in a Neurospora crassa Mutant Lacking All Heterotrimeric G?? Proteins,” </w:t>
      </w:r>
      <w:r w:rsidRPr="00C20246">
        <w:rPr>
          <w:rFonts w:cs="Arial"/>
          <w:i/>
          <w:iCs/>
          <w:noProof/>
          <w:szCs w:val="24"/>
        </w:rPr>
        <w:t>Genetics</w:t>
      </w:r>
      <w:r w:rsidRPr="00C20246">
        <w:rPr>
          <w:rFonts w:cs="Arial"/>
          <w:noProof/>
          <w:szCs w:val="24"/>
        </w:rPr>
        <w:t>, vol. 166, no. 3, pp. 1229–1240, 2004.</w:t>
      </w:r>
    </w:p>
    <w:p w14:paraId="07DD5A3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[44]</w:t>
      </w:r>
      <w:r w:rsidRPr="00C20246">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C20246">
        <w:rPr>
          <w:rFonts w:cs="Arial"/>
          <w:i/>
          <w:iCs/>
          <w:noProof/>
          <w:szCs w:val="24"/>
        </w:rPr>
        <w:t>Biochem. Biophys. Res. Commun.</w:t>
      </w:r>
      <w:r w:rsidRPr="00C20246">
        <w:rPr>
          <w:rFonts w:cs="Arial"/>
          <w:noProof/>
          <w:szCs w:val="24"/>
        </w:rPr>
        <w:t>, vol. 327, no. 1, pp. 311–319, Feb. 2005.</w:t>
      </w:r>
    </w:p>
    <w:p w14:paraId="51DADD86"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[45]</w:t>
      </w:r>
      <w:r w:rsidRPr="00C20246">
        <w:rPr>
          <w:rFonts w:cs="Arial"/>
          <w:noProof/>
          <w:szCs w:val="24"/>
        </w:rPr>
        <w:tab/>
        <w:t xml:space="preserve">A. Dantas, A. Day, M. Ikeh, I. Kos, B. Achan, and J. Quinn, “Oxidative Stress Responses in the Human Fungal Pathogen, Candida albicans,” </w:t>
      </w:r>
      <w:r w:rsidRPr="00C20246">
        <w:rPr>
          <w:rFonts w:cs="Arial"/>
          <w:i/>
          <w:iCs/>
          <w:noProof/>
          <w:szCs w:val="24"/>
        </w:rPr>
        <w:t>Biomolecules</w:t>
      </w:r>
      <w:r w:rsidRPr="00C20246">
        <w:rPr>
          <w:rFonts w:cs="Arial"/>
          <w:noProof/>
          <w:szCs w:val="24"/>
        </w:rPr>
        <w:t>, vol. 5, no. 1, pp. 142–165, Feb. 2015.</w:t>
      </w:r>
    </w:p>
    <w:p w14:paraId="54714CF3"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[46]</w:t>
      </w:r>
      <w:r w:rsidRPr="00C20246">
        <w:rPr>
          <w:rFonts w:cs="Arial"/>
          <w:noProof/>
          <w:szCs w:val="24"/>
        </w:rPr>
        <w:tab/>
        <w:t xml:space="preserve">D. Wilson </w:t>
      </w:r>
      <w:r w:rsidRPr="00C20246">
        <w:rPr>
          <w:rFonts w:cs="Arial"/>
          <w:i/>
          <w:iCs/>
          <w:noProof/>
          <w:szCs w:val="24"/>
        </w:rPr>
        <w:t>et al.</w:t>
      </w:r>
      <w:r w:rsidRPr="00C20246">
        <w:rPr>
          <w:rFonts w:cs="Arial"/>
          <w:noProof/>
          <w:szCs w:val="24"/>
        </w:rPr>
        <w:t xml:space="preserve">, “Deletion of the high-affinity cAMP phosphodiesterase encoded by PDE2 affects stress responses and virulence in Candida albicans,” </w:t>
      </w:r>
      <w:r w:rsidRPr="00C20246">
        <w:rPr>
          <w:rFonts w:cs="Arial"/>
          <w:i/>
          <w:iCs/>
          <w:noProof/>
          <w:szCs w:val="24"/>
        </w:rPr>
        <w:t>Mol. Microbiol.</w:t>
      </w:r>
      <w:r w:rsidRPr="00C20246">
        <w:rPr>
          <w:rFonts w:cs="Arial"/>
          <w:noProof/>
          <w:szCs w:val="24"/>
        </w:rPr>
        <w:t>, vol. 65, no. 4, pp. 841–856, Aug. 2007.</w:t>
      </w:r>
    </w:p>
    <w:p w14:paraId="19A1D60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[47]</w:t>
      </w:r>
      <w:r w:rsidRPr="00C20246">
        <w:rPr>
          <w:rFonts w:cs="Arial"/>
          <w:noProof/>
          <w:szCs w:val="24"/>
        </w:rPr>
        <w:tab/>
        <w:t xml:space="preserve">C. Seibel, G. Gremel, R. do Nascimento Silva, A. Schuster, C. P. Kubicek, and M. Schmoll, “Light-dependent roles of the G-protein ?? subunit GNA1 of Hypocrea jecorina (anamorph Trichoderma reesei),” </w:t>
      </w:r>
      <w:r w:rsidRPr="00C20246">
        <w:rPr>
          <w:rFonts w:cs="Arial"/>
          <w:i/>
          <w:iCs/>
          <w:noProof/>
          <w:szCs w:val="24"/>
        </w:rPr>
        <w:t>BMC Biol.</w:t>
      </w:r>
      <w:r w:rsidRPr="00C20246">
        <w:rPr>
          <w:rFonts w:cs="Arial"/>
          <w:noProof/>
          <w:szCs w:val="24"/>
        </w:rPr>
        <w:t>, vol. 7, p. 58, 2009.</w:t>
      </w:r>
    </w:p>
    <w:p w14:paraId="709BA207"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[48]</w:t>
      </w:r>
      <w:r w:rsidRPr="00C20246">
        <w:rPr>
          <w:rFonts w:cs="Arial"/>
          <w:noProof/>
          <w:szCs w:val="24"/>
        </w:rPr>
        <w:tab/>
        <w:t xml:space="preserve">E. Fréalle </w:t>
      </w:r>
      <w:r w:rsidRPr="00C20246">
        <w:rPr>
          <w:rFonts w:cs="Arial"/>
          <w:i/>
          <w:iCs/>
          <w:noProof/>
          <w:szCs w:val="24"/>
        </w:rPr>
        <w:t>et al.</w:t>
      </w:r>
      <w:r w:rsidRPr="00C20246">
        <w:rPr>
          <w:rFonts w:cs="Arial"/>
          <w:noProof/>
          <w:szCs w:val="24"/>
        </w:rPr>
        <w:t xml:space="preserve">, “Manganese superoxide dismutase based phylogeny of pathogenic fungi,” </w:t>
      </w:r>
      <w:r w:rsidRPr="00C20246">
        <w:rPr>
          <w:rFonts w:cs="Arial"/>
          <w:i/>
          <w:iCs/>
          <w:noProof/>
          <w:szCs w:val="24"/>
        </w:rPr>
        <w:t>Mol. Phylogenet. Evol.</w:t>
      </w:r>
      <w:r w:rsidRPr="00C20246">
        <w:rPr>
          <w:rFonts w:cs="Arial"/>
          <w:noProof/>
          <w:szCs w:val="24"/>
        </w:rPr>
        <w:t>, vol. 41, no. 1, pp. 28–39, Oct. 2006.</w:t>
      </w:r>
    </w:p>
    <w:p w14:paraId="1DA3D33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[49]</w:t>
      </w:r>
      <w:r w:rsidRPr="00C20246">
        <w:rPr>
          <w:rFonts w:cs="Arial"/>
          <w:noProof/>
          <w:szCs w:val="24"/>
        </w:rPr>
        <w:tab/>
        <w:t xml:space="preserve">W. H. Mager, A. H. de Boer, M. H. Siderius, and H. P. Voss, “Cellular responses to oxidative and osmotic stress.,” </w:t>
      </w:r>
      <w:r w:rsidRPr="00C20246">
        <w:rPr>
          <w:rFonts w:cs="Arial"/>
          <w:i/>
          <w:iCs/>
          <w:noProof/>
          <w:szCs w:val="24"/>
        </w:rPr>
        <w:t>Cell Stress Chaperones</w:t>
      </w:r>
      <w:r w:rsidRPr="00C20246">
        <w:rPr>
          <w:rFonts w:cs="Arial"/>
          <w:noProof/>
          <w:szCs w:val="24"/>
        </w:rPr>
        <w:t>, vol. 5, no. 2, pp. 73–5, Apr. 2000.</w:t>
      </w:r>
    </w:p>
    <w:p w14:paraId="30E9C0F7"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[50]</w:t>
      </w:r>
      <w:r w:rsidRPr="00C20246">
        <w:rPr>
          <w:rFonts w:cs="Arial"/>
          <w:noProof/>
          <w:szCs w:val="24"/>
        </w:rPr>
        <w:tab/>
        <w:t xml:space="preserve">R. A. Baasiri, X. Lu, P. S. Rowley, G. E. Turner, and K. A. Borkovich, “Overlapping functions for two G protein alpha subunits in Neurospora crassa.,” </w:t>
      </w:r>
      <w:r w:rsidRPr="00C20246">
        <w:rPr>
          <w:rFonts w:cs="Arial"/>
          <w:i/>
          <w:iCs/>
          <w:noProof/>
          <w:szCs w:val="24"/>
        </w:rPr>
        <w:t>Genetics</w:t>
      </w:r>
      <w:r w:rsidRPr="00C20246">
        <w:rPr>
          <w:rFonts w:cs="Arial"/>
          <w:noProof/>
          <w:szCs w:val="24"/>
        </w:rPr>
        <w:t>, vol. 147, no. 1, pp. 137–45, 1997.</w:t>
      </w:r>
    </w:p>
    <w:p w14:paraId="129C861F"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[51]</w:t>
      </w:r>
      <w:r w:rsidRPr="00C20246">
        <w:rPr>
          <w:rFonts w:cs="Arial"/>
          <w:noProof/>
          <w:szCs w:val="24"/>
        </w:rPr>
        <w:tab/>
        <w:t xml:space="preserve">S. Zuber, M. J. Hynes, and A. Andrianopoulos, “The G-protein alpha-subunit GasC plays a major role in germination in the dimorphic fungus Penicillium marneffei,” </w:t>
      </w:r>
      <w:r w:rsidRPr="00C20246">
        <w:rPr>
          <w:rFonts w:cs="Arial"/>
          <w:i/>
          <w:iCs/>
          <w:noProof/>
          <w:szCs w:val="24"/>
        </w:rPr>
        <w:t>Genetics</w:t>
      </w:r>
      <w:r w:rsidRPr="00C20246">
        <w:rPr>
          <w:rFonts w:cs="Arial"/>
          <w:noProof/>
          <w:szCs w:val="24"/>
        </w:rPr>
        <w:t>, vol. 164, no. 2, pp. 487–499, 2003.</w:t>
      </w:r>
    </w:p>
    <w:p w14:paraId="19D20431"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[52]</w:t>
      </w:r>
      <w:r w:rsidRPr="00C20246">
        <w:rPr>
          <w:rFonts w:cs="Arial"/>
          <w:noProof/>
          <w:szCs w:val="24"/>
        </w:rPr>
        <w:tab/>
        <w:t xml:space="preserve">Y. Hu </w:t>
      </w:r>
      <w:r w:rsidRPr="00C20246">
        <w:rPr>
          <w:rFonts w:cs="Arial"/>
          <w:i/>
          <w:iCs/>
          <w:noProof/>
          <w:szCs w:val="24"/>
        </w:rPr>
        <w:t>et al.</w:t>
      </w:r>
      <w:r w:rsidRPr="00C20246">
        <w:rPr>
          <w:rFonts w:cs="Arial"/>
          <w:noProof/>
          <w:szCs w:val="24"/>
        </w:rPr>
        <w:t xml:space="preserve">, “Gα-cAMP/PKA pathway positively regulates pigmentation, chaetoglobosin A biosynthesis and sexual development in Chaetomium globosum,” </w:t>
      </w:r>
      <w:r w:rsidRPr="00C20246">
        <w:rPr>
          <w:rFonts w:cs="Arial"/>
          <w:i/>
          <w:iCs/>
          <w:noProof/>
          <w:szCs w:val="24"/>
        </w:rPr>
        <w:t>PLoS One</w:t>
      </w:r>
      <w:r w:rsidRPr="00C20246">
        <w:rPr>
          <w:rFonts w:cs="Arial"/>
          <w:noProof/>
          <w:szCs w:val="24"/>
        </w:rPr>
        <w:t>, vol. 13, no. 4, p. e0195553, Apr. 2018.</w:t>
      </w:r>
    </w:p>
    <w:p w14:paraId="28F796BB"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[53]</w:t>
      </w:r>
      <w:r w:rsidRPr="00C20246">
        <w:rPr>
          <w:rFonts w:cs="Arial"/>
          <w:noProof/>
          <w:szCs w:val="24"/>
        </w:rPr>
        <w:tab/>
        <w:t xml:space="preserve">H. H. Kampinga, “Chaperones in Preventing Protein Denaturation in Living Cells and Protecting Against Cellular Stress,” in </w:t>
      </w:r>
      <w:r w:rsidRPr="00C20246">
        <w:rPr>
          <w:rFonts w:cs="Arial"/>
          <w:i/>
          <w:iCs/>
          <w:noProof/>
          <w:szCs w:val="24"/>
        </w:rPr>
        <w:t>Molecular Chaperones in Health and Disease</w:t>
      </w:r>
      <w:r w:rsidRPr="00C20246">
        <w:rPr>
          <w:rFonts w:cs="Arial"/>
          <w:noProof/>
          <w:szCs w:val="24"/>
        </w:rPr>
        <w:t>, Berlin/Heidelberg: Springer-Verlag, 2006, pp. 1–42.</w:t>
      </w:r>
    </w:p>
    <w:p w14:paraId="3D5E4FFC"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[54]</w:t>
      </w:r>
      <w:r w:rsidRPr="00C20246">
        <w:rPr>
          <w:rFonts w:cs="Arial"/>
          <w:noProof/>
          <w:szCs w:val="24"/>
        </w:rPr>
        <w:tab/>
        <w:t xml:space="preserve">V. M. Tereshina, “Thermotolerance in Fungi: The Role of Heat Shock Proteins and Trehalose,” </w:t>
      </w:r>
      <w:r w:rsidRPr="00C20246">
        <w:rPr>
          <w:rFonts w:cs="Arial"/>
          <w:i/>
          <w:iCs/>
          <w:noProof/>
          <w:szCs w:val="24"/>
        </w:rPr>
        <w:t>Microbiology</w:t>
      </w:r>
      <w:r w:rsidRPr="00C20246">
        <w:rPr>
          <w:rFonts w:cs="Arial"/>
          <w:noProof/>
          <w:szCs w:val="24"/>
        </w:rPr>
        <w:t>, vol. 74, no. 3, pp. 247–257, May 2005.</w:t>
      </w:r>
    </w:p>
    <w:p w14:paraId="662F5E65"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[55]</w:t>
      </w:r>
      <w:r w:rsidRPr="00C20246">
        <w:rPr>
          <w:rFonts w:cs="Arial"/>
          <w:noProof/>
          <w:szCs w:val="24"/>
        </w:rPr>
        <w:tab/>
        <w:t xml:space="preserve">N. B. Gusev, N. V Bogatcheva, and S. B. Marston, “Structure and properties of small heat shock proteins (sHsp) and their interaction with cytoskeleton proteins.,” </w:t>
      </w:r>
      <w:r w:rsidRPr="00C20246">
        <w:rPr>
          <w:rFonts w:cs="Arial"/>
          <w:i/>
          <w:iCs/>
          <w:noProof/>
          <w:szCs w:val="24"/>
        </w:rPr>
        <w:t>Biochemistry. (Mosc).</w:t>
      </w:r>
      <w:r w:rsidRPr="00C20246">
        <w:rPr>
          <w:rFonts w:cs="Arial"/>
          <w:noProof/>
          <w:szCs w:val="24"/>
        </w:rPr>
        <w:t>, vol. 67, no. 5, pp. 511–9, May 2002.</w:t>
      </w:r>
    </w:p>
    <w:p w14:paraId="42453F74"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[56]</w:t>
      </w:r>
      <w:r w:rsidRPr="00C20246">
        <w:rPr>
          <w:rFonts w:cs="Arial"/>
          <w:noProof/>
          <w:szCs w:val="24"/>
        </w:rPr>
        <w:tab/>
        <w:t xml:space="preserve">S. Tiwari, R. Thakur, and J. Shankar, “Role of Heat-Shock Proteins in Cellular Function and in the Biology of Fungi,” </w:t>
      </w:r>
      <w:r w:rsidRPr="00C20246">
        <w:rPr>
          <w:rFonts w:cs="Arial"/>
          <w:i/>
          <w:iCs/>
          <w:noProof/>
          <w:szCs w:val="24"/>
        </w:rPr>
        <w:t>Biotechnol. Res. Int.</w:t>
      </w:r>
      <w:r w:rsidRPr="00C20246">
        <w:rPr>
          <w:rFonts w:cs="Arial"/>
          <w:noProof/>
          <w:szCs w:val="24"/>
        </w:rPr>
        <w:t>, vol. 2015, pp. 1–11, Dec. 2015.</w:t>
      </w:r>
    </w:p>
    <w:p w14:paraId="75A01B2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[57]</w:t>
      </w:r>
      <w:r w:rsidRPr="00C20246">
        <w:rPr>
          <w:rFonts w:cs="Arial"/>
          <w:noProof/>
          <w:szCs w:val="24"/>
        </w:rPr>
        <w:tab/>
        <w:t xml:space="preserve">J. Wu, M. Wang, L. Zhou, and D. Yu, “Small heat shock proteins, phylogeny in filamentous fungi and expression analyses in Aspergillus nidulans,” </w:t>
      </w:r>
      <w:r w:rsidRPr="00C20246">
        <w:rPr>
          <w:rFonts w:cs="Arial"/>
          <w:i/>
          <w:iCs/>
          <w:noProof/>
          <w:szCs w:val="24"/>
        </w:rPr>
        <w:t>Gene</w:t>
      </w:r>
      <w:r w:rsidRPr="00C20246">
        <w:rPr>
          <w:rFonts w:cs="Arial"/>
          <w:noProof/>
          <w:szCs w:val="24"/>
        </w:rPr>
        <w:t>, vol. 575, pp. 675–679, 2016.</w:t>
      </w:r>
    </w:p>
    <w:p w14:paraId="1A3EBB74"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[58]</w:t>
      </w:r>
      <w:r w:rsidRPr="00C20246">
        <w:rPr>
          <w:rFonts w:cs="Arial"/>
          <w:noProof/>
          <w:szCs w:val="24"/>
        </w:rPr>
        <w:tab/>
        <w:t xml:space="preserve">R. B. Raggam, H. J. F. Salzer, E. Marth, B. Heiling, A. H. Paulitsch, and W. Buzina, “Molecular detection and characterisation of fungal heat shock protein 60,” </w:t>
      </w:r>
      <w:r w:rsidRPr="00C20246">
        <w:rPr>
          <w:rFonts w:cs="Arial"/>
          <w:i/>
          <w:iCs/>
          <w:noProof/>
          <w:szCs w:val="24"/>
        </w:rPr>
        <w:t>Mycoses</w:t>
      </w:r>
      <w:r w:rsidRPr="00C20246">
        <w:rPr>
          <w:rFonts w:cs="Arial"/>
          <w:noProof/>
          <w:szCs w:val="24"/>
        </w:rPr>
        <w:t>, vol. 54, no. 5, pp. e394–e399, Sep. 2011.</w:t>
      </w:r>
    </w:p>
    <w:p w14:paraId="73AA1699"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[59]</w:t>
      </w:r>
      <w:r w:rsidRPr="00C20246">
        <w:rPr>
          <w:rFonts w:cs="Arial"/>
          <w:noProof/>
          <w:szCs w:val="24"/>
        </w:rPr>
        <w:tab/>
        <w:t xml:space="preserve">M. Kapoor, C. A. Curle, and C. Runham, “The hsp70 gene family of Neurospora crassa: cloning, sequence analysis, expression, and genetic mapping of the major stress-inducible member.,” </w:t>
      </w:r>
      <w:r w:rsidRPr="00C20246">
        <w:rPr>
          <w:rFonts w:cs="Arial"/>
          <w:i/>
          <w:iCs/>
          <w:noProof/>
          <w:szCs w:val="24"/>
        </w:rPr>
        <w:t>J. Bacteriol.</w:t>
      </w:r>
      <w:r w:rsidRPr="00C20246">
        <w:rPr>
          <w:rFonts w:cs="Arial"/>
          <w:noProof/>
          <w:szCs w:val="24"/>
        </w:rPr>
        <w:t>, vol. 177, no. 1, pp. 212–21, Jan. 1995.</w:t>
      </w:r>
    </w:p>
    <w:p w14:paraId="5F31D40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[60]</w:t>
      </w:r>
      <w:r w:rsidRPr="00C20246">
        <w:rPr>
          <w:rFonts w:cs="Arial"/>
          <w:noProof/>
          <w:szCs w:val="24"/>
        </w:rPr>
        <w:tab/>
        <w:t xml:space="preserve">D.-C. Bui </w:t>
      </w:r>
      <w:r w:rsidRPr="00C20246">
        <w:rPr>
          <w:rFonts w:cs="Arial"/>
          <w:i/>
          <w:iCs/>
          <w:noProof/>
          <w:szCs w:val="24"/>
        </w:rPr>
        <w:t>et al.</w:t>
      </w:r>
      <w:r w:rsidRPr="00C20246">
        <w:rPr>
          <w:rFonts w:cs="Arial"/>
          <w:noProof/>
          <w:szCs w:val="24"/>
        </w:rPr>
        <w:t xml:space="preserve">, “Heat shock protein 90 is required for sexual and asexual development, virulence, and heat shock response in Fusarium graminearum,” </w:t>
      </w:r>
      <w:r w:rsidRPr="00C20246">
        <w:rPr>
          <w:rFonts w:cs="Arial"/>
          <w:i/>
          <w:iCs/>
          <w:noProof/>
          <w:szCs w:val="24"/>
        </w:rPr>
        <w:t>Sci. Rep.</w:t>
      </w:r>
      <w:r w:rsidRPr="00C20246">
        <w:rPr>
          <w:rFonts w:cs="Arial"/>
          <w:noProof/>
          <w:szCs w:val="24"/>
        </w:rPr>
        <w:t>, vol. 6, no. 1, p. 28154, Sep. 2016.</w:t>
      </w:r>
    </w:p>
    <w:p w14:paraId="15A018D7"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[61]</w:t>
      </w:r>
      <w:r w:rsidRPr="00C20246">
        <w:rPr>
          <w:rFonts w:cs="Arial"/>
          <w:noProof/>
          <w:szCs w:val="24"/>
        </w:rPr>
        <w:tab/>
        <w:t xml:space="preserve">E. Boy-Marcotte </w:t>
      </w:r>
      <w:r w:rsidRPr="00C20246">
        <w:rPr>
          <w:rFonts w:cs="Arial"/>
          <w:i/>
          <w:iCs/>
          <w:noProof/>
          <w:szCs w:val="24"/>
        </w:rPr>
        <w:t>et al.</w:t>
      </w:r>
      <w:r w:rsidRPr="00C20246">
        <w:rPr>
          <w:rFonts w:cs="Arial"/>
          <w:noProof/>
          <w:szCs w:val="24"/>
        </w:rPr>
        <w:t xml:space="preserve">, “The heat shock response in yeast: differential regulations and contributions of the Msn2p/Msn4p and Hsf1p regulons,” </w:t>
      </w:r>
      <w:r w:rsidRPr="00C20246">
        <w:rPr>
          <w:rFonts w:cs="Arial"/>
          <w:i/>
          <w:iCs/>
          <w:noProof/>
          <w:szCs w:val="24"/>
        </w:rPr>
        <w:t>Mol. Microbiol.</w:t>
      </w:r>
      <w:r w:rsidRPr="00C20246">
        <w:rPr>
          <w:rFonts w:cs="Arial"/>
          <w:noProof/>
          <w:szCs w:val="24"/>
        </w:rPr>
        <w:t>, vol. 33, no. 2, pp. 274–283, Jul. 1999.</w:t>
      </w:r>
    </w:p>
    <w:p w14:paraId="39E5B31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[62]</w:t>
      </w:r>
      <w:r w:rsidRPr="00C20246">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C20246">
        <w:rPr>
          <w:rFonts w:cs="Arial"/>
          <w:i/>
          <w:iCs/>
          <w:noProof/>
          <w:szCs w:val="24"/>
        </w:rPr>
        <w:t>Eukaryot. Cell</w:t>
      </w:r>
      <w:r w:rsidRPr="00C20246">
        <w:rPr>
          <w:rFonts w:cs="Arial"/>
          <w:noProof/>
          <w:szCs w:val="24"/>
        </w:rPr>
        <w:t>, vol. 7, no. 9, pp. 1573–81, Sep. 2008.</w:t>
      </w:r>
    </w:p>
    <w:p w14:paraId="3C146208"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[63]</w:t>
      </w:r>
      <w:r w:rsidRPr="00C20246">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C20246">
        <w:rPr>
          <w:rFonts w:cs="Arial"/>
          <w:i/>
          <w:iCs/>
          <w:noProof/>
          <w:szCs w:val="24"/>
        </w:rPr>
        <w:t>EMBO J.</w:t>
      </w:r>
      <w:r w:rsidRPr="00C20246">
        <w:rPr>
          <w:rFonts w:cs="Arial"/>
          <w:noProof/>
          <w:szCs w:val="24"/>
        </w:rPr>
        <w:t>, vol. 15, no. 9, pp. 2227–35, May 1996.</w:t>
      </w:r>
    </w:p>
    <w:p w14:paraId="75019D3A"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[64]</w:t>
      </w:r>
      <w:r w:rsidRPr="00C20246">
        <w:rPr>
          <w:rFonts w:cs="Arial"/>
          <w:noProof/>
          <w:szCs w:val="24"/>
        </w:rPr>
        <w:tab/>
        <w:t xml:space="preserve">H. G. Dohlman and J. Thorner, “Regulation of G Protein–Initiated Signal Transduction in Yeast: Paradigms and Principles,” </w:t>
      </w:r>
      <w:r w:rsidRPr="00C20246">
        <w:rPr>
          <w:rFonts w:cs="Arial"/>
          <w:i/>
          <w:iCs/>
          <w:noProof/>
          <w:szCs w:val="24"/>
        </w:rPr>
        <w:t>Annu. Rev. Biochem.</w:t>
      </w:r>
      <w:r w:rsidRPr="00C20246">
        <w:rPr>
          <w:rFonts w:cs="Arial"/>
          <w:noProof/>
          <w:szCs w:val="24"/>
        </w:rPr>
        <w:t>, vol. 70, no. 1, pp. 703–754, Jun. 2001.</w:t>
      </w:r>
    </w:p>
    <w:p w14:paraId="59F9AF7B"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[65]</w:t>
      </w:r>
      <w:r w:rsidRPr="00C20246">
        <w:rPr>
          <w:rFonts w:cs="Arial"/>
          <w:noProof/>
          <w:szCs w:val="24"/>
        </w:rPr>
        <w:tab/>
        <w:t>Y. Xue and J. P. Hirsch, “GPR1 encodes a putative G protein-coupled receptor that associates with the Gpa2p G α subunit and functions in a Ras-independent pathway,” 1996.</w:t>
      </w:r>
    </w:p>
    <w:p w14:paraId="5ACDF3CC"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[66]</w:t>
      </w:r>
      <w:r w:rsidRPr="00C20246">
        <w:rPr>
          <w:rFonts w:cs="Arial"/>
          <w:noProof/>
          <w:szCs w:val="24"/>
        </w:rPr>
        <w:tab/>
        <w:t xml:space="preserve">M. Whiteway </w:t>
      </w:r>
      <w:r w:rsidRPr="00C20246">
        <w:rPr>
          <w:rFonts w:cs="Arial"/>
          <w:i/>
          <w:iCs/>
          <w:noProof/>
          <w:szCs w:val="24"/>
        </w:rPr>
        <w:t>et al.</w:t>
      </w:r>
      <w:r w:rsidRPr="00C20246">
        <w:rPr>
          <w:rFonts w:cs="Arial"/>
          <w:noProof/>
          <w:szCs w:val="24"/>
        </w:rPr>
        <w:t xml:space="preserve">, “The STE4 and STE18 genes of yeast encode potential beta and gamma subunits of the mating factor receptor-coupled G protein.,” </w:t>
      </w:r>
      <w:r w:rsidRPr="00C20246">
        <w:rPr>
          <w:rFonts w:cs="Arial"/>
          <w:i/>
          <w:iCs/>
          <w:noProof/>
          <w:szCs w:val="24"/>
        </w:rPr>
        <w:t>Cell</w:t>
      </w:r>
      <w:r w:rsidRPr="00C20246">
        <w:rPr>
          <w:rFonts w:cs="Arial"/>
          <w:noProof/>
          <w:szCs w:val="24"/>
        </w:rPr>
        <w:t>, vol. 56, no. 3, pp. 467–77, Feb. 1989.</w:t>
      </w:r>
    </w:p>
    <w:p w14:paraId="2A0ECB74"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[67]</w:t>
      </w:r>
      <w:r w:rsidRPr="00C20246">
        <w:rPr>
          <w:rFonts w:cs="Arial"/>
          <w:noProof/>
          <w:szCs w:val="24"/>
        </w:rPr>
        <w:tab/>
        <w:t xml:space="preserve">S. Jain, K. Akiyama, R. Takata, and T. Ohguchi, “Signaling via the G protein Î± subunit FGA2 is necessary for pathogenesis in </w:t>
      </w:r>
      <w:r w:rsidRPr="00C20246">
        <w:rPr>
          <w:rFonts w:cs="Arial"/>
          <w:i/>
          <w:iCs/>
          <w:noProof/>
          <w:szCs w:val="24"/>
        </w:rPr>
        <w:t>Fusarium oxysporum</w:t>
      </w:r>
      <w:r w:rsidRPr="00C20246">
        <w:rPr>
          <w:rFonts w:cs="Arial"/>
          <w:noProof/>
          <w:szCs w:val="24"/>
        </w:rPr>
        <w:t xml:space="preserve">,” </w:t>
      </w:r>
      <w:r w:rsidRPr="00C20246">
        <w:rPr>
          <w:rFonts w:cs="Arial"/>
          <w:i/>
          <w:iCs/>
          <w:noProof/>
          <w:szCs w:val="24"/>
        </w:rPr>
        <w:t>FEMS Microbiol. Lett.</w:t>
      </w:r>
      <w:r w:rsidRPr="00C20246">
        <w:rPr>
          <w:rFonts w:cs="Arial"/>
          <w:noProof/>
          <w:szCs w:val="24"/>
        </w:rPr>
        <w:t>, vol. 243, no. 1, pp. 165–172, Feb. 2005.</w:t>
      </w:r>
    </w:p>
    <w:p w14:paraId="149FDBAA"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[68]</w:t>
      </w:r>
      <w:r w:rsidRPr="00C20246">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C20246">
        <w:rPr>
          <w:rFonts w:cs="Arial"/>
          <w:i/>
          <w:iCs/>
          <w:noProof/>
          <w:szCs w:val="24"/>
        </w:rPr>
        <w:t>Int. Microbiol.</w:t>
      </w:r>
      <w:r w:rsidRPr="00C20246">
        <w:rPr>
          <w:rFonts w:cs="Arial"/>
          <w:noProof/>
          <w:szCs w:val="24"/>
        </w:rPr>
        <w:t>, vol. 12, no. 2, pp. 123–129, 2009.</w:t>
      </w:r>
    </w:p>
    <w:p w14:paraId="53BAB6EA"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[69]</w:t>
      </w:r>
      <w:r w:rsidRPr="00C20246">
        <w:rPr>
          <w:rFonts w:cs="Arial"/>
          <w:noProof/>
          <w:szCs w:val="24"/>
        </w:rPr>
        <w:tab/>
        <w:t xml:space="preserve">S. Colombo </w:t>
      </w:r>
      <w:r w:rsidRPr="00C20246">
        <w:rPr>
          <w:rFonts w:cs="Arial"/>
          <w:i/>
          <w:iCs/>
          <w:noProof/>
          <w:szCs w:val="24"/>
        </w:rPr>
        <w:t>et al.</w:t>
      </w:r>
      <w:r w:rsidRPr="00C20246">
        <w:rPr>
          <w:rFonts w:cs="Arial"/>
          <w:noProof/>
          <w:szCs w:val="24"/>
        </w:rPr>
        <w:t>, “Involvement of distinct G-proteins, Gpa2 and Ras, in glucose-and intracellular acidification-induced cAMP signalling in the yeast Saccharomyces cerevisiae,” 1998.</w:t>
      </w:r>
    </w:p>
    <w:p w14:paraId="3D0804A7"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[70]</w:t>
      </w:r>
      <w:r w:rsidRPr="00C20246">
        <w:rPr>
          <w:rFonts w:cs="Arial"/>
          <w:noProof/>
          <w:szCs w:val="24"/>
        </w:rPr>
        <w:tab/>
        <w:t xml:space="preserve">K. A. Borkovich, F. W. Farrelly, D. B. Finkelstein, J. Taulien, and S. Lindquist, “hsp82 is an essential protein that is required in higher concentrations for growth of cells at higher temperatures.,” </w:t>
      </w:r>
      <w:r w:rsidRPr="00C20246">
        <w:rPr>
          <w:rFonts w:cs="Arial"/>
          <w:i/>
          <w:iCs/>
          <w:noProof/>
          <w:szCs w:val="24"/>
        </w:rPr>
        <w:t>Mol. Cell. Biol.</w:t>
      </w:r>
      <w:r w:rsidRPr="00C20246">
        <w:rPr>
          <w:rFonts w:cs="Arial"/>
          <w:noProof/>
          <w:szCs w:val="24"/>
        </w:rPr>
        <w:t>, vol. 9, no. 9, pp. 3919–30, Sep. 1989.</w:t>
      </w:r>
    </w:p>
    <w:p w14:paraId="77A745BE" w14:textId="77777777" w:rsidR="00C20246" w:rsidRPr="00C20246" w:rsidRDefault="00C20246" w:rsidP="00C20246">
      <w:pPr>
        <w:widowControl w:val="0"/>
        <w:autoSpaceDE w:val="0"/>
        <w:autoSpaceDN w:val="0"/>
        <w:adjustRightInd w:val="0"/>
        <w:spacing w:after="0" w:line="360" w:lineRule="auto"/>
        <w:ind w:left="640" w:hanging="640"/>
        <w:rPr>
          <w:rFonts w:cs="Arial"/>
          <w:noProof/>
          <w:szCs w:val="24"/>
        </w:rPr>
      </w:pPr>
      <w:r w:rsidRPr="00C20246">
        <w:rPr>
          <w:rFonts w:cs="Arial"/>
          <w:noProof/>
          <w:szCs w:val="24"/>
        </w:rPr>
        <w:t>[71]</w:t>
      </w:r>
      <w:r w:rsidRPr="00C20246">
        <w:rPr>
          <w:rFonts w:cs="Arial"/>
          <w:noProof/>
          <w:szCs w:val="24"/>
        </w:rPr>
        <w:tab/>
        <w:t xml:space="preserve">W. R. Boorstein and E. A. Craig, “Structure and regulation of the SSA4 HSP70 gene of Saccharomyces cerevisiae.,” </w:t>
      </w:r>
      <w:r w:rsidRPr="00C20246">
        <w:rPr>
          <w:rFonts w:cs="Arial"/>
          <w:i/>
          <w:iCs/>
          <w:noProof/>
          <w:szCs w:val="24"/>
        </w:rPr>
        <w:t>J. Biol. Chem.</w:t>
      </w:r>
      <w:r w:rsidRPr="00C20246">
        <w:rPr>
          <w:rFonts w:cs="Arial"/>
          <w:noProof/>
          <w:szCs w:val="24"/>
        </w:rPr>
        <w:t>, vol. 265, no. 31, pp. 18912–21, Nov. 1990.</w:t>
      </w:r>
    </w:p>
    <w:p w14:paraId="672B8A60" w14:textId="77777777" w:rsidR="00C20246" w:rsidRPr="00C20246" w:rsidRDefault="00C20246" w:rsidP="00C20246">
      <w:pPr>
        <w:widowControl w:val="0"/>
        <w:autoSpaceDE w:val="0"/>
        <w:autoSpaceDN w:val="0"/>
        <w:adjustRightInd w:val="0"/>
        <w:spacing w:after="0" w:line="360" w:lineRule="auto"/>
        <w:ind w:left="640" w:hanging="640"/>
        <w:rPr>
          <w:rFonts w:cs="Arial"/>
          <w:noProof/>
        </w:rPr>
      </w:pPr>
      <w:r w:rsidRPr="00C20246">
        <w:rPr>
          <w:rFonts w:cs="Arial"/>
          <w:noProof/>
          <w:szCs w:val="24"/>
        </w:rPr>
        <w:t>[72]</w:t>
      </w:r>
      <w:r w:rsidRPr="00C20246">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C20246">
        <w:rPr>
          <w:rFonts w:cs="Arial"/>
          <w:i/>
          <w:iCs/>
          <w:noProof/>
          <w:szCs w:val="24"/>
        </w:rPr>
        <w:t>Microbiology</w:t>
      </w:r>
      <w:r w:rsidRPr="00C20246">
        <w:rPr>
          <w:rFonts w:cs="Arial"/>
          <w:noProof/>
          <w:szCs w:val="24"/>
        </w:rPr>
        <w:t>, vol. 150, no. 12, pp. 4033–4043, 2004.</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E7F5A" w14:textId="77777777" w:rsidR="00233388" w:rsidRDefault="00233388" w:rsidP="0076361C">
      <w:pPr>
        <w:spacing w:after="0" w:line="240" w:lineRule="auto"/>
      </w:pPr>
      <w:r>
        <w:separator/>
      </w:r>
    </w:p>
  </w:endnote>
  <w:endnote w:type="continuationSeparator" w:id="0">
    <w:p w14:paraId="5C1672A7" w14:textId="77777777" w:rsidR="00233388" w:rsidRDefault="00233388"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 w:name="ITCSymbolSt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586C2758" w:rsidR="00C06EBA" w:rsidRDefault="00C06EBA">
        <w:pPr>
          <w:pStyle w:val="Piedepgina"/>
          <w:jc w:val="right"/>
        </w:pPr>
        <w:r>
          <w:fldChar w:fldCharType="begin"/>
        </w:r>
        <w:r>
          <w:instrText>PAGE   \* MERGEFORMAT</w:instrText>
        </w:r>
        <w:r>
          <w:fldChar w:fldCharType="separate"/>
        </w:r>
        <w:r w:rsidR="00233388" w:rsidRPr="00233388">
          <w:rPr>
            <w:noProof/>
            <w:lang w:val="es-ES"/>
          </w:rPr>
          <w:t>1</w:t>
        </w:r>
        <w:r>
          <w:fldChar w:fldCharType="end"/>
        </w:r>
      </w:p>
    </w:sdtContent>
  </w:sdt>
  <w:p w14:paraId="20458E42" w14:textId="77777777" w:rsidR="00C06EBA" w:rsidRDefault="00C06EB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ED0967" w14:textId="77777777" w:rsidR="00233388" w:rsidRDefault="00233388" w:rsidP="0076361C">
      <w:pPr>
        <w:spacing w:after="0" w:line="240" w:lineRule="auto"/>
      </w:pPr>
      <w:r>
        <w:separator/>
      </w:r>
    </w:p>
  </w:footnote>
  <w:footnote w:type="continuationSeparator" w:id="0">
    <w:p w14:paraId="0F5400EF" w14:textId="77777777" w:rsidR="00233388" w:rsidRDefault="00233388"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33388"/>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8D2"/>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572"/>
    <w:rsid w:val="0037799B"/>
    <w:rsid w:val="00381EF7"/>
    <w:rsid w:val="0038365E"/>
    <w:rsid w:val="00383E49"/>
    <w:rsid w:val="00392C63"/>
    <w:rsid w:val="00393BB5"/>
    <w:rsid w:val="00393CA3"/>
    <w:rsid w:val="00393E5D"/>
    <w:rsid w:val="00394542"/>
    <w:rsid w:val="00395878"/>
    <w:rsid w:val="003A127E"/>
    <w:rsid w:val="003A1442"/>
    <w:rsid w:val="003A62DA"/>
    <w:rsid w:val="003B1B28"/>
    <w:rsid w:val="003B306C"/>
    <w:rsid w:val="003B3B16"/>
    <w:rsid w:val="003B598F"/>
    <w:rsid w:val="003B640D"/>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4179"/>
    <w:rsid w:val="004C57ED"/>
    <w:rsid w:val="004D02D0"/>
    <w:rsid w:val="004D30E4"/>
    <w:rsid w:val="004D7866"/>
    <w:rsid w:val="004E0D7E"/>
    <w:rsid w:val="004E21AF"/>
    <w:rsid w:val="004E7807"/>
    <w:rsid w:val="004F3734"/>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4780"/>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A7A15"/>
    <w:rsid w:val="006B0030"/>
    <w:rsid w:val="006B20B7"/>
    <w:rsid w:val="006B75DC"/>
    <w:rsid w:val="006C0F60"/>
    <w:rsid w:val="006C156F"/>
    <w:rsid w:val="006C2332"/>
    <w:rsid w:val="006C46FF"/>
    <w:rsid w:val="006D25FF"/>
    <w:rsid w:val="006D4A3D"/>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08C9"/>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2A2B"/>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189A"/>
    <w:rsid w:val="0086425A"/>
    <w:rsid w:val="00870084"/>
    <w:rsid w:val="00870584"/>
    <w:rsid w:val="0087329F"/>
    <w:rsid w:val="00882B84"/>
    <w:rsid w:val="008852D8"/>
    <w:rsid w:val="00893A88"/>
    <w:rsid w:val="00893F73"/>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0370"/>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269F5"/>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0543E"/>
    <w:rsid w:val="00B11FFA"/>
    <w:rsid w:val="00B3773C"/>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C77BC"/>
    <w:rsid w:val="00BD2DE8"/>
    <w:rsid w:val="00BD44A1"/>
    <w:rsid w:val="00BE670A"/>
    <w:rsid w:val="00BF7CE9"/>
    <w:rsid w:val="00BF7D7E"/>
    <w:rsid w:val="00C06EBA"/>
    <w:rsid w:val="00C120DA"/>
    <w:rsid w:val="00C20246"/>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3256"/>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1A5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5645"/>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8D1"/>
    <w:rsid w:val="00E35BB3"/>
    <w:rsid w:val="00E42FFF"/>
    <w:rsid w:val="00E45546"/>
    <w:rsid w:val="00E51F04"/>
    <w:rsid w:val="00E52D7D"/>
    <w:rsid w:val="00E52EA3"/>
    <w:rsid w:val="00E534E7"/>
    <w:rsid w:val="00E55BFD"/>
    <w:rsid w:val="00E56322"/>
    <w:rsid w:val="00E568C8"/>
    <w:rsid w:val="00E625CB"/>
    <w:rsid w:val="00E62871"/>
    <w:rsid w:val="00E66E66"/>
    <w:rsid w:val="00E66EC0"/>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00AF3"/>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 w:type="character" w:customStyle="1" w:styleId="fontstyle21">
    <w:name w:val="fontstyle21"/>
    <w:basedOn w:val="Fuentedeprrafopredeter"/>
    <w:rsid w:val="00CF1A5E"/>
    <w:rPr>
      <w:rFonts w:ascii="ITCSymbolStd-Book" w:hAnsi="ITCSymbolStd-Boo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186525CB-3FAC-40DC-BBA0-8B9311E5F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12769</TotalTime>
  <Pages>1</Pages>
  <Words>52735</Words>
  <Characters>290048</Characters>
  <Application>Microsoft Office Word</Application>
  <DocSecurity>0</DocSecurity>
  <Lines>2417</Lines>
  <Paragraphs>684</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342099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148</cp:revision>
  <cp:lastPrinted>2018-10-10T04:01:00Z</cp:lastPrinted>
  <dcterms:created xsi:type="dcterms:W3CDTF">2018-10-07T08:04:00Z</dcterms:created>
  <dcterms:modified xsi:type="dcterms:W3CDTF">2018-11-07T22:54:00Z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