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1FB88A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C06EBA">
        <w:rPr>
          <w:rFonts w:cs="Arial"/>
          <w:szCs w:val="24"/>
          <w:lang w:val="es-MX"/>
        </w:rPr>
        <w:t xml:space="preserve">El análisis molecular muestra </w:t>
      </w:r>
      <w:r w:rsidR="00F871C8" w:rsidRPr="001133CE">
        <w:rPr>
          <w:rFonts w:cs="Arial"/>
          <w:szCs w:val="24"/>
          <w:lang w:val="es-MX"/>
        </w:rPr>
        <w:t>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rsidRPr="00381EF7">
                <w:rPr>
                  <w:lang w:val="es-MX"/>
                </w:rPr>
                <w:t>‬</w:t>
              </w:r>
              <w:r w:rsidR="006A7A15" w:rsidRPr="00381EF7">
                <w:rPr>
                  <w:lang w:val="es-MX"/>
                </w:rPr>
                <w:t>‬</w:t>
              </w:r>
              <w:r w:rsidR="006A7A15" w:rsidRPr="00381EF7">
                <w:rPr>
                  <w:lang w:val="es-MX"/>
                </w:rPr>
                <w:t>‬</w:t>
              </w:r>
              <w:r w:rsidR="006A7A15" w:rsidRPr="00381EF7">
                <w:rPr>
                  <w:lang w:val="es-MX"/>
                </w:rPr>
                <w:t>‬</w:t>
              </w:r>
              <w:r w:rsidR="007508C9" w:rsidRPr="00381EF7">
                <w:rPr>
                  <w:lang w:val="es-MX"/>
                </w:rPr>
                <w:t>‬</w:t>
              </w:r>
              <w:r w:rsidR="007508C9" w:rsidRPr="00381EF7">
                <w:rPr>
                  <w:lang w:val="es-MX"/>
                </w:rPr>
                <w:t>‬</w:t>
              </w:r>
              <w:r w:rsidR="007508C9" w:rsidRPr="00381EF7">
                <w:rPr>
                  <w:lang w:val="es-MX"/>
                </w:rPr>
                <w:t>‬</w:t>
              </w:r>
              <w:r w:rsidR="007508C9" w:rsidRPr="00381EF7">
                <w:rPr>
                  <w:lang w:val="es-MX"/>
                </w:rPr>
                <w:t>‬</w:t>
              </w:r>
              <w:r w:rsidR="00C06EBA" w:rsidRPr="00C06EBA">
                <w:rPr>
                  <w:lang w:val="es-MX"/>
                </w:rPr>
                <w:t>‬</w:t>
              </w:r>
              <w:r w:rsidR="00C06EBA" w:rsidRPr="00C06EBA">
                <w:rPr>
                  <w:lang w:val="es-MX"/>
                </w:rPr>
                <w:t>‬</w:t>
              </w:r>
              <w:r w:rsidR="00C06EBA" w:rsidRPr="00C06EBA">
                <w:rPr>
                  <w:lang w:val="es-MX"/>
                </w:rPr>
                <w:t>‬</w:t>
              </w:r>
              <w:r w:rsidR="00C06EBA" w:rsidRPr="00C06EBA">
                <w:rPr>
                  <w:lang w:val="es-MX"/>
                </w:rPr>
                <w:t>‬</w:t>
              </w:r>
              <w:r w:rsidR="00B24486" w:rsidRPr="003808EC">
                <w:rPr>
                  <w:lang w:val="es-MX"/>
                </w:rPr>
                <w:t>‬</w:t>
              </w:r>
              <w:r w:rsidR="00B24486" w:rsidRPr="003808EC">
                <w:rPr>
                  <w:lang w:val="es-MX"/>
                </w:rPr>
                <w:t>‬</w:t>
              </w:r>
              <w:r w:rsidR="00B24486" w:rsidRPr="003808EC">
                <w:rPr>
                  <w:lang w:val="es-MX"/>
                </w:rPr>
                <w:t>‬</w:t>
              </w:r>
              <w:r w:rsidR="00B24486" w:rsidRPr="003808EC">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4CA1DFBD"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79113DF5" w14:textId="77777777" w:rsidR="00C06EBA" w:rsidRDefault="00C06EBA" w:rsidP="002323D7">
      <w:pPr>
        <w:spacing w:after="0" w:line="360" w:lineRule="auto"/>
        <w:rPr>
          <w:rFonts w:cs="Arial"/>
          <w:szCs w:val="24"/>
          <w:lang w:val="es-MX"/>
        </w:rPr>
      </w:pPr>
    </w:p>
    <w:p w14:paraId="63523E9F" w14:textId="7B858238" w:rsidR="000975FA"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 xml:space="preserve">creció ligeramente un poco más que las cepas con deleción del gen, situación que se vio alterada por acción de la luz, donde en condiciones de </w:t>
      </w:r>
      <w:r w:rsidR="00C06EBA">
        <w:rPr>
          <w:rFonts w:eastAsia="Times New Roman" w:cs="Arial"/>
          <w:szCs w:val="24"/>
          <w:lang w:val="es-ES" w:eastAsia="es-MX"/>
        </w:rPr>
        <w:t>LL (</w:t>
      </w:r>
      <w:r w:rsidRPr="001133CE">
        <w:rPr>
          <w:rFonts w:eastAsia="Times New Roman" w:cs="Arial"/>
          <w:szCs w:val="24"/>
          <w:lang w:val="es-ES" w:eastAsia="es-MX"/>
        </w:rPr>
        <w:t>L</w:t>
      </w:r>
      <w:r w:rsidR="00C06EBA">
        <w:rPr>
          <w:rFonts w:eastAsia="Times New Roman" w:cs="Arial"/>
          <w:szCs w:val="24"/>
          <w:lang w:val="es-ES" w:eastAsia="es-MX"/>
        </w:rPr>
        <w:t>ight-Light)</w:t>
      </w:r>
      <w:r w:rsidR="00852E92">
        <w:rPr>
          <w:rFonts w:eastAsia="Times New Roman" w:cs="Arial"/>
          <w:szCs w:val="24"/>
          <w:lang w:val="es-ES" w:eastAsia="es-MX"/>
        </w:rPr>
        <w:t xml:space="preserve">, ∆gna-1 </w:t>
      </w:r>
      <w:r w:rsidRPr="001133CE">
        <w:rPr>
          <w:rFonts w:eastAsia="Times New Roman" w:cs="Arial"/>
          <w:szCs w:val="24"/>
          <w:lang w:val="es-ES" w:eastAsia="es-MX"/>
        </w:rPr>
        <w:t xml:space="preserve">presenta un mayor crecimiento que gna-1Q204L  en presencia de menadiona y crece menos que gna-1Q204L  en ausencia de menadiona </w:t>
      </w:r>
      <w:r w:rsidR="00C06EBA">
        <w:rPr>
          <w:rFonts w:eastAsia="Times New Roman" w:cs="Arial"/>
          <w:szCs w:val="24"/>
          <w:lang w:val="es-ES" w:eastAsia="es-MX"/>
        </w:rPr>
        <w:t xml:space="preserve"> </w:t>
      </w:r>
      <w:r w:rsidR="00C06EBA">
        <w:rPr>
          <w:rFonts w:eastAsia="Times New Roman" w:cs="Arial"/>
          <w:szCs w:val="24"/>
          <w:lang w:val="es-ES" w:eastAsia="es-MX"/>
        </w:rPr>
        <w:fldChar w:fldCharType="begin" w:fldLock="1"/>
      </w:r>
      <w:r w:rsidR="00C20246">
        <w:rPr>
          <w:rFonts w:eastAsia="Times New Roman" w:cs="Arial"/>
          <w:szCs w:val="24"/>
          <w:lang w:val="es-ES" w:eastAsia="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mendeley":{"formattedCitation":"[47]","plainTextFormattedCitation":"[47]","previouslyFormattedCitation":"[47]"},"properties":{"noteIndex":0},"schema":"https://github.com/citation-style-language/schema/raw/master/csl-citation.json"}</w:instrText>
      </w:r>
      <w:r w:rsidR="00C06EBA">
        <w:rPr>
          <w:rFonts w:eastAsia="Times New Roman" w:cs="Arial"/>
          <w:szCs w:val="24"/>
          <w:lang w:val="es-ES" w:eastAsia="es-MX"/>
        </w:rPr>
        <w:fldChar w:fldCharType="separate"/>
      </w:r>
      <w:r w:rsidR="00C06EBA" w:rsidRPr="00C06EBA">
        <w:rPr>
          <w:rFonts w:eastAsia="Times New Roman" w:cs="Arial"/>
          <w:noProof/>
          <w:szCs w:val="24"/>
          <w:lang w:val="es-ES" w:eastAsia="es-MX"/>
        </w:rPr>
        <w:t>[47]</w:t>
      </w:r>
      <w:r w:rsidR="00C06EBA">
        <w:rPr>
          <w:rFonts w:eastAsia="Times New Roman" w:cs="Arial"/>
          <w:szCs w:val="24"/>
          <w:lang w:val="es-ES" w:eastAsia="es-MX"/>
        </w:rPr>
        <w:fldChar w:fldCharType="end"/>
      </w:r>
      <w:r w:rsidRPr="001133CE">
        <w:rPr>
          <w:rFonts w:eastAsia="Times New Roman" w:cs="Arial"/>
          <w:szCs w:val="24"/>
          <w:lang w:val="es-ES" w:eastAsia="es-MX"/>
        </w:rPr>
        <w:t>.</w:t>
      </w:r>
    </w:p>
    <w:p w14:paraId="4D04A934" w14:textId="77777777" w:rsidR="007508C9" w:rsidRPr="001133CE" w:rsidRDefault="007508C9" w:rsidP="000975FA">
      <w:pPr>
        <w:spacing w:after="0" w:line="360" w:lineRule="auto"/>
        <w:rPr>
          <w:rFonts w:eastAsia="Times New Roman" w:cs="Arial"/>
          <w:szCs w:val="24"/>
          <w:lang w:val="es-ES" w:eastAsia="es-MX"/>
        </w:rPr>
      </w:pPr>
    </w:p>
    <w:p w14:paraId="6539347F" w14:textId="1C8A6B55"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w:t>
      </w:r>
      <w:r w:rsidRPr="00F94677">
        <w:rPr>
          <w:rFonts w:eastAsia="Times New Roman" w:cs="Arial"/>
          <w:i/>
          <w:szCs w:val="24"/>
          <w:lang w:val="es-ES" w:eastAsia="es-MX"/>
        </w:rPr>
        <w:t>N. crassa</w:t>
      </w:r>
      <w:r>
        <w:rPr>
          <w:rFonts w:eastAsia="Times New Roman" w:cs="Arial"/>
          <w:szCs w:val="24"/>
          <w:lang w:val="es-ES" w:eastAsia="es-MX"/>
        </w:rPr>
        <w:t xml:space="preserve">,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0544658A" w14:textId="77777777" w:rsidR="007508C9" w:rsidRDefault="007508C9" w:rsidP="000975FA">
      <w:pPr>
        <w:spacing w:after="0" w:line="360" w:lineRule="auto"/>
        <w:rPr>
          <w:rFonts w:eastAsia="Times New Roman" w:cs="Arial"/>
          <w:szCs w:val="24"/>
          <w:lang w:val="es-ES" w:eastAsia="es-MX"/>
        </w:rPr>
      </w:pPr>
    </w:p>
    <w:p w14:paraId="7CB62B67" w14:textId="4FEB6AD3" w:rsidR="00A269F5" w:rsidRDefault="000975FA" w:rsidP="00A269F5">
      <w:pPr>
        <w:spacing w:after="0" w:line="360" w:lineRule="auto"/>
        <w:rPr>
          <w:rFonts w:cs="Arial"/>
          <w:szCs w:val="24"/>
          <w:lang w:val="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w:t>
      </w:r>
    </w:p>
    <w:p w14:paraId="5E9FEB10" w14:textId="6A4488D8" w:rsidR="000975FA" w:rsidRPr="00A269F5" w:rsidRDefault="000975FA" w:rsidP="000975FA">
      <w:pPr>
        <w:spacing w:after="0" w:line="360" w:lineRule="auto"/>
        <w:rPr>
          <w:rFonts w:eastAsia="Times New Roman" w:cs="Arial"/>
          <w:szCs w:val="24"/>
          <w:lang w:val="es-MX" w:eastAsia="es-MX"/>
        </w:rPr>
      </w:pP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3045B37A" w14:textId="463B3086" w:rsidR="00A269F5" w:rsidRDefault="00A269F5" w:rsidP="002323D7">
      <w:pPr>
        <w:spacing w:after="0" w:line="360" w:lineRule="auto"/>
        <w:rPr>
          <w:rFonts w:cs="Arial"/>
          <w:szCs w:val="24"/>
          <w:lang w:val="es-MX"/>
        </w:rPr>
      </w:pPr>
      <w:r>
        <w:rPr>
          <w:rFonts w:eastAsia="Times New Roman" w:cs="Arial"/>
          <w:szCs w:val="24"/>
          <w:lang w:val="es-ES" w:eastAsia="es-MX"/>
        </w:rPr>
        <w:t xml:space="preserve">Frente a agentes oxidativos fuertes, se han encontrado enzimas conservadas como las SOD, </w:t>
      </w:r>
      <w:r>
        <w:rPr>
          <w:rFonts w:cs="Arial"/>
          <w:szCs w:val="24"/>
          <w:lang w:val="es-MX"/>
        </w:rPr>
        <w:t xml:space="preserve">acorde a su cofactor metálico, las SOD pueden clasificarse en tres isoformas principales Cu/ZnSOD, MnSOD, y FeSOD, estas dos últimas aparecen como homodimeros u homotetrámeros que se parece unas con otras en su secuencia y estructura </w:t>
      </w:r>
      <w:r>
        <w:rPr>
          <w:rFonts w:cs="Arial"/>
          <w:szCs w:val="24"/>
          <w:lang w:val="es-MX"/>
        </w:rPr>
        <w:fldChar w:fldCharType="begin" w:fldLock="1"/>
      </w:r>
      <w:r w:rsidR="00C20246">
        <w:rPr>
          <w:rFonts w:cs="Arial"/>
          <w:szCs w:val="24"/>
          <w:lang w:val="es-MX"/>
        </w:rPr>
        <w:instrText>ADDIN CSL_CITATION {"citationItems":[{"id":"ITEM-1","itemData":{"DOI":"10.1016/J.YMPEV.2006.05.001","ISSN":"1055-7903","abstract":"Superoxide dismutases (SODs), which provide protection against oxidative stress, exhibit an essential role for fungal cell survival, especially during host invasion. Here, 20 partial SOD sequences from 19 pathogenic fungi were determined and aligned with 43 homologous fungal sequences from databases. All sequences encoded tetrameric manganese (Mn)-containing SODs showing predicted cytosolic or mitochondrial subcellular localization. Numerous fungi possessed both cytosolic and mitochondrial MnSODs in addition to the mainly cytosolic copper/zinc isozyme. Moreover, MnSOD sequence variability was higher than SSU rRNA and similar to ITS rRNA, suggesting MnSOD could be used to identify closely related fungal species. MnSOD- and SSU rRNA-based phylogenetic trees were constructed and compared. Despite a more complex topology of the MnSOD tree, due to several gene duplication events, all the classic fungal classes and orders were recovered. A salient point was the existence of two paralogous cytosolic and mitochondrial MnSODs in some Ascomycota. A hypothetical evolutionary scenario with an early gene duplication of the “mitochondrial” gene is proposed.","author":[{"dropping-particle":"","family":"Fréalle","given":"Emilie","non-dropping-particle":"","parse-names":false,"suffix":""},{"dropping-particle":"","family":"Noël","given":"Christophe","non-dropping-particle":"","parse-names":false,"suffix":""},{"dropping-particle":"","family":"Nolard","given":"Nicole","non-dropping-particle":"","parse-names":false,"suffix":""},{"dropping-particle":"","family":"Symoens","given":"Françoise","non-dropping-particle":"","parse-names":false,"suffix":""},{"dropping-particle":"","family":"Felipe","given":"Maria-Sueli","non-dropping-particle":"","parse-names":false,"suffix":""},{"dropping-particle":"","family":"Dei-Cas","given":"Eduardo","non-dropping-particle":"","parse-names":false,"suffix":""},{"dropping-particle":"","family":"Camus","given":"Daniel","non-dropping-particle":"","parse-names":false,"suffix":""},{"dropping-particle":"","family":"Viscogliosi","given":"Eric","non-dropping-particle":"","parse-names":false,"suffix":""},{"dropping-particle":"","family":"Delhaes","given":"Laurence","non-dropping-particle":"","parse-names":false,"suffix":""}],"container-title":"Molecular Phylogenetics and Evolution","id":"ITEM-1","issue":"1","issued":{"date-parts":[["2006","10","1"]]},"page":"28-39","publisher":"Academic Press","title":"Manganese superoxide dismutase based phylogeny of pathogenic fungi","type":"article-journal","volume":"41"},"uris":["http://www.mendeley.com/documents/?uuid=e58bd13c-c30d-3ac5-9112-9518b395195e"]}],"mendeley":{"formattedCitation":"[48]","plainTextFormattedCitation":"[48]","previouslyFormattedCitation":"[48]"},"properties":{"noteIndex":0},"schema":"https://github.com/citation-style-language/schema/raw/master/csl-citation.json"}</w:instrText>
      </w:r>
      <w:r>
        <w:rPr>
          <w:rFonts w:cs="Arial"/>
          <w:szCs w:val="24"/>
          <w:lang w:val="es-MX"/>
        </w:rPr>
        <w:fldChar w:fldCharType="separate"/>
      </w:r>
      <w:r w:rsidR="00C06EBA" w:rsidRPr="00C06EBA">
        <w:rPr>
          <w:rFonts w:cs="Arial"/>
          <w:noProof/>
          <w:szCs w:val="24"/>
          <w:lang w:val="es-MX"/>
        </w:rPr>
        <w:t>[48]</w:t>
      </w:r>
      <w:r>
        <w:rPr>
          <w:rFonts w:cs="Arial"/>
          <w:szCs w:val="24"/>
          <w:lang w:val="es-MX"/>
        </w:rPr>
        <w:fldChar w:fldCharType="end"/>
      </w:r>
      <w:r>
        <w:rPr>
          <w:rFonts w:cs="Arial"/>
          <w:szCs w:val="24"/>
          <w:lang w:val="es-MX"/>
        </w:rPr>
        <w:t>, en S. c</w:t>
      </w:r>
      <w:r w:rsidR="002D28D2">
        <w:rPr>
          <w:rFonts w:cs="Arial"/>
          <w:szCs w:val="24"/>
          <w:lang w:val="es-MX"/>
        </w:rPr>
        <w:t>erevisia</w:t>
      </w:r>
      <w:r>
        <w:rPr>
          <w:rFonts w:cs="Arial"/>
          <w:szCs w:val="24"/>
          <w:lang w:val="es-MX"/>
        </w:rPr>
        <w:t>e</w:t>
      </w:r>
      <w:r w:rsidR="002D28D2">
        <w:rPr>
          <w:rFonts w:cs="Arial"/>
          <w:szCs w:val="24"/>
          <w:lang w:val="es-MX"/>
        </w:rPr>
        <w:t>, la MnSOD ha sido reportada por participar en la respuesta a estrés oxidativo</w:t>
      </w:r>
      <w:r>
        <w:rPr>
          <w:rFonts w:cs="Arial"/>
          <w:szCs w:val="24"/>
          <w:lang w:val="es-MX"/>
        </w:rPr>
        <w:t xml:space="preserve"> </w:t>
      </w:r>
      <w:r w:rsidR="002D28D2">
        <w:rPr>
          <w:rFonts w:cs="Arial"/>
          <w:szCs w:val="24"/>
          <w:lang w:val="es-MX"/>
        </w:rPr>
        <w:t>(figura 2), y de la que se han encontrado ortólogos en hongos filamentosos, que también presentan otras SOD participando en la respuesta a estrés, en</w:t>
      </w:r>
      <w:r w:rsidR="002D28D2">
        <w:rPr>
          <w:rFonts w:eastAsia="Times New Roman" w:cs="Arial"/>
          <w:szCs w:val="24"/>
          <w:lang w:val="es-ES" w:eastAsia="es-MX"/>
        </w:rPr>
        <w:t xml:space="preserve"> </w:t>
      </w:r>
      <w:r w:rsidR="002D28D2" w:rsidRPr="002D28D2">
        <w:rPr>
          <w:rFonts w:eastAsia="Times New Roman" w:cs="Arial"/>
          <w:i/>
          <w:szCs w:val="24"/>
          <w:lang w:val="es-ES" w:eastAsia="es-MX"/>
        </w:rPr>
        <w:t>N</w:t>
      </w:r>
      <w:r w:rsidR="002D28D2">
        <w:rPr>
          <w:rFonts w:eastAsia="Times New Roman" w:cs="Arial"/>
          <w:i/>
          <w:szCs w:val="24"/>
          <w:lang w:val="es-ES" w:eastAsia="es-MX"/>
        </w:rPr>
        <w:t>.</w:t>
      </w:r>
      <w:r w:rsidR="002D28D2" w:rsidRPr="002D28D2">
        <w:rPr>
          <w:rFonts w:eastAsia="Times New Roman" w:cs="Arial"/>
          <w:i/>
          <w:szCs w:val="24"/>
          <w:lang w:val="es-ES" w:eastAsia="es-MX"/>
        </w:rPr>
        <w:t xml:space="preserve"> crassa</w:t>
      </w:r>
      <w:r w:rsidR="002D28D2">
        <w:rPr>
          <w:rFonts w:eastAsia="Times New Roman" w:cs="Arial"/>
          <w:szCs w:val="24"/>
          <w:lang w:val="es-ES" w:eastAsia="es-MX"/>
        </w:rPr>
        <w:t xml:space="preserve"> se ha encontrado la</w:t>
      </w:r>
      <w:r>
        <w:rPr>
          <w:rFonts w:eastAsia="Times New Roman" w:cs="Arial"/>
          <w:szCs w:val="24"/>
          <w:lang w:val="es-ES" w:eastAsia="es-MX"/>
        </w:rPr>
        <w:t xml:space="preserve"> </w:t>
      </w:r>
      <w:r>
        <w:rPr>
          <w:rFonts w:cs="Arial"/>
          <w:szCs w:val="24"/>
          <w:lang w:val="es-MX"/>
        </w:rPr>
        <w:t xml:space="preserve">SOD-Cu/Zn codificada por el gen dos-1, enzima que al estar ausente, aumenta la sensibilidad a paraquat. </w:t>
      </w:r>
    </w:p>
    <w:p w14:paraId="4FA40339" w14:textId="77777777" w:rsidR="002D28D2" w:rsidRDefault="002D28D2" w:rsidP="002323D7">
      <w:pPr>
        <w:spacing w:after="0" w:line="360" w:lineRule="auto"/>
        <w:rPr>
          <w:rFonts w:eastAsia="Times New Roman" w:cs="Arial"/>
          <w:szCs w:val="24"/>
          <w:lang w:val="es-ES" w:eastAsia="es-MX"/>
        </w:rPr>
      </w:pPr>
    </w:p>
    <w:p w14:paraId="0FFE8E4C" w14:textId="16427AB3"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w:t>
      </w:r>
      <w:r w:rsidR="00893F73">
        <w:rPr>
          <w:rFonts w:cs="Arial"/>
          <w:szCs w:val="24"/>
          <w:lang w:val="es-MX"/>
        </w:rPr>
        <w:t xml:space="preserve"> de hierro o de manganeso</w:t>
      </w:r>
      <w:r w:rsidRPr="001133CE">
        <w:rPr>
          <w:rFonts w:cs="Arial"/>
          <w:szCs w:val="24"/>
          <w:lang w:val="es-MX"/>
        </w:rPr>
        <w:t xml:space="preserve"> (SOD</w:t>
      </w:r>
      <w:r w:rsidR="00893F73">
        <w:rPr>
          <w:rFonts w:cs="Arial"/>
          <w:szCs w:val="24"/>
          <w:lang w:val="es-MX"/>
        </w:rPr>
        <w:t>-</w:t>
      </w:r>
      <w:r w:rsidR="00893F73" w:rsidRPr="00893F73">
        <w:rPr>
          <w:rFonts w:cs="Arial"/>
          <w:szCs w:val="24"/>
          <w:lang w:val="es-MX"/>
        </w:rPr>
        <w:t xml:space="preserve"> </w:t>
      </w:r>
      <w:r w:rsidR="00893F73">
        <w:rPr>
          <w:rFonts w:cs="Arial"/>
          <w:szCs w:val="24"/>
          <w:lang w:val="es-MX"/>
        </w:rPr>
        <w:t>Fe/Mn</w:t>
      </w:r>
      <w:r w:rsidRPr="001133CE">
        <w:rPr>
          <w:rFonts w:cs="Arial"/>
          <w:szCs w:val="24"/>
          <w:lang w:val="es-MX"/>
        </w:rPr>
        <w:t>),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w:t>
      </w:r>
      <w:r w:rsidR="002D28D2">
        <w:rPr>
          <w:rFonts w:cs="Arial"/>
          <w:szCs w:val="24"/>
          <w:lang w:val="es-MX"/>
        </w:rPr>
        <w:t>ior</w:t>
      </w:r>
      <w:r w:rsidRPr="001133CE">
        <w:rPr>
          <w:rFonts w:cs="Arial"/>
          <w:szCs w:val="24"/>
          <w:lang w:val="es-MX"/>
        </w:rPr>
        <w:t xml:space="preserve">,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10F99B3B" w14:textId="588C844B" w:rsidR="007508C9" w:rsidRDefault="007508C9" w:rsidP="002323D7">
      <w:pPr>
        <w:spacing w:after="0" w:line="360" w:lineRule="auto"/>
        <w:rPr>
          <w:rFonts w:cs="Arial"/>
          <w:szCs w:val="24"/>
          <w:lang w:val="es-MX"/>
        </w:rPr>
      </w:pPr>
    </w:p>
    <w:p w14:paraId="7FA1AC7C" w14:textId="11F62403" w:rsidR="005564BF" w:rsidRDefault="00852E92" w:rsidP="002323D7">
      <w:pPr>
        <w:spacing w:after="0" w:line="360" w:lineRule="auto"/>
        <w:rPr>
          <w:rFonts w:eastAsia="Times New Roman" w:cs="Arial"/>
          <w:szCs w:val="24"/>
          <w:lang w:val="es-ES" w:eastAsia="es-MX"/>
        </w:rPr>
      </w:pPr>
      <w:r>
        <w:rPr>
          <w:rFonts w:cs="Arial"/>
          <w:szCs w:val="24"/>
          <w:lang w:val="es-MX"/>
        </w:rPr>
        <w:t xml:space="preserve">Adicionalmente los </w:t>
      </w:r>
      <w:r w:rsidR="005564BF">
        <w:rPr>
          <w:rFonts w:eastAsia="Times New Roman" w:cs="Arial"/>
          <w:szCs w:val="24"/>
          <w:lang w:val="es-ES" w:eastAsia="es-MX"/>
        </w:rPr>
        <w:t>STRE dependientes de cAMP aparecen durant</w:t>
      </w:r>
      <w:r>
        <w:rPr>
          <w:rFonts w:eastAsia="Times New Roman" w:cs="Arial"/>
          <w:szCs w:val="24"/>
          <w:lang w:val="es-ES" w:eastAsia="es-MX"/>
        </w:rPr>
        <w:t>e el estrés pero se desconoce có</w:t>
      </w:r>
      <w:r w:rsidR="005564BF">
        <w:rPr>
          <w:rFonts w:eastAsia="Times New Roman" w:cs="Arial"/>
          <w:szCs w:val="24"/>
          <w:lang w:val="es-ES" w:eastAsia="es-MX"/>
        </w:rPr>
        <w:t>mo regulan los genes de respuesta a estrés, no explican la expresión de todos los genes de respuesta a estrés</w:t>
      </w:r>
      <w:r>
        <w:rPr>
          <w:rFonts w:eastAsia="Times New Roman" w:cs="Arial"/>
          <w:szCs w:val="24"/>
          <w:lang w:val="es-ES" w:eastAsia="es-MX"/>
        </w:rPr>
        <w:t xml:space="preserve">, </w:t>
      </w:r>
    </w:p>
    <w:p w14:paraId="61DA7234" w14:textId="77777777" w:rsidR="005564BF" w:rsidRDefault="005564BF" w:rsidP="002323D7">
      <w:pPr>
        <w:spacing w:after="0" w:line="360" w:lineRule="auto"/>
        <w:rPr>
          <w:rFonts w:eastAsia="Times New Roman" w:cs="Arial"/>
          <w:szCs w:val="24"/>
          <w:lang w:val="es-ES" w:eastAsia="es-MX"/>
        </w:rPr>
      </w:pPr>
    </w:p>
    <w:p w14:paraId="6FAAE984" w14:textId="2C0D4049"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40D18DA5"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C20246">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[49]","plainTextFormattedCitation":"[49]","previouslyFormattedCitation":"[49]"},"properties":{"noteIndex":0},"schema":"https://github.com/citation-style-language/schema/raw/master/csl-citation.json"}</w:instrText>
      </w:r>
      <w:r w:rsidRPr="001133CE">
        <w:rPr>
          <w:rFonts w:cs="Arial"/>
          <w:szCs w:val="24"/>
          <w:lang w:val="es-MX"/>
        </w:rPr>
        <w:fldChar w:fldCharType="separate"/>
      </w:r>
      <w:r w:rsidR="00C06EBA" w:rsidRPr="00C06EBA">
        <w:rPr>
          <w:rFonts w:cs="Arial"/>
          <w:noProof/>
          <w:szCs w:val="24"/>
          <w:lang w:val="es-MX"/>
        </w:rPr>
        <w:t>[49]</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w:t>
      </w:r>
      <w:r w:rsidR="00C83256">
        <w:rPr>
          <w:rFonts w:cs="Arial"/>
          <w:szCs w:val="24"/>
          <w:lang w:val="es-MX"/>
        </w:rPr>
        <w:t>i</w:t>
      </w:r>
      <w:r w:rsidR="00620D3E" w:rsidRPr="001133CE">
        <w:rPr>
          <w:rFonts w:cs="Arial"/>
          <w:szCs w:val="24"/>
          <w:lang w:val="es-MX"/>
        </w:rPr>
        <w:t>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C83256">
        <w:rPr>
          <w:rFonts w:cs="Arial"/>
          <w:szCs w:val="24"/>
          <w:lang w:val="es-MX"/>
        </w:rPr>
        <w:t xml:space="preserve"> condiciones hi</w:t>
      </w:r>
      <w:r w:rsidR="00931A6C" w:rsidRPr="001133CE">
        <w:rPr>
          <w:rFonts w:cs="Arial"/>
          <w:szCs w:val="24"/>
          <w:lang w:val="es-MX"/>
        </w:rPr>
        <w:t>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C20246">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[50]","plainTextFormattedCitation":"[50]","previouslyFormattedCitation":"[50]"},"properties":{"noteIndex":0},"schema":"https://github.com/citation-style-language/schema/raw/master/csl-citation.json"}</w:instrText>
      </w:r>
      <w:r w:rsidR="00B634A1" w:rsidRPr="001133CE">
        <w:rPr>
          <w:rFonts w:cs="Arial"/>
          <w:szCs w:val="24"/>
          <w:lang w:val="es-ES"/>
        </w:rPr>
        <w:fldChar w:fldCharType="separate"/>
      </w:r>
      <w:r w:rsidR="00C06EBA" w:rsidRPr="00C06EBA">
        <w:rPr>
          <w:rFonts w:cs="Arial"/>
          <w:noProof/>
          <w:szCs w:val="24"/>
          <w:lang w:val="es-ES"/>
        </w:rPr>
        <w:t>[50]</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C20246">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[51]","plainTextFormattedCitation":"[51]","previouslyFormattedCitation":"[51]"},"properties":{"noteIndex":0},"schema":"https://github.com/citation-style-language/schema/raw/master/csl-citation.json"}</w:instrText>
      </w:r>
      <w:r w:rsidR="005D4591" w:rsidRPr="001133CE">
        <w:rPr>
          <w:rFonts w:cs="Arial"/>
          <w:szCs w:val="24"/>
          <w:lang w:val="es-MX"/>
        </w:rPr>
        <w:fldChar w:fldCharType="separate"/>
      </w:r>
      <w:r w:rsidR="00C06EBA" w:rsidRPr="00C06EBA">
        <w:rPr>
          <w:rFonts w:cs="Arial"/>
          <w:noProof/>
          <w:szCs w:val="24"/>
          <w:lang w:val="es-MX"/>
        </w:rPr>
        <w:t>[51]</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3903083D" w14:textId="77777777" w:rsidR="00C83256" w:rsidRDefault="00C83256">
      <w:pPr>
        <w:rPr>
          <w:rFonts w:cs="Arial"/>
          <w:szCs w:val="24"/>
          <w:highlight w:val="yellow"/>
          <w:lang w:val="es-MX"/>
        </w:rPr>
      </w:pPr>
    </w:p>
    <w:p w14:paraId="219A651D" w14:textId="530E6E25" w:rsidR="002323D7" w:rsidRDefault="002323D7">
      <w:pPr>
        <w:rPr>
          <w:rFonts w:cs="Arial"/>
          <w:szCs w:val="24"/>
          <w:highlight w:val="yellow"/>
          <w:lang w:val="es-MX"/>
        </w:rPr>
      </w:pPr>
      <w:r>
        <w:rPr>
          <w:rFonts w:cs="Arial"/>
          <w:szCs w:val="24"/>
          <w:highlight w:val="yellow"/>
          <w:lang w:val="es-MX"/>
        </w:rPr>
        <w:br w:type="page"/>
      </w:r>
    </w:p>
    <w:p w14:paraId="5B0F23A2" w14:textId="72EE0A72" w:rsidR="009636BC"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3FC3772B" w14:textId="4D55F76E" w:rsidR="00E66EC0" w:rsidRDefault="00C83256" w:rsidP="002323D7">
      <w:pPr>
        <w:spacing w:after="0" w:line="240" w:lineRule="auto"/>
        <w:rPr>
          <w:rFonts w:cs="Arial"/>
          <w:szCs w:val="24"/>
          <w:lang w:val="es-MX"/>
        </w:rPr>
      </w:pPr>
      <w:r>
        <w:rPr>
          <w:rFonts w:cs="Arial"/>
          <w:szCs w:val="24"/>
          <w:lang w:val="es-MX"/>
        </w:rPr>
        <w:t>En M. grisea magB regula diversos procesos morfológicos,</w:t>
      </w:r>
      <w:r w:rsidR="00E358D1">
        <w:rPr>
          <w:rFonts w:cs="Arial"/>
          <w:szCs w:val="24"/>
          <w:lang w:val="es-MX"/>
        </w:rPr>
        <w:t xml:space="preserve"> como el crecimiento vegetativo, la conidiación, patogenicidad, etc, esta Gα del grupo I regula negativamente la función adenilato ciclasa. El cAMP exógeno resta</w:t>
      </w:r>
      <w:r w:rsidR="00D45645">
        <w:rPr>
          <w:rFonts w:cs="Arial"/>
          <w:szCs w:val="24"/>
          <w:lang w:val="es-MX"/>
        </w:rPr>
        <w:t>u</w:t>
      </w:r>
      <w:r w:rsidR="00E358D1">
        <w:rPr>
          <w:rFonts w:cs="Arial"/>
          <w:szCs w:val="24"/>
          <w:lang w:val="es-MX"/>
        </w:rPr>
        <w:t xml:space="preserve">ra la formación de apresorio cuando magB </w:t>
      </w:r>
      <w:r w:rsidR="00D45645">
        <w:rPr>
          <w:rFonts w:cs="Arial"/>
          <w:szCs w:val="24"/>
          <w:lang w:val="es-MX"/>
        </w:rPr>
        <w:t>presenta una</w:t>
      </w:r>
      <w:r w:rsidR="00E358D1">
        <w:rPr>
          <w:rFonts w:cs="Arial"/>
          <w:szCs w:val="24"/>
          <w:lang w:val="es-MX"/>
        </w:rPr>
        <w:t xml:space="preserve"> disrupci</w:t>
      </w:r>
      <w:r w:rsidR="00D45645">
        <w:rPr>
          <w:rFonts w:cs="Arial"/>
          <w:szCs w:val="24"/>
          <w:lang w:val="es-MX"/>
        </w:rPr>
        <w:t>ón</w:t>
      </w:r>
      <w:r w:rsidR="00E358D1">
        <w:rPr>
          <w:rFonts w:cs="Arial"/>
          <w:szCs w:val="24"/>
          <w:lang w:val="es-MX"/>
        </w:rPr>
        <w:t>. A su vez la señal activa</w:t>
      </w:r>
      <w:r w:rsidR="00E66EC0">
        <w:rPr>
          <w:rFonts w:cs="Arial"/>
          <w:szCs w:val="24"/>
          <w:lang w:val="es-MX"/>
        </w:rPr>
        <w:t xml:space="preserve"> constitutiva</w:t>
      </w:r>
      <w:r w:rsidR="00E358D1">
        <w:rPr>
          <w:rFonts w:cs="Arial"/>
          <w:szCs w:val="24"/>
          <w:lang w:val="es-MX"/>
        </w:rPr>
        <w:t xml:space="preserve"> de la Gα </w:t>
      </w:r>
      <w:r w:rsidR="00E66EC0">
        <w:rPr>
          <w:rFonts w:cs="Arial"/>
          <w:szCs w:val="24"/>
          <w:lang w:val="es-MX"/>
        </w:rPr>
        <w:t xml:space="preserve">(obtenida por la mutación magB-G42R) </w:t>
      </w:r>
      <w:r w:rsidR="00E358D1">
        <w:rPr>
          <w:rFonts w:cs="Arial"/>
          <w:szCs w:val="24"/>
          <w:lang w:val="es-MX"/>
        </w:rPr>
        <w:t>induc</w:t>
      </w:r>
      <w:r w:rsidR="00E66EC0">
        <w:rPr>
          <w:rFonts w:cs="Arial"/>
          <w:szCs w:val="24"/>
          <w:lang w:val="es-MX"/>
        </w:rPr>
        <w:t xml:space="preserve">e </w:t>
      </w:r>
      <w:r w:rsidR="00D45645">
        <w:rPr>
          <w:rFonts w:cs="Arial"/>
          <w:szCs w:val="24"/>
          <w:lang w:val="es-MX"/>
        </w:rPr>
        <w:t xml:space="preserve">a reducción de la conidiación y a </w:t>
      </w:r>
      <w:r w:rsidR="00E66EC0">
        <w:rPr>
          <w:rFonts w:cs="Arial"/>
          <w:szCs w:val="24"/>
          <w:lang w:val="es-MX"/>
        </w:rPr>
        <w:t xml:space="preserve">procesos de autolisis, que </w:t>
      </w:r>
      <w:r w:rsidR="00D45645">
        <w:rPr>
          <w:rFonts w:cs="Arial"/>
          <w:szCs w:val="24"/>
          <w:lang w:val="es-MX"/>
        </w:rPr>
        <w:t>son inhibidos</w:t>
      </w:r>
      <w:r w:rsidR="00E358D1">
        <w:rPr>
          <w:rFonts w:cs="Arial"/>
          <w:szCs w:val="24"/>
          <w:lang w:val="es-MX"/>
        </w:rPr>
        <w:t xml:space="preserve"> en presencia de 3%NaCl y en medios ricos en nutrientes, así como se reduce el fenotipo algodonoso</w:t>
      </w:r>
      <w:r w:rsidR="00E66EC0">
        <w:rPr>
          <w:rFonts w:cs="Arial"/>
          <w:szCs w:val="24"/>
          <w:lang w:val="es-MX"/>
        </w:rPr>
        <w:t>.</w:t>
      </w:r>
    </w:p>
    <w:p w14:paraId="0CE09B07" w14:textId="77777777" w:rsidR="00E66EC0" w:rsidRDefault="00E66EC0" w:rsidP="002323D7">
      <w:pPr>
        <w:spacing w:after="0" w:line="240" w:lineRule="auto"/>
        <w:rPr>
          <w:rFonts w:cs="Arial"/>
          <w:szCs w:val="24"/>
          <w:lang w:val="es-MX"/>
        </w:rPr>
      </w:pPr>
    </w:p>
    <w:p w14:paraId="6C15AC51" w14:textId="14426735" w:rsidR="00C83256" w:rsidRDefault="00E66EC0" w:rsidP="002323D7">
      <w:pPr>
        <w:spacing w:after="0" w:line="240" w:lineRule="auto"/>
        <w:rPr>
          <w:rFonts w:cs="Arial"/>
          <w:szCs w:val="24"/>
          <w:lang w:val="es-MX"/>
        </w:rPr>
      </w:pPr>
      <w:r>
        <w:rPr>
          <w:rFonts w:cs="Arial"/>
          <w:szCs w:val="24"/>
          <w:lang w:val="es-MX"/>
        </w:rPr>
        <w:t xml:space="preserve">El efecto osmótico del NaCl conduce a la </w:t>
      </w:r>
      <w:r w:rsidR="00D45645">
        <w:rPr>
          <w:rFonts w:cs="Arial"/>
          <w:szCs w:val="24"/>
          <w:lang w:val="es-MX"/>
        </w:rPr>
        <w:t>supres</w:t>
      </w:r>
      <w:r>
        <w:rPr>
          <w:rFonts w:cs="Arial"/>
          <w:szCs w:val="24"/>
          <w:lang w:val="es-MX"/>
        </w:rPr>
        <w:t>ión de la conidiación</w:t>
      </w:r>
      <w:r w:rsidR="00E358D1">
        <w:rPr>
          <w:rFonts w:cs="Arial"/>
          <w:szCs w:val="24"/>
          <w:lang w:val="es-MX"/>
        </w:rPr>
        <w:t xml:space="preserve"> y la</w:t>
      </w:r>
      <w:r w:rsidR="00D45645">
        <w:rPr>
          <w:rFonts w:cs="Arial"/>
          <w:szCs w:val="24"/>
          <w:lang w:val="es-MX"/>
        </w:rPr>
        <w:t xml:space="preserve"> reducción en la</w:t>
      </w:r>
      <w:r w:rsidR="00E358D1">
        <w:rPr>
          <w:rFonts w:cs="Arial"/>
          <w:szCs w:val="24"/>
          <w:lang w:val="es-MX"/>
        </w:rPr>
        <w:t xml:space="preserve"> melanización</w:t>
      </w:r>
      <w:r>
        <w:rPr>
          <w:rFonts w:cs="Arial"/>
          <w:szCs w:val="24"/>
          <w:lang w:val="es-MX"/>
        </w:rPr>
        <w:t xml:space="preserve"> tanto en las cepas silvestres como en aquellas con señal constitutivamente inactiva (magBG203R)</w:t>
      </w:r>
      <w:r w:rsidR="00D45645">
        <w:rPr>
          <w:rFonts w:cs="Arial"/>
          <w:szCs w:val="24"/>
          <w:lang w:val="es-MX"/>
        </w:rPr>
        <w:t xml:space="preserve"> </w:t>
      </w:r>
      <w:r w:rsidR="004C4179">
        <w:rPr>
          <w:rFonts w:cs="Arial"/>
          <w:szCs w:val="24"/>
          <w:lang w:val="es-MX"/>
        </w:rPr>
        <w:t>que,</w:t>
      </w:r>
      <w:r w:rsidR="00D45645">
        <w:rPr>
          <w:rFonts w:cs="Arial"/>
          <w:szCs w:val="24"/>
          <w:lang w:val="es-MX"/>
        </w:rPr>
        <w:t xml:space="preserve"> en condiciones óptimas de cultivo, no afecta la conidiación</w:t>
      </w:r>
      <w:r>
        <w:rPr>
          <w:rFonts w:cs="Arial"/>
          <w:szCs w:val="24"/>
          <w:lang w:val="es-MX"/>
        </w:rPr>
        <w:t>.</w:t>
      </w:r>
      <w:r w:rsidR="00940370">
        <w:rPr>
          <w:rFonts w:cs="Arial"/>
          <w:szCs w:val="24"/>
          <w:lang w:val="es-MX"/>
        </w:rPr>
        <w:t xml:space="preserve"> Lo que indica que la Gα proporciona mayor osmosensibilidad</w:t>
      </w:r>
    </w:p>
    <w:p w14:paraId="2F596DFE" w14:textId="0CC5BAEA" w:rsidR="00E66EC0" w:rsidRDefault="00E66EC0" w:rsidP="002323D7">
      <w:pPr>
        <w:spacing w:after="0" w:line="240" w:lineRule="auto"/>
        <w:rPr>
          <w:rFonts w:cs="Arial"/>
          <w:szCs w:val="24"/>
          <w:lang w:val="es-MX"/>
        </w:rPr>
      </w:pPr>
    </w:p>
    <w:p w14:paraId="18A0647F" w14:textId="77777777" w:rsidR="004C4179" w:rsidRDefault="004C4179" w:rsidP="002323D7">
      <w:pPr>
        <w:spacing w:after="0" w:line="240" w:lineRule="auto"/>
        <w:rPr>
          <w:rFonts w:cs="Arial"/>
          <w:szCs w:val="24"/>
          <w:lang w:val="es-MX"/>
        </w:rPr>
      </w:pPr>
    </w:p>
    <w:p w14:paraId="1007B19C" w14:textId="44D6C5C2" w:rsidR="00E66EC0" w:rsidRDefault="00E66EC0" w:rsidP="002323D7">
      <w:pPr>
        <w:spacing w:after="0" w:line="240" w:lineRule="auto"/>
        <w:rPr>
          <w:rFonts w:cs="Arial"/>
          <w:szCs w:val="24"/>
          <w:lang w:val="es-MX"/>
        </w:rPr>
      </w:pPr>
    </w:p>
    <w:p w14:paraId="6D72C085" w14:textId="77777777" w:rsidR="00E358D1" w:rsidRDefault="00E358D1" w:rsidP="002323D7">
      <w:pPr>
        <w:spacing w:after="0" w:line="240" w:lineRule="auto"/>
        <w:rPr>
          <w:rFonts w:cs="Arial"/>
          <w:szCs w:val="24"/>
          <w:lang w:val="es-MX"/>
        </w:rPr>
      </w:pPr>
    </w:p>
    <w:p w14:paraId="472F2A1C" w14:textId="77777777" w:rsidR="00E358D1" w:rsidRPr="001133CE" w:rsidRDefault="00E358D1" w:rsidP="002323D7">
      <w:pPr>
        <w:spacing w:after="0" w:line="240" w:lineRule="auto"/>
        <w:rPr>
          <w:rFonts w:cs="Arial"/>
          <w:szCs w:val="24"/>
          <w:lang w:val="es-MX"/>
        </w:rPr>
      </w:pP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588CB492" w14:textId="6BD76C7D" w:rsidR="00B3773C"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w:t>
      </w:r>
      <w:r w:rsidR="00B24486">
        <w:rPr>
          <w:rFonts w:cs="Arial"/>
          <w:szCs w:val="24"/>
          <w:lang w:val="es-MX"/>
        </w:rPr>
        <w:t xml:space="preserve">uz (blanca, roja, azul y verde), empleada por los hongos como informador del estado ambiental, mas no como un recurso energético </w:t>
      </w:r>
      <w:r w:rsidR="00B24486">
        <w:rPr>
          <w:rFonts w:cs="Arial"/>
          <w:szCs w:val="24"/>
          <w:lang w:val="es-MX"/>
        </w:rPr>
        <w:fldChar w:fldCharType="begin" w:fldLock="1"/>
      </w:r>
      <w:r w:rsidR="003808EC">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B24486">
        <w:rPr>
          <w:rFonts w:cs="Arial"/>
          <w:szCs w:val="24"/>
          <w:lang w:val="es-MX"/>
        </w:rPr>
        <w:fldChar w:fldCharType="separate"/>
      </w:r>
      <w:r w:rsidR="00B24486" w:rsidRPr="00B24486">
        <w:rPr>
          <w:rFonts w:cs="Arial"/>
          <w:noProof/>
          <w:szCs w:val="24"/>
          <w:lang w:val="es-MX"/>
        </w:rPr>
        <w:t>[23]</w:t>
      </w:r>
      <w:r w:rsidR="00B24486">
        <w:rPr>
          <w:rFonts w:cs="Arial"/>
          <w:szCs w:val="24"/>
          <w:lang w:val="es-MX"/>
        </w:rPr>
        <w:fldChar w:fldCharType="end"/>
      </w:r>
      <w:r w:rsidR="00B24486">
        <w:rPr>
          <w:rFonts w:cs="Arial"/>
          <w:szCs w:val="24"/>
          <w:lang w:val="es-MX"/>
        </w:rPr>
        <w:t>.</w:t>
      </w:r>
      <w:r w:rsidRPr="001133CE">
        <w:rPr>
          <w:rFonts w:cs="Arial"/>
          <w:szCs w:val="24"/>
          <w:lang w:val="es-MX"/>
        </w:rPr>
        <w:t xml:space="preserve"> </w:t>
      </w:r>
    </w:p>
    <w:p w14:paraId="4FA65858" w14:textId="77777777" w:rsidR="003808EC" w:rsidRDefault="003808EC" w:rsidP="002323D7">
      <w:pPr>
        <w:spacing w:after="0" w:line="360" w:lineRule="auto"/>
        <w:rPr>
          <w:rFonts w:cs="Arial"/>
          <w:szCs w:val="24"/>
          <w:lang w:val="es-MX"/>
        </w:rPr>
      </w:pPr>
    </w:p>
    <w:p w14:paraId="059D3CF1" w14:textId="77777777" w:rsidR="006979FD" w:rsidRDefault="00CF1A5E" w:rsidP="002323D7">
      <w:pPr>
        <w:spacing w:after="0" w:line="360" w:lineRule="auto"/>
        <w:rPr>
          <w:rFonts w:cs="Arial"/>
          <w:szCs w:val="24"/>
          <w:lang w:val="es-MX"/>
        </w:rPr>
      </w:pPr>
      <w:r>
        <w:rPr>
          <w:rFonts w:cs="Arial"/>
          <w:szCs w:val="24"/>
          <w:lang w:val="es-MX"/>
        </w:rPr>
        <w:t>La</w:t>
      </w:r>
      <w:r w:rsidR="00B24486">
        <w:rPr>
          <w:rFonts w:cs="Arial"/>
          <w:szCs w:val="24"/>
          <w:lang w:val="es-MX"/>
        </w:rPr>
        <w:t>s</w:t>
      </w:r>
      <w:r>
        <w:rPr>
          <w:rFonts w:cs="Arial"/>
          <w:szCs w:val="24"/>
          <w:lang w:val="es-MX"/>
        </w:rPr>
        <w:t xml:space="preserve"> longitudes de onda de la luz visible son absorbidas por proteínas fotoreceptoras que siempre contienen una molécula orgánica, el crom</w:t>
      </w:r>
      <w:r w:rsidR="00B24486">
        <w:rPr>
          <w:rFonts w:cs="Arial"/>
          <w:szCs w:val="24"/>
          <w:lang w:val="es-MX"/>
        </w:rPr>
        <w:t>ó</w:t>
      </w:r>
      <w:r>
        <w:rPr>
          <w:rFonts w:cs="Arial"/>
          <w:szCs w:val="24"/>
          <w:lang w:val="es-MX"/>
        </w:rPr>
        <w:t xml:space="preserve">foro, </w:t>
      </w:r>
      <w:r w:rsidR="00B24486">
        <w:rPr>
          <w:rFonts w:cs="Arial"/>
          <w:szCs w:val="24"/>
          <w:lang w:val="es-MX"/>
        </w:rPr>
        <w:t xml:space="preserve">que </w:t>
      </w:r>
      <w:r w:rsidR="003808EC">
        <w:rPr>
          <w:rFonts w:cs="Arial"/>
          <w:szCs w:val="24"/>
          <w:lang w:val="es-MX"/>
        </w:rPr>
        <w:t xml:space="preserve">puede estar unida a proteínas transportadoras de electrones o amplificadoras de las señal lumínica (auxocromos) y a su vez se conectan con una red de señalización molecular intracelular que permite </w:t>
      </w:r>
      <w:r w:rsidR="00B24486">
        <w:rPr>
          <w:rFonts w:cs="Arial"/>
          <w:szCs w:val="24"/>
          <w:lang w:val="es-MX"/>
        </w:rPr>
        <w:t>interpretar cambios en las condiciones de luz y temperatura desencadenando una respuesta adaptativa</w:t>
      </w:r>
      <w:r w:rsidR="003808EC">
        <w:rPr>
          <w:rFonts w:cs="Arial"/>
          <w:szCs w:val="24"/>
          <w:lang w:val="es-MX"/>
        </w:rPr>
        <w:t xml:space="preserve"> </w:t>
      </w:r>
      <w:r w:rsidR="003808EC">
        <w:rPr>
          <w:rFonts w:cs="Arial"/>
          <w:szCs w:val="24"/>
          <w:lang w:val="es-MX"/>
        </w:rPr>
        <w:fldChar w:fldCharType="begin" w:fldLock="1"/>
      </w:r>
      <w:r w:rsidR="00AF0EA8">
        <w:rPr>
          <w:rFonts w:cs="Arial"/>
          <w:szCs w:val="24"/>
          <w:lang w:val="es-MX"/>
        </w:rPr>
        <w:instrText>ADDIN CSL_CITATION {"citationItems":[{"id":"ITEM-1","itemData":{"DOI":"10.1007/s00253-009-2320-1","ISSN":"0175-7598","author":[{"dropping-particle":"","family":"Tisch","given":"Doris","non-dropping-particle":"","parse-names":false,"suffix":""},{"dropping-particle":"","family":"Schmoll","given":"Monika","non-dropping-particle":"","parse-names":false,"suffix":""}],"container-title":"Applied Microbiology and Biotechnology","id":"ITEM-1","issue":"5","issued":{"date-parts":[["2010","2","14"]]},"page":"1259-1277","publisher":"Springer-Verlag","title":"Light regulation of metabolic pathways in fungi","type":"article-journal","volume":"85"},"uris":["http://www.mendeley.com/documents/?uuid=e45acbdc-59a1-3c86-868f-189407de6888"]}],"mendeley":{"formattedCitation":"[52]","plainTextFormattedCitation":"[52]","previouslyFormattedCitation":"[52]"},"properties":{"noteIndex":0},"schema":"https://github.com/citation-style-language/schema/raw/master/csl-citation.json"}</w:instrText>
      </w:r>
      <w:r w:rsidR="003808EC">
        <w:rPr>
          <w:rFonts w:cs="Arial"/>
          <w:szCs w:val="24"/>
          <w:lang w:val="es-MX"/>
        </w:rPr>
        <w:fldChar w:fldCharType="separate"/>
      </w:r>
      <w:r w:rsidR="003808EC" w:rsidRPr="003808EC">
        <w:rPr>
          <w:rFonts w:cs="Arial"/>
          <w:noProof/>
          <w:szCs w:val="24"/>
          <w:lang w:val="es-MX"/>
        </w:rPr>
        <w:t>[52]</w:t>
      </w:r>
      <w:r w:rsidR="003808EC">
        <w:rPr>
          <w:rFonts w:cs="Arial"/>
          <w:szCs w:val="24"/>
          <w:lang w:val="es-MX"/>
        </w:rPr>
        <w:fldChar w:fldCharType="end"/>
      </w:r>
      <w:r w:rsidR="006979FD">
        <w:rPr>
          <w:rFonts w:cs="Arial"/>
          <w:szCs w:val="24"/>
          <w:lang w:val="es-MX"/>
        </w:rPr>
        <w:t xml:space="preserve">.  </w:t>
      </w:r>
    </w:p>
    <w:p w14:paraId="2E78D4D9" w14:textId="77777777" w:rsidR="006979FD" w:rsidRDefault="006979FD" w:rsidP="002323D7">
      <w:pPr>
        <w:spacing w:after="0" w:line="360" w:lineRule="auto"/>
        <w:rPr>
          <w:rFonts w:cs="Arial"/>
          <w:szCs w:val="24"/>
          <w:lang w:val="es-MX"/>
        </w:rPr>
      </w:pPr>
    </w:p>
    <w:p w14:paraId="0292037C" w14:textId="5185F028" w:rsidR="00CF1A5E" w:rsidRDefault="006979FD" w:rsidP="002323D7">
      <w:pPr>
        <w:spacing w:after="0" w:line="360" w:lineRule="auto"/>
        <w:rPr>
          <w:rFonts w:cs="Arial"/>
          <w:szCs w:val="24"/>
          <w:lang w:val="es-MX"/>
        </w:rPr>
      </w:pPr>
      <w:r>
        <w:rPr>
          <w:rFonts w:cs="Arial"/>
          <w:szCs w:val="24"/>
          <w:lang w:val="es-MX"/>
        </w:rPr>
        <w:t>Así como no todos los seres vivos responde a las variaciones de luz, igualmente no todos los hongos reaccionan a los</w:t>
      </w:r>
      <w:r w:rsidR="003808EC">
        <w:rPr>
          <w:rFonts w:cs="Arial"/>
          <w:szCs w:val="24"/>
          <w:lang w:val="es-MX"/>
        </w:rPr>
        <w:t xml:space="preserve"> intervalos de exposición a la luz o </w:t>
      </w:r>
      <w:r w:rsidR="00B24486">
        <w:rPr>
          <w:rFonts w:cs="Arial"/>
          <w:szCs w:val="24"/>
          <w:lang w:val="es-MX"/>
        </w:rPr>
        <w:t>fotoperiodicidad</w:t>
      </w:r>
      <w:r>
        <w:rPr>
          <w:rFonts w:cs="Arial"/>
          <w:szCs w:val="24"/>
          <w:lang w:val="es-MX"/>
        </w:rPr>
        <w:t xml:space="preserve">, en aquellos donde se ha encontrado respuesta, la luz </w:t>
      </w:r>
      <w:r w:rsidR="003808EC">
        <w:rPr>
          <w:rFonts w:cs="Arial"/>
          <w:szCs w:val="24"/>
          <w:lang w:val="es-MX"/>
        </w:rPr>
        <w:t xml:space="preserve">influencia la fisiología del hongo y se relacionan directamente con el reloj circadiano, un sistema que </w:t>
      </w:r>
      <w:r w:rsidR="00AF0EA8">
        <w:rPr>
          <w:rFonts w:cs="Arial"/>
          <w:szCs w:val="24"/>
          <w:lang w:val="es-MX"/>
        </w:rPr>
        <w:t xml:space="preserve">interviene en procesos de formación de metabolitos secundarios, hifas áreas, conidiación, esporulación, como se ha descrito para N crassa A. nidulans, T. ressei </w:t>
      </w:r>
      <w:r w:rsidR="00AF0EA8">
        <w:rPr>
          <w:rFonts w:cs="Arial"/>
          <w:szCs w:val="24"/>
          <w:lang w:val="es-MX"/>
        </w:rPr>
        <w:fldChar w:fldCharType="begin" w:fldLock="1"/>
      </w:r>
      <w:r w:rsidR="00AF0EA8">
        <w:rPr>
          <w:rFonts w:cs="Arial"/>
          <w:szCs w:val="24"/>
          <w:lang w:val="es-MX"/>
        </w:rPr>
        <w:instrText>ADDIN CSL_CITATION {"citationItems":[{"id":"ITEM-1","itemData":{"DOI":"10.1534/genetics.111.130096","ISBN":"1943-2631 (Electronic)\\n0016-6731 (Linking)","ISSN":"00166731","PMID":"21624998","abstract":"Light regulates several aspects of the biology of many organisms, including the balance between asexual and sexual development in some fungi. To understand how light regulates fungal development at the molecular level we have used Aspergillus nidulans as a model. We have performed a genome-wide expression analysis that has allowed us to identify &gt;400 genes upregulated and &gt;100 genes downregulated by light in developmentally competent mycelium. Among the upregulated genes were genes required for the regulation of asexual development, one of the major biological responses to light in A. nidulans, which is a pathway controlled by the master regulatory gene brlA. The expression of brlA, like conidiation, is induced by light. A detailed analysis of brlA light regulation revealed increased expression after short exposures with a maximum after 60 min of light followed by photoadaptation with longer light exposures. In addition to brlA, genes flbA-C and fluG are also light regulated, and flbA-C are required for the correct light-dependent regulation of the upstream regulator fluG. We have found that light induction of brlA required the photoreceptor complex composed of a phytochrome FphA, and the white-collar homologs LreA and LreB, and the fluffy genes flbA-C. We propose that the activation of regulatory genes by light is the key event in the activation of asexual development by light in A. nidulans.","author":[{"dropping-particle":"","family":"Ruger-Herreros","given":"Carmen","non-dropping-particle":"","parse-names":false,"suffix":""},{"dropping-particle":"","family":"Rodríguez-Romero","given":"Julio","non-dropping-particle":"","parse-names":false,"suffix":""},{"dropping-particle":"","family":"Fernández-Barranco","given":"Raul","non-dropping-particle":"","parse-names":false,"suffix":""},{"dropping-particle":"","family":"Olmedo","given":"María","non-dropping-particle":"","parse-names":false,"suffix":""},{"dropping-particle":"","family":"Fischer","given":"Reinhard","non-dropping-particle":"","parse-names":false,"suffix":""},{"dropping-particle":"","family":"Corrochano","given":"Luis M.","non-dropping-particle":"","parse-names":false,"suffix":""},{"dropping-particle":"","family":"Canovas","given":"David","non-dropping-particle":"","parse-names":false,"suffix":""}],"container-title":"Genetics","id":"ITEM-1","issue":"4","issued":{"date-parts":[["2011"]]},"page":"809-822","title":"Regulation of conidiation by light in aspergillus nidulans","type":"article-journal","volume":"188"},"uris":["http://www.mendeley.com/documents/?uuid=495d9b3b-55da-4882-8d85-9ff0a24301f2"]},{"id":"ITEM-2","itemData":{"DOI":"10.1186/1741-7007-7-58","ISBN":"1741-7007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Biology","id":"ITEM-2","issued":{"date-parts":[["2009"]]},"page":"58","title":"Light-dependent roles of the G-protein ?? subunit GNA1 of Hypocrea jecorina (anamorph Trichoderma reesei)","type":"article-journal","volume":"7"},"uris":["http://www.mendeley.com/documents/?uuid=c960c8b3-d775-4a61-8f68-870d28ebc9be"]},{"id":"ITEM-3","itemData":{"DOI":"10.1016/j.cell.2012.08.011","ISSN":"00928674","PMID":"22939629","abstract":"Cellular processes often depend on stable physical associations between proteins. Despite recent progress, knowledge of the composition of human protein complexes remains limited. To close this gap, we applied an integrative global proteomic profiling approach, based on chromatographic separation of cultured human cell extracts into more than one thousand biochemical fractions that were subsequently analyzed by quantitative tandem mass spectrometry, to systematically identify a network of 13,993 high-confidence physical interactions among 3,006 stably associated soluble human proteins. Most of the 622 putative protein complexes we report are linked to core biological processes and encompass both candidate disease genes and unannotated proteins to inform on mechanism. Strikingly, whereas larger multiprotein assemblies tend to be more extensively annotated and evolutionarily conserved, human protein complexes with five or fewer subunits are far more likely to be functionally unannotated or restricted to vertebrates, suggesting more recent functional innovations.","author":[{"dropping-particle":"","family":"Havugimana","given":"Pierre C.","non-dropping-particle":"","parse-names":false,"suffix":""},{"dropping-particle":"","family":"Hart","given":"G. Traver","non-dropping-particle":"","parse-names":false,"suffix":""},{"dropping-particle":"","family":"Nepusz","given":"Tamás","non-dropping-particle":"","parse-names":false,"suffix":""},{"dropping-particle":"","family":"Yang","given":"Haixuan","non-dropping-particle":"","parse-names":false,"suffix":""},{"dropping-particle":"","family":"Turinsky","given":"Andrei L.","non-dropping-particle":"","parse-names":false,"suffix":""},{"dropping-particle":"","family":"Li","given":"Zhihua","non-dropping-particle":"","parse-names":false,"suffix":""},{"dropping-particle":"","family":"Wang","given":"Peggy I.","non-dropping-particle":"","parse-names":false,"suffix":""},{"dropping-particle":"","family":"Boutz","given":"Daniel R.","non-dropping-particle":"","parse-names":false,"suffix":""},{"dropping-particle":"","family":"Fong","given":"Vincent","non-dropping-particle":"","parse-names":false,"suffix":""},{"dropping-particle":"","family":"Phanse","given":"Sadhna","non-dropping-particle":"","parse-names":false,"suffix":""},{"dropping-particle":"","family":"Babu","given":"Mohan","non-dropping-particle":"","parse-names":false,"suffix":""},{"dropping-particle":"","family":"Craig","given":"Stephanie A.","non-dropping-particle":"","parse-names":false,"suffix":""},{"dropping-particle":"","family":"Hu","given":"Pingzhao","non-dropping-particle":"","parse-names":false,"suffix":""},{"dropping-particle":"","family":"Wan","given":"Cuihong","non-dropping-particle":"","parse-names":false,"suffix":""},{"dropping-particle":"","family":"Vlasblom","given":"James","non-dropping-particle":"","parse-names":false,"suffix":""},{"dropping-particle":"","family":"Dar","given":"Vaqaar-un-Nisa","non-dropping-particle":"","parse-names":false,"suffix":""},{"dropping-particle":"","family":"Bezginov","given":"Alexandr","non-dropping-particle":"","parse-names":false,"suffix":""},{"dropping-particle":"","family":"Clark","given":"Gregory W.","non-dropping-particle":"","parse-names":false,"suffix":""},{"dropping-particle":"","family":"Wu","given":"Gabriel C.","non-dropping-particle":"","parse-names":false,"suffix":""},{"dropping-particle":"","family":"Wodak","given":"Shoshana J.","non-dropping-particle":"","parse-names":false,"suffix":""},{"dropping-particle":"","family":"Tillier","given":"Elisabeth R.M.","non-dropping-particle":"","parse-names":false,"suffix":""},{"dropping-particle":"","family":"Paccanaro","given":"Alberto","non-dropping-particle":"","parse-names":false,"suffix":""},{"dropping-particle":"","family":"Marcotte","given":"Edward M.","non-dropping-particle":"","parse-names":false,"suffix":""},{"dropping-particle":"","family":"Emili","given":"Andrew","non-dropping-particle":"","parse-names":false,"suffix":""}],"container-title":"Cell","id":"ITEM-3","issue":"5","issued":{"date-parts":[["2012","8","31"]]},"page":"1068-1081","title":"A Census of Human Soluble Protein Complexes","type":"article-journal","volume":"150"},"uris":["http://www.mendeley.com/documents/?uuid=b028802f-474d-36de-8abc-2150de693fe9"]}],"mendeley":{"formattedCitation":"[47], [53], [54]","manualFormatting":"[47], [53], ","plainTextFormattedCitation":"[47], [53], [54]","previouslyFormattedCitation":"[47], [53], [54]"},"properties":{"noteIndex":0},"schema":"https://github.com/citation-style-language/schema/raw/master/csl-citation.json"}</w:instrText>
      </w:r>
      <w:r w:rsidR="00AF0EA8">
        <w:rPr>
          <w:rFonts w:cs="Arial"/>
          <w:szCs w:val="24"/>
          <w:lang w:val="es-MX"/>
        </w:rPr>
        <w:fldChar w:fldCharType="separate"/>
      </w:r>
      <w:r w:rsidR="00AF0EA8" w:rsidRPr="00AF0EA8">
        <w:rPr>
          <w:rFonts w:cs="Arial"/>
          <w:noProof/>
          <w:szCs w:val="24"/>
          <w:lang w:val="es-MX"/>
        </w:rPr>
        <w:t xml:space="preserve">[47], [53], </w:t>
      </w:r>
      <w:r w:rsidR="00AF0EA8">
        <w:rPr>
          <w:rFonts w:cs="Arial"/>
          <w:szCs w:val="24"/>
          <w:lang w:val="es-MX"/>
        </w:rPr>
        <w:fldChar w:fldCharType="end"/>
      </w:r>
      <w:r w:rsidR="00182C49">
        <w:rPr>
          <w:rFonts w:cs="Arial"/>
          <w:szCs w:val="24"/>
          <w:lang w:val="es-MX"/>
        </w:rPr>
        <w:fldChar w:fldCharType="begin" w:fldLock="1"/>
      </w:r>
      <w:r>
        <w:rPr>
          <w:rFonts w:cs="Arial"/>
          <w:szCs w:val="24"/>
          <w:lang w:val="es-MX"/>
        </w:rPr>
        <w:instrText>ADDIN CSL_CITATION {"citationItems":[{"id":"ITEM-1","itemData":{"DOI":"10.1074/jbc.M805506200","ISSN":"0021-9258","PMID":"18931394","abstract":"The red light-sensing photoreceptor FphA from Aspergillus nidulans is involved in the regulation of developmental processes in response to light. Here we present extended biochemical and spectroscopic characterization of recombinant FphA using a synthetic gene with host-adapted codon usage. The recombinant photosensory domain FphAN753 was shown to display all features of a bona fide phytochrome. It covalently binds biliverdin as chromophore and undergoes red/far-red light-inducible photoconversion with both parent states being protonated. The large N-terminal variable extension of FphA exerts a stabilizing effect on the active Pfr state. Upon substitution of the highly conserved histidine 504, involved in the hydrogen-bonding network of the protein moiety and the chromophore, chromophore attachment and photoreversibility were completely impaired. FphA is a functional sensor histidine kinase with a strong red-light-dependent autophosphorylation activity. Furthermore, intermolecular trans-phosphorylation to the response regulator domain of a second monomer could be demonstrated. Interestingly, co-incubation of FphA and FphA variants led to enhanced autophosphorylation, including the \"inactive\" Pr form. The latter observed phenomenon might suggest that auto- and trans-phosphorylation activity is modulated by additional interaction partners leading to variable phosphorylation events that trigger a specific output response.","author":[{"dropping-particle":"","family":"Brandt","given":"Sonja","non-dropping-particle":"","parse-names":false,"suffix":""},{"dropping-particle":"","family":"Stetten","given":"David","non-dropping-particle":"von","parse-names":false,"suffix":""},{"dropping-particle":"","family":"Günther","given":"Mina","non-dropping-particle":"","parse-names":false,"suffix":""},{"dropping-particle":"","family":"Hildebrandt","given":"Peter","non-dropping-particle":"","parse-names":false,"suffix":""},{"dropping-particle":"","family":"Frankenberg-Dinkel","given":"Nicole","non-dropping-particle":"","parse-names":false,"suffix":""}],"container-title":"The Journal of biological chemistry","id":"ITEM-1","issue":"50","issued":{"date-parts":[["2008","12","12"]]},"page":"34605-14","publisher":"American Society for Biochemistry and Molecular Biology","title":"The fungal phytochrome FphA from Aspergillus nidulans.","type":"article-journal","volume":"283"},"uris":["http://www.mendeley.com/documents/?uuid=de888687-c876-3a9a-8b40-15a1b029ca05"]}],"mendeley":{"formattedCitation":"[55]","plainTextFormattedCitation":"[55]","previouslyFormattedCitation":"[55]"},"properties":{"noteIndex":0},"schema":"https://github.com/citation-style-language/schema/raw/master/csl-citation.json"}</w:instrText>
      </w:r>
      <w:r w:rsidR="00182C49">
        <w:rPr>
          <w:rFonts w:cs="Arial"/>
          <w:szCs w:val="24"/>
          <w:lang w:val="es-MX"/>
        </w:rPr>
        <w:fldChar w:fldCharType="separate"/>
      </w:r>
      <w:r w:rsidR="00182C49" w:rsidRPr="00182C49">
        <w:rPr>
          <w:rFonts w:cs="Arial"/>
          <w:noProof/>
          <w:szCs w:val="24"/>
          <w:lang w:val="es-MX"/>
        </w:rPr>
        <w:t>[55]</w:t>
      </w:r>
      <w:r w:rsidR="00182C49">
        <w:rPr>
          <w:rFonts w:cs="Arial"/>
          <w:szCs w:val="24"/>
          <w:lang w:val="es-MX"/>
        </w:rPr>
        <w:fldChar w:fldCharType="end"/>
      </w:r>
      <w:r w:rsidR="00AF0EA8">
        <w:rPr>
          <w:rFonts w:cs="Arial"/>
          <w:szCs w:val="24"/>
          <w:lang w:val="es-MX"/>
        </w:rPr>
        <w:t>.  El sistema circadiano puede ser alterado</w:t>
      </w:r>
      <w:r w:rsidR="003808EC">
        <w:rPr>
          <w:rFonts w:cs="Arial"/>
          <w:szCs w:val="24"/>
          <w:lang w:val="es-MX"/>
        </w:rPr>
        <w:t xml:space="preserve"> por pulsos </w:t>
      </w:r>
      <w:r w:rsidR="00AF0EA8">
        <w:rPr>
          <w:rFonts w:cs="Arial"/>
          <w:szCs w:val="24"/>
          <w:lang w:val="es-MX"/>
        </w:rPr>
        <w:t>de luz, llegando incluso a reiniciar</w:t>
      </w:r>
      <w:r w:rsidR="003808EC">
        <w:rPr>
          <w:rFonts w:cs="Arial"/>
          <w:szCs w:val="24"/>
          <w:lang w:val="es-MX"/>
        </w:rPr>
        <w:t xml:space="preserve"> el reloj biológico</w:t>
      </w:r>
      <w:r w:rsidR="00AF0EA8">
        <w:rPr>
          <w:rFonts w:cs="Arial"/>
          <w:szCs w:val="24"/>
          <w:lang w:val="es-MX"/>
        </w:rPr>
        <w:t xml:space="preserve"> </w:t>
      </w:r>
      <w:r w:rsidR="00AF0EA8">
        <w:rPr>
          <w:rFonts w:cs="Arial"/>
          <w:szCs w:val="24"/>
          <w:lang w:val="es-MX"/>
        </w:rPr>
        <w:fldChar w:fldCharType="begin" w:fldLock="1"/>
      </w:r>
      <w:r w:rsidR="00AF0EA8">
        <w:rPr>
          <w:rFonts w:cs="Arial"/>
          <w:szCs w:val="24"/>
          <w:lang w:val="es-MX"/>
        </w:rPr>
        <w:instrText>ADDIN CSL_CITATION {"citationItems":[{"id":"ITEM-1","itemData":{"DOI":"10.1007/s00253-009-2320-1","ISSN":"0175-7598","author":[{"dropping-particle":"","family":"Tisch","given":"Doris","non-dropping-particle":"","parse-names":false,"suffix":""},{"dropping-particle":"","family":"Schmoll","given":"Monika","non-dropping-particle":"","parse-names":false,"suffix":""}],"container-title":"Applied Microbiology and Biotechnology","id":"ITEM-1","issue":"5","issued":{"date-parts":[["2010","2","14"]]},"page":"1259-1277","publisher":"Springer-Verlag","title":"Light regulation of metabolic pathways in fungi","type":"article-journal","volume":"85"},"uris":["http://www.mendeley.com/documents/?uuid=e45acbdc-59a1-3c86-868f-189407de6888"]}],"mendeley":{"formattedCitation":"[52]","plainTextFormattedCitation":"[52]","previouslyFormattedCitation":"[52]"},"properties":{"noteIndex":0},"schema":"https://github.com/citation-style-language/schema/raw/master/csl-citation.json"}</w:instrText>
      </w:r>
      <w:r w:rsidR="00AF0EA8">
        <w:rPr>
          <w:rFonts w:cs="Arial"/>
          <w:szCs w:val="24"/>
          <w:lang w:val="es-MX"/>
        </w:rPr>
        <w:fldChar w:fldCharType="separate"/>
      </w:r>
      <w:r w:rsidR="00AF0EA8" w:rsidRPr="00AF0EA8">
        <w:rPr>
          <w:rFonts w:cs="Arial"/>
          <w:noProof/>
          <w:szCs w:val="24"/>
          <w:lang w:val="es-MX"/>
        </w:rPr>
        <w:t>[52]</w:t>
      </w:r>
      <w:r w:rsidR="00AF0EA8">
        <w:rPr>
          <w:rFonts w:cs="Arial"/>
          <w:szCs w:val="24"/>
          <w:lang w:val="es-MX"/>
        </w:rPr>
        <w:fldChar w:fldCharType="end"/>
      </w:r>
      <w:r w:rsidR="00AF0EA8">
        <w:rPr>
          <w:rFonts w:cs="Arial"/>
          <w:szCs w:val="24"/>
          <w:lang w:val="es-MX"/>
        </w:rPr>
        <w:t xml:space="preserve"> afectando las respuestas metabólicas y fisiológicas.</w:t>
      </w:r>
    </w:p>
    <w:p w14:paraId="57B79BFB" w14:textId="6800A36D" w:rsidR="00AF0EA8" w:rsidRDefault="00AF0EA8" w:rsidP="002323D7">
      <w:pPr>
        <w:spacing w:after="0" w:line="360" w:lineRule="auto"/>
        <w:rPr>
          <w:rFonts w:cs="Arial"/>
          <w:szCs w:val="24"/>
          <w:lang w:val="es-MX"/>
        </w:rPr>
      </w:pPr>
    </w:p>
    <w:p w14:paraId="7B8A7D23" w14:textId="196C1B63" w:rsidR="00AF0EA8" w:rsidRDefault="00AF0EA8" w:rsidP="006979FD">
      <w:pPr>
        <w:spacing w:after="0" w:line="360" w:lineRule="auto"/>
        <w:rPr>
          <w:rFonts w:cs="Arial"/>
          <w:szCs w:val="24"/>
          <w:lang w:val="es-MX"/>
        </w:rPr>
      </w:pPr>
      <w:r w:rsidRPr="001133CE">
        <w:rPr>
          <w:rFonts w:cs="Arial"/>
          <w:szCs w:val="24"/>
          <w:lang w:val="es-MX"/>
        </w:rPr>
        <w:t>El estrés lumínico hace referencia al efecto causado por una exposición inusual o excesiva a la luz, la cual puede causar elevadas temperaturas, desecación y estrés osmótico</w:t>
      </w:r>
      <w:r w:rsidR="006979FD">
        <w:rPr>
          <w:rFonts w:cs="Arial"/>
          <w:szCs w:val="24"/>
          <w:lang w:val="es-MX"/>
        </w:rPr>
        <w:t>; e</w:t>
      </w:r>
      <w:r w:rsidRPr="001133CE">
        <w:rPr>
          <w:rFonts w:cs="Arial"/>
          <w:szCs w:val="24"/>
          <w:lang w:val="es-MX"/>
        </w:rPr>
        <w:t>stos cambios, al igual que otros tipos de estrés, ocasionan que los organismos interpreten su entorno, se adapten y aseguren su s</w:t>
      </w:r>
      <w:r w:rsidR="006979FD">
        <w:rPr>
          <w:rFonts w:cs="Arial"/>
          <w:szCs w:val="24"/>
          <w:lang w:val="es-MX"/>
        </w:rPr>
        <w:t>upervivencia y su reproducción, pocos</w:t>
      </w:r>
      <w:r w:rsidRPr="001133CE">
        <w:rPr>
          <w:rFonts w:cs="Arial"/>
          <w:szCs w:val="24"/>
          <w:lang w:val="es-MX"/>
        </w:rPr>
        <w:t xml:space="preserve"> estudios </w:t>
      </w:r>
      <w:r w:rsidR="006979FD">
        <w:rPr>
          <w:rFonts w:cs="Arial"/>
          <w:szCs w:val="24"/>
          <w:lang w:val="es-MX"/>
        </w:rPr>
        <w:t>han analizado la</w:t>
      </w:r>
      <w:r w:rsidRPr="001133CE">
        <w:rPr>
          <w:rFonts w:cs="Arial"/>
          <w:szCs w:val="24"/>
          <w:lang w:val="es-MX"/>
        </w:rPr>
        <w:t xml:space="preserve"> relación de las proteínas G y </w:t>
      </w:r>
      <w:r w:rsidR="006979FD">
        <w:rPr>
          <w:rFonts w:cs="Arial"/>
          <w:szCs w:val="24"/>
          <w:lang w:val="es-MX"/>
        </w:rPr>
        <w:t xml:space="preserve">la respuesta al estrés lumínico, y algunos resultados no permiten establecer un patrón en el papel de la Gα </w:t>
      </w:r>
      <w:r w:rsidR="00B30FAB">
        <w:rPr>
          <w:rFonts w:cs="Arial"/>
          <w:szCs w:val="24"/>
          <w:lang w:val="es-MX"/>
        </w:rPr>
        <w:t>en respuesta a la luz.</w:t>
      </w:r>
    </w:p>
    <w:p w14:paraId="63636AA5" w14:textId="77777777" w:rsidR="00B30FAB" w:rsidRDefault="00B30FAB" w:rsidP="006979FD">
      <w:pPr>
        <w:spacing w:after="0" w:line="360" w:lineRule="auto"/>
        <w:rPr>
          <w:rFonts w:cs="Arial"/>
          <w:szCs w:val="24"/>
          <w:lang w:val="es-MX"/>
        </w:rPr>
      </w:pPr>
    </w:p>
    <w:p w14:paraId="4F886E41" w14:textId="7D46E26B" w:rsidR="006979FD" w:rsidRDefault="00B30FAB" w:rsidP="00B30FAB">
      <w:pPr>
        <w:spacing w:after="0" w:line="360" w:lineRule="auto"/>
        <w:rPr>
          <w:rFonts w:cs="Arial"/>
          <w:szCs w:val="24"/>
          <w:lang w:val="es-MX"/>
        </w:rPr>
      </w:pPr>
      <w:r>
        <w:rPr>
          <w:rFonts w:cs="Arial"/>
          <w:szCs w:val="24"/>
          <w:lang w:val="es-MX"/>
        </w:rPr>
        <w:t xml:space="preserve">En el caso de </w:t>
      </w:r>
      <w:r w:rsidR="00182C49" w:rsidRPr="0019085F">
        <w:rPr>
          <w:rFonts w:cs="Arial"/>
          <w:i/>
          <w:szCs w:val="24"/>
          <w:lang w:val="es-MX"/>
        </w:rPr>
        <w:t>H</w:t>
      </w:r>
      <w:r w:rsidRPr="0019085F">
        <w:rPr>
          <w:rFonts w:cs="Arial"/>
          <w:i/>
          <w:szCs w:val="24"/>
          <w:lang w:val="es-MX"/>
        </w:rPr>
        <w:t>.</w:t>
      </w:r>
      <w:r w:rsidR="00182C49" w:rsidRPr="0019085F">
        <w:rPr>
          <w:rFonts w:cs="Arial"/>
          <w:i/>
          <w:szCs w:val="24"/>
          <w:lang w:val="es-MX"/>
        </w:rPr>
        <w:t xml:space="preserve"> jecorina</w:t>
      </w:r>
      <w:r w:rsidR="00182C49">
        <w:rPr>
          <w:rFonts w:cs="Arial"/>
          <w:szCs w:val="24"/>
          <w:lang w:val="es-MX"/>
        </w:rPr>
        <w:t xml:space="preserve"> se encontró que Gα</w:t>
      </w:r>
      <w:r w:rsidR="0019085F">
        <w:rPr>
          <w:rFonts w:cs="Arial"/>
          <w:szCs w:val="24"/>
          <w:lang w:val="es-MX"/>
        </w:rPr>
        <w:t xml:space="preserve"> gna1</w:t>
      </w:r>
      <w:r w:rsidR="00182C49">
        <w:rPr>
          <w:rFonts w:cs="Arial"/>
          <w:szCs w:val="24"/>
          <w:lang w:val="es-MX"/>
        </w:rPr>
        <w:t xml:space="preserve"> transmite una señal esencial para la transcripción de los genes de celulasa</w:t>
      </w:r>
      <w:r w:rsidR="0019085F">
        <w:rPr>
          <w:rFonts w:cs="Arial"/>
          <w:szCs w:val="24"/>
          <w:lang w:val="es-MX"/>
        </w:rPr>
        <w:t>s</w:t>
      </w:r>
      <w:r w:rsidR="00182C49">
        <w:rPr>
          <w:rFonts w:cs="Arial"/>
          <w:szCs w:val="24"/>
          <w:lang w:val="es-MX"/>
        </w:rPr>
        <w:t xml:space="preserve"> en presencia de luz, mientras que en total oscuridad no interviene en la expresión de estos genes, bajo condiciones de estrés osmótico la luz favorece el crecimiento vegetativo, mientras que bajo estrés oxidativo, Gα proporciona </w:t>
      </w:r>
      <w:r w:rsidR="006979FD">
        <w:rPr>
          <w:rFonts w:cs="Arial"/>
          <w:szCs w:val="24"/>
          <w:lang w:val="es-MX"/>
        </w:rPr>
        <w:t>menor resistencia, observándose un decrecimiento en el diámetro de las colonias respecto a la cepa silvestre, la cual ve ligeramente favorecido su crecimiento en presencia de Luz en condiciones no estresantes</w:t>
      </w:r>
      <w:r w:rsidR="006979FD">
        <w:rPr>
          <w:rFonts w:cs="Arial"/>
          <w:szCs w:val="24"/>
          <w:lang w:val="es-MX"/>
        </w:rPr>
        <w:fldChar w:fldCharType="begin" w:fldLock="1"/>
      </w:r>
      <w:r w:rsidR="001537EC">
        <w:rPr>
          <w:rFonts w:cs="Arial"/>
          <w:szCs w:val="24"/>
          <w:lang w:val="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mendeley":{"formattedCitation":"[47]","plainTextFormattedCitation":"[47]","previouslyFormattedCitation":"[47]"},"properties":{"noteIndex":0},"schema":"https://github.com/citation-style-language/schema/raw/master/csl-citation.json"}</w:instrText>
      </w:r>
      <w:r w:rsidR="006979FD">
        <w:rPr>
          <w:rFonts w:cs="Arial"/>
          <w:szCs w:val="24"/>
          <w:lang w:val="es-MX"/>
        </w:rPr>
        <w:fldChar w:fldCharType="separate"/>
      </w:r>
      <w:r w:rsidR="006979FD" w:rsidRPr="006979FD">
        <w:rPr>
          <w:rFonts w:cs="Arial"/>
          <w:noProof/>
          <w:szCs w:val="24"/>
          <w:lang w:val="es-MX"/>
        </w:rPr>
        <w:t>[47]</w:t>
      </w:r>
      <w:r w:rsidR="006979FD">
        <w:rPr>
          <w:rFonts w:cs="Arial"/>
          <w:szCs w:val="24"/>
          <w:lang w:val="es-MX"/>
        </w:rPr>
        <w:fldChar w:fldCharType="end"/>
      </w:r>
      <w:r w:rsidR="006979FD">
        <w:rPr>
          <w:rFonts w:cs="Arial"/>
          <w:szCs w:val="24"/>
          <w:lang w:val="es-MX"/>
        </w:rPr>
        <w:t>.</w:t>
      </w:r>
    </w:p>
    <w:p w14:paraId="23690F38" w14:textId="77777777" w:rsidR="00B92B62" w:rsidRDefault="00B92B62" w:rsidP="00B30FAB">
      <w:pPr>
        <w:spacing w:after="0" w:line="360" w:lineRule="auto"/>
        <w:rPr>
          <w:rFonts w:cs="Arial"/>
          <w:szCs w:val="24"/>
          <w:lang w:val="es-MX"/>
        </w:rPr>
      </w:pPr>
    </w:p>
    <w:p w14:paraId="69155E04" w14:textId="4BDD71DE" w:rsidR="00C8555C" w:rsidRDefault="0019085F" w:rsidP="00B30FAB">
      <w:pPr>
        <w:spacing w:after="0" w:line="360" w:lineRule="auto"/>
        <w:rPr>
          <w:rFonts w:cs="Arial"/>
          <w:szCs w:val="24"/>
          <w:lang w:val="es-MX"/>
        </w:rPr>
      </w:pPr>
      <w:r>
        <w:rPr>
          <w:rFonts w:cs="Arial"/>
          <w:szCs w:val="24"/>
          <w:lang w:val="es-MX"/>
        </w:rPr>
        <w:t>La participación de la subunidad GNA1 está asociada a la presencia de proteínas con domin</w:t>
      </w:r>
      <w:r w:rsidR="00EA2E5E">
        <w:rPr>
          <w:rFonts w:cs="Arial"/>
          <w:szCs w:val="24"/>
          <w:lang w:val="es-MX"/>
        </w:rPr>
        <w:t>i</w:t>
      </w:r>
      <w:r>
        <w:rPr>
          <w:rFonts w:cs="Arial"/>
          <w:szCs w:val="24"/>
          <w:lang w:val="es-MX"/>
        </w:rPr>
        <w:t>os PAS/LOV</w:t>
      </w:r>
      <w:r w:rsidR="008048D9">
        <w:rPr>
          <w:rFonts w:cs="Arial"/>
          <w:szCs w:val="24"/>
          <w:lang w:val="es-MX"/>
        </w:rPr>
        <w:t xml:space="preserve"> (</w:t>
      </w:r>
      <w:r w:rsidR="008048D9" w:rsidRPr="008048D9">
        <w:rPr>
          <w:rFonts w:cs="Arial"/>
          <w:szCs w:val="24"/>
          <w:lang w:val="es-MX"/>
        </w:rPr>
        <w:t>Per-ARNT-Sim (PAS)</w:t>
      </w:r>
      <w:r w:rsidR="008048D9">
        <w:rPr>
          <w:rFonts w:cs="Arial"/>
          <w:szCs w:val="24"/>
          <w:lang w:val="es-MX"/>
        </w:rPr>
        <w:t>/ Light-Oxigen-Voltage/LOV)</w:t>
      </w:r>
      <w:r w:rsidRPr="008048D9">
        <w:rPr>
          <w:rFonts w:cs="Arial"/>
          <w:szCs w:val="24"/>
          <w:lang w:val="es-MX"/>
        </w:rPr>
        <w:t>,</w:t>
      </w:r>
      <w:r>
        <w:rPr>
          <w:rFonts w:cs="Arial"/>
          <w:szCs w:val="24"/>
          <w:lang w:val="es-MX"/>
        </w:rPr>
        <w:t xml:space="preserve"> como ENVOY codificada por </w:t>
      </w:r>
      <w:r w:rsidR="00C8555C">
        <w:rPr>
          <w:rFonts w:cs="Arial"/>
          <w:szCs w:val="24"/>
          <w:lang w:val="es-MX"/>
        </w:rPr>
        <w:t xml:space="preserve">el gen </w:t>
      </w:r>
      <w:r>
        <w:rPr>
          <w:rFonts w:cs="Arial"/>
          <w:szCs w:val="24"/>
          <w:lang w:val="es-MX"/>
        </w:rPr>
        <w:t>env1</w:t>
      </w:r>
      <w:r w:rsidR="008048D9">
        <w:rPr>
          <w:rFonts w:cs="Arial"/>
          <w:szCs w:val="24"/>
          <w:lang w:val="es-MX"/>
        </w:rPr>
        <w:t xml:space="preserve"> </w:t>
      </w:r>
      <w:r w:rsidR="00C8555C">
        <w:rPr>
          <w:rFonts w:cs="Arial"/>
          <w:szCs w:val="24"/>
          <w:lang w:val="es-MX"/>
        </w:rPr>
        <w:t>en presencia de luz</w:t>
      </w:r>
      <w:r w:rsidR="008048D9">
        <w:rPr>
          <w:rFonts w:cs="Arial"/>
          <w:szCs w:val="24"/>
          <w:lang w:val="es-MX"/>
        </w:rPr>
        <w:t>,</w:t>
      </w:r>
      <w:r w:rsidR="00C8555C">
        <w:rPr>
          <w:rFonts w:cs="Arial"/>
          <w:szCs w:val="24"/>
          <w:lang w:val="es-MX"/>
        </w:rPr>
        <w:t xml:space="preserve"> cepas con deleción de éste gen presentan decrecimiento en la concentración del AMPc intracelular, baja conidiación, menor tasa de crecimiento vegetativo</w:t>
      </w:r>
      <w:r w:rsidR="001537EC">
        <w:rPr>
          <w:rFonts w:cs="Arial"/>
          <w:szCs w:val="24"/>
          <w:lang w:val="es-MX"/>
        </w:rPr>
        <w:t xml:space="preserve"> </w:t>
      </w:r>
      <w:r w:rsidR="00C8555C">
        <w:rPr>
          <w:rFonts w:cs="Arial"/>
          <w:szCs w:val="24"/>
          <w:lang w:val="es-MX"/>
        </w:rPr>
        <w:t>aun cuando hay una señal constitutivamente activa de GNA1, y muestra un fenotipo similar al que se presenta bajo una señal constitutivamente activa de gna1 en total oscuridad</w:t>
      </w:r>
      <w:r w:rsidR="008048D9">
        <w:rPr>
          <w:rFonts w:cs="Arial"/>
          <w:szCs w:val="24"/>
          <w:lang w:val="es-MX"/>
        </w:rPr>
        <w:fldChar w:fldCharType="begin" w:fldLock="1"/>
      </w:r>
      <w:r w:rsidR="008048D9">
        <w:rPr>
          <w:rFonts w:cs="Arial"/>
          <w:szCs w:val="24"/>
          <w:lang w:val="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reesei)","type":"article-journal","volume":"7"},"uris":["http://www.mendeley.com/documents/?uuid=c960c8b3-d775-4a61-8f68-870d28ebc9be"]},{"id":"ITEM-2","itemData":{"ISSN":"1942-0889","PMID":"19721873","abstract":"Almost all creatures have invented sophisticated mechanisms to adjust their developmental and metabolic processes to the changing light intensities in day and night. Recent findings suggest that one such mechanism is signaling via heterotrimeric G-proteins.1 The Trichoderma reesei (anamorph of Hypocrea jecorina) G-alpha subunit gene gna3 was found to be responsive to light and influenced by the light regulatory protein ENVOY.2 GNA3 significantly impacts regulation of cellulase gene expression only in light.1 While the exact mechanism of this regulation remains to be determined, first hints point to a regulation at the transcriptional level, since we observed light induced complex formation within the gna3 promotor. At least some of the components of this putatively regulatory protein complex also bind to the env1-promotor. These data indicate that the signal related by GNA3 is of light-dependent significance for H. jecorina and that the pathway of heterotrimeric G-protein signaling may be a target of the light perception machinery in fungi.","author":[{"dropping-particle":"","family":"Schuster","given":"André","non-dropping-particle":"","parse-names":false,"suffix":""},{"dropping-particle":"","family":"Schmoll","given":"Monika","non-dropping-particle":"","parse-names":false,"suffix":""}],"container-title":"Communicative &amp; integrative biology","id":"ITEM-2","issue":"4","issued":{"date-parts":[["2009","7"]]},"page":"308-10","title":"Heterotrimeric G-protein signaling and light response: Two signaling pathways coordinated for optimal adjustment to nature.","type":"article-journal","volume":"2"},"uris":["http://www.mendeley.com/documents/?uuid=0b2d8a03-22be-3325-8d0a-ce8d95cd424e"]}],"mendeley":{"formattedCitation":"[47], [56]","plainTextFormattedCitation":"[47], [56]"},"properties":{"noteIndex":0},"schema":"https://github.com/citation-style-language/schema/raw/master/csl-citation.json"}</w:instrText>
      </w:r>
      <w:r w:rsidR="008048D9">
        <w:rPr>
          <w:rFonts w:cs="Arial"/>
          <w:szCs w:val="24"/>
          <w:lang w:val="es-MX"/>
        </w:rPr>
        <w:fldChar w:fldCharType="separate"/>
      </w:r>
      <w:r w:rsidR="008048D9" w:rsidRPr="008048D9">
        <w:rPr>
          <w:rFonts w:cs="Arial"/>
          <w:noProof/>
          <w:szCs w:val="24"/>
          <w:lang w:val="es-MX"/>
        </w:rPr>
        <w:t>[47], [56]</w:t>
      </w:r>
      <w:r w:rsidR="008048D9">
        <w:rPr>
          <w:rFonts w:cs="Arial"/>
          <w:szCs w:val="24"/>
          <w:lang w:val="es-MX"/>
        </w:rPr>
        <w:fldChar w:fldCharType="end"/>
      </w:r>
      <w:r w:rsidR="00C8555C">
        <w:rPr>
          <w:rFonts w:cs="Arial"/>
          <w:szCs w:val="24"/>
          <w:lang w:val="es-MX"/>
        </w:rPr>
        <w:t>.</w:t>
      </w:r>
    </w:p>
    <w:p w14:paraId="0D7DC29F" w14:textId="77777777" w:rsidR="001537EC" w:rsidRDefault="001537EC" w:rsidP="00B30FAB">
      <w:pPr>
        <w:spacing w:after="0" w:line="360" w:lineRule="auto"/>
        <w:rPr>
          <w:rFonts w:cs="Arial"/>
          <w:szCs w:val="24"/>
          <w:lang w:val="es-MX"/>
        </w:rPr>
      </w:pPr>
    </w:p>
    <w:p w14:paraId="42CD1A66" w14:textId="4F032F2C" w:rsidR="00C8555C" w:rsidRDefault="00C8555C" w:rsidP="00B30FAB">
      <w:pPr>
        <w:spacing w:after="0" w:line="360" w:lineRule="auto"/>
        <w:rPr>
          <w:rFonts w:cs="Arial"/>
          <w:szCs w:val="24"/>
          <w:lang w:val="es-MX"/>
        </w:rPr>
      </w:pPr>
      <w:r>
        <w:rPr>
          <w:rFonts w:cs="Arial"/>
          <w:szCs w:val="24"/>
          <w:lang w:val="es-MX"/>
        </w:rPr>
        <w:t xml:space="preserve">La red de trabajo env1-gna1-gna3 regulan la señal intracelular, donde env1 influencia los niveles de transcripción de gna3 que a su vez regula </w:t>
      </w:r>
      <w:r w:rsidR="004F12E9">
        <w:rPr>
          <w:rFonts w:cs="Arial"/>
          <w:szCs w:val="24"/>
          <w:lang w:val="es-MX"/>
        </w:rPr>
        <w:t xml:space="preserve">negativamente el efecto de ENV1, así como </w:t>
      </w:r>
      <w:r>
        <w:rPr>
          <w:rFonts w:cs="Arial"/>
          <w:szCs w:val="24"/>
          <w:lang w:val="es-MX"/>
        </w:rPr>
        <w:t>la influencia de la luz sobre GNA1 y GNA3</w:t>
      </w:r>
      <w:r w:rsidR="004F12E9">
        <w:rPr>
          <w:rFonts w:cs="Arial"/>
          <w:szCs w:val="24"/>
          <w:lang w:val="es-MX"/>
        </w:rPr>
        <w:t>. En oscuridad los niveles de transcripción de env1 son bajos e incrementan 400veces luego de 15 minutos de exposición a la luz. En mutantes con env1:Δgna1 los niveles de transcripción en respuesta a la luz son similares a los de la cepa silvestre, y</w:t>
      </w:r>
      <w:r w:rsidR="007B7269">
        <w:rPr>
          <w:rFonts w:cs="Arial"/>
          <w:szCs w:val="24"/>
          <w:lang w:val="es-MX"/>
        </w:rPr>
        <w:t xml:space="preserve"> desencadena una fuerte respuesta en el que GNA1 tiene un efecto </w:t>
      </w:r>
      <w:r w:rsidR="004F12E9">
        <w:rPr>
          <w:rFonts w:cs="Arial"/>
          <w:szCs w:val="24"/>
          <w:lang w:val="es-MX"/>
        </w:rPr>
        <w:t xml:space="preserve">negativo sobre la </w:t>
      </w:r>
      <w:r w:rsidR="007B7269">
        <w:rPr>
          <w:rFonts w:cs="Arial"/>
          <w:szCs w:val="24"/>
          <w:lang w:val="es-MX"/>
        </w:rPr>
        <w:t>transcripción de env1</w:t>
      </w:r>
      <w:r w:rsidR="001537EC">
        <w:rPr>
          <w:rFonts w:cs="Arial"/>
          <w:szCs w:val="24"/>
          <w:lang w:val="es-MX"/>
        </w:rPr>
        <w:fldChar w:fldCharType="begin" w:fldLock="1"/>
      </w:r>
      <w:r w:rsidR="00B92B62">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1537EC">
        <w:rPr>
          <w:rFonts w:cs="Arial"/>
          <w:szCs w:val="24"/>
          <w:lang w:val="es-MX"/>
        </w:rPr>
        <w:fldChar w:fldCharType="separate"/>
      </w:r>
      <w:r w:rsidR="001537EC" w:rsidRPr="001537EC">
        <w:rPr>
          <w:rFonts w:cs="Arial"/>
          <w:noProof/>
          <w:szCs w:val="24"/>
          <w:lang w:val="es-MX"/>
        </w:rPr>
        <w:t>[23]</w:t>
      </w:r>
      <w:r w:rsidR="001537EC">
        <w:rPr>
          <w:rFonts w:cs="Arial"/>
          <w:szCs w:val="24"/>
          <w:lang w:val="es-MX"/>
        </w:rPr>
        <w:fldChar w:fldCharType="end"/>
      </w:r>
      <w:r w:rsidR="001537EC">
        <w:rPr>
          <w:rFonts w:cs="Arial"/>
          <w:szCs w:val="24"/>
          <w:lang w:val="es-MX"/>
        </w:rPr>
        <w:t xml:space="preserve">. </w:t>
      </w:r>
    </w:p>
    <w:p w14:paraId="428E4729" w14:textId="77777777" w:rsidR="001537EC" w:rsidRDefault="001537EC" w:rsidP="00B30FAB">
      <w:pPr>
        <w:spacing w:after="0" w:line="360" w:lineRule="auto"/>
        <w:rPr>
          <w:rFonts w:cs="Arial"/>
          <w:szCs w:val="24"/>
          <w:lang w:val="es-MX"/>
        </w:rPr>
      </w:pPr>
    </w:p>
    <w:p w14:paraId="7C3EC967" w14:textId="3637A057" w:rsidR="00C8555C" w:rsidRDefault="007B7269" w:rsidP="00B30FAB">
      <w:pPr>
        <w:spacing w:after="0" w:line="360" w:lineRule="auto"/>
        <w:rPr>
          <w:rFonts w:cs="Arial"/>
          <w:szCs w:val="24"/>
          <w:lang w:val="es-MX"/>
        </w:rPr>
      </w:pPr>
      <w:r>
        <w:rPr>
          <w:rFonts w:cs="Arial"/>
          <w:szCs w:val="24"/>
          <w:lang w:val="es-MX"/>
        </w:rPr>
        <w:t>Ambas subunidades GNA1 se activa en presencia de glicerol y GNA3 lo hace en presencia de celulosa, bajo señal constitutivamente activa la transcripción de estas subunidades aumenta 5 a 10 veces</w:t>
      </w:r>
      <w:r w:rsidR="00D83711">
        <w:rPr>
          <w:rFonts w:cs="Arial"/>
          <w:szCs w:val="24"/>
          <w:lang w:val="es-MX"/>
        </w:rPr>
        <w:t>, siendo mayor la transcripción de gna1 con exposición continua a luz durante 60 min y en total oscuridad, mientras que la transcripción de gna3 es mayor a una exposición de luz constante de 15 y 30 minutos que en condición de total oscuridad, siendo ENV1 un regulador de la señal de ambas Gα en presencia de luz, más no interfiere en la señal en condiciones de oscuridad, igualmente regula la producción de celulasas por via de la</w:t>
      </w:r>
      <w:r w:rsidR="001537EC">
        <w:rPr>
          <w:rFonts w:cs="Arial"/>
          <w:szCs w:val="24"/>
          <w:lang w:val="es-MX"/>
        </w:rPr>
        <w:t>s GNA1 y GNA3, esta relación obedece a la presencia del motivo EUM1</w:t>
      </w:r>
      <w:r w:rsidR="00B92B62">
        <w:rPr>
          <w:rFonts w:cs="Arial"/>
          <w:szCs w:val="24"/>
          <w:lang w:val="es-MX"/>
        </w:rPr>
        <w:t xml:space="preserve"> derivado del promotor de env1, el cual está </w:t>
      </w:r>
      <w:r w:rsidR="001537EC">
        <w:rPr>
          <w:rFonts w:cs="Arial"/>
          <w:szCs w:val="24"/>
          <w:lang w:val="es-MX"/>
        </w:rPr>
        <w:t xml:space="preserve">presente </w:t>
      </w:r>
      <w:r w:rsidR="00B92B62">
        <w:rPr>
          <w:rFonts w:cs="Arial"/>
          <w:szCs w:val="24"/>
          <w:lang w:val="es-MX"/>
        </w:rPr>
        <w:t xml:space="preserve">hasta cinco veces </w:t>
      </w:r>
      <w:r w:rsidR="001537EC">
        <w:rPr>
          <w:rFonts w:cs="Arial"/>
          <w:szCs w:val="24"/>
          <w:lang w:val="es-MX"/>
        </w:rPr>
        <w:t xml:space="preserve">en el promotor de gna3, que en presencia de luz </w:t>
      </w:r>
      <w:r w:rsidR="00B92B62">
        <w:rPr>
          <w:rFonts w:cs="Arial"/>
          <w:szCs w:val="24"/>
          <w:lang w:val="es-MX"/>
        </w:rPr>
        <w:t xml:space="preserve">interactúa con </w:t>
      </w:r>
      <w:r w:rsidR="001537EC">
        <w:rPr>
          <w:rFonts w:cs="Arial"/>
          <w:szCs w:val="24"/>
          <w:lang w:val="es-MX"/>
        </w:rPr>
        <w:t>ENV</w:t>
      </w:r>
      <w:r w:rsidR="00B92B62">
        <w:rPr>
          <w:rFonts w:cs="Arial"/>
          <w:szCs w:val="24"/>
          <w:lang w:val="es-MX"/>
        </w:rPr>
        <w:t>1, formándose un posible complejo por unión de GNA3 a EUM1 y ENV1</w:t>
      </w:r>
      <w:r w:rsidR="00B92B62">
        <w:rPr>
          <w:rFonts w:cs="Arial"/>
          <w:szCs w:val="24"/>
          <w:lang w:val="es-MX"/>
        </w:rPr>
        <w:fldChar w:fldCharType="begin" w:fldLock="1"/>
      </w:r>
      <w:r w:rsidR="008048D9">
        <w:rPr>
          <w:rFonts w:cs="Arial"/>
          <w:szCs w:val="24"/>
          <w:lang w:val="es-MX"/>
        </w:rPr>
        <w:instrText>ADDIN CSL_CITATION {"citationItems":[{"id":"ITEM-1","itemData":{"ISSN":"1942-0889","PMID":"19721873","abstract":"Almost all creatures have invented sophisticated mechanisms to adjust their developmental and metabolic processes to the changing light intensities in day and night. Recent findings suggest that one such mechanism is signaling via heterotrimeric G-proteins.1 The Trichoderma reesei (anamorph of Hypocrea jecorina) G-alpha subunit gene gna3 was found to be responsive to light and influenced by the light regulatory protein ENVOY.2 GNA3 significantly impacts regulation of cellulase gene expression only in light.1 While the exact mechanism of this regulation remains to be determined, first hints point to a regulation at the transcriptional level, since we observed light induced complex formation within the gna3 promotor. At least some of the components of this putatively regulatory protein complex also bind to the env1-promotor. These data indicate that the signal related by GNA3 is of light-dependent significance for H. jecorina and that the pathway of heterotrimeric G-protein signaling may be a target of the light perception machinery in fungi.","author":[{"dropping-particle":"","family":"Schuster","given":"André","non-dropping-particle":"","parse-names":false,"suffix":""},{"dropping-particle":"","family":"Schmoll","given":"Monika","non-dropping-particle":"","parse-names":false,"suffix":""}],"container-title":"Communicative &amp; integrative biology","id":"ITEM-1","issue":"4","issued":{"date-parts":[["2009","7"]]},"page":"308-10","title":"Heterotrimeric G-protein signaling and light response: Two signaling pathways coordinated for optimal adjustment to nature.","type":"article-journal","volume":"2"},"uris":["http://www.mendeley.com/documents/?uuid=0b2d8a03-22be-3325-8d0a-ce8d95cd424e"]}],"mendeley":{"formattedCitation":"[56]","plainTextFormattedCitation":"[56]","previouslyFormattedCitation":"[56]"},"properties":{"noteIndex":0},"schema":"https://github.com/citation-style-language/schema/raw/master/csl-citation.json"}</w:instrText>
      </w:r>
      <w:r w:rsidR="00B92B62">
        <w:rPr>
          <w:rFonts w:cs="Arial"/>
          <w:szCs w:val="24"/>
          <w:lang w:val="es-MX"/>
        </w:rPr>
        <w:fldChar w:fldCharType="separate"/>
      </w:r>
      <w:r w:rsidR="00B92B62" w:rsidRPr="00B92B62">
        <w:rPr>
          <w:rFonts w:cs="Arial"/>
          <w:noProof/>
          <w:szCs w:val="24"/>
          <w:lang w:val="es-MX"/>
        </w:rPr>
        <w:t>[56]</w:t>
      </w:r>
      <w:r w:rsidR="00B92B62">
        <w:rPr>
          <w:rFonts w:cs="Arial"/>
          <w:szCs w:val="24"/>
          <w:lang w:val="es-MX"/>
        </w:rPr>
        <w:fldChar w:fldCharType="end"/>
      </w:r>
    </w:p>
    <w:p w14:paraId="3F1D7BCE" w14:textId="23D9A173" w:rsidR="003D67A9" w:rsidRDefault="003D67A9" w:rsidP="00B30FAB">
      <w:pPr>
        <w:spacing w:after="0" w:line="360" w:lineRule="auto"/>
        <w:rPr>
          <w:rFonts w:cs="Arial"/>
          <w:szCs w:val="24"/>
          <w:lang w:val="es-MX"/>
        </w:rPr>
      </w:pPr>
    </w:p>
    <w:p w14:paraId="6F138C05" w14:textId="278F526A" w:rsidR="003D67A9" w:rsidRDefault="003D67A9" w:rsidP="00B30FAB">
      <w:pPr>
        <w:spacing w:after="0" w:line="360" w:lineRule="auto"/>
        <w:rPr>
          <w:rFonts w:cs="Arial"/>
          <w:szCs w:val="24"/>
          <w:lang w:val="es-MX"/>
        </w:rPr>
      </w:pPr>
      <w:r>
        <w:rPr>
          <w:rFonts w:cs="Arial"/>
          <w:szCs w:val="24"/>
          <w:lang w:val="es-MX"/>
        </w:rPr>
        <w:t xml:space="preserve">Dado que GNA3 regula mayormente los niveles de AMPc, mientras que GNA1 influye moderadamente en los mismos, donde la concentración de AMPc regula la expresión de los genes celulasas, y sus niveles intracelulares responden a la luz, se pudo observar que la señal derivada el env1 afecta la concentración de AMPc intracelular, existiendo una correlación positiva entre la actividad ENV1, el crecimiento hifal y los niveles de AMPc, </w:t>
      </w:r>
      <w:r w:rsidR="001537EC">
        <w:rPr>
          <w:rFonts w:cs="Arial"/>
          <w:szCs w:val="24"/>
          <w:lang w:val="es-MX"/>
        </w:rPr>
        <w:t>y una correlació</w:t>
      </w:r>
      <w:r>
        <w:rPr>
          <w:rFonts w:cs="Arial"/>
          <w:szCs w:val="24"/>
          <w:lang w:val="es-MX"/>
        </w:rPr>
        <w:t xml:space="preserve">n negativa entre ENV1 y </w:t>
      </w:r>
      <w:r w:rsidR="001537EC">
        <w:rPr>
          <w:rFonts w:cs="Arial"/>
          <w:szCs w:val="24"/>
          <w:lang w:val="es-MX"/>
        </w:rPr>
        <w:t xml:space="preserve">la fosfodiesterasa PDE en presencia de luz </w:t>
      </w:r>
      <w:r w:rsidR="001537EC">
        <w:rPr>
          <w:rFonts w:cs="Arial"/>
          <w:szCs w:val="24"/>
          <w:lang w:val="es-MX"/>
        </w:rPr>
        <w:fldChar w:fldCharType="begin" w:fldLock="1"/>
      </w:r>
      <w:r w:rsidR="001537EC">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1537EC">
        <w:rPr>
          <w:rFonts w:cs="Arial"/>
          <w:szCs w:val="24"/>
          <w:lang w:val="es-MX"/>
        </w:rPr>
        <w:fldChar w:fldCharType="separate"/>
      </w:r>
      <w:r w:rsidR="001537EC" w:rsidRPr="001537EC">
        <w:rPr>
          <w:rFonts w:cs="Arial"/>
          <w:noProof/>
          <w:szCs w:val="24"/>
          <w:lang w:val="es-MX"/>
        </w:rPr>
        <w:t>[23]</w:t>
      </w:r>
      <w:r w:rsidR="001537EC">
        <w:rPr>
          <w:rFonts w:cs="Arial"/>
          <w:szCs w:val="24"/>
          <w:lang w:val="es-MX"/>
        </w:rPr>
        <w:fldChar w:fldCharType="end"/>
      </w:r>
    </w:p>
    <w:p w14:paraId="6D759A18" w14:textId="43B0E623" w:rsidR="00D83711" w:rsidRDefault="00D83711" w:rsidP="00B30FAB">
      <w:pPr>
        <w:spacing w:after="0" w:line="360" w:lineRule="auto"/>
        <w:rPr>
          <w:rFonts w:cs="Arial"/>
          <w:szCs w:val="24"/>
          <w:lang w:val="es-MX"/>
        </w:rPr>
      </w:pPr>
    </w:p>
    <w:p w14:paraId="7479AB1F" w14:textId="1C95095F" w:rsidR="001537EC" w:rsidRDefault="001537EC" w:rsidP="00B30FAB">
      <w:pPr>
        <w:spacing w:after="0" w:line="360" w:lineRule="auto"/>
        <w:rPr>
          <w:rFonts w:cs="Arial"/>
          <w:szCs w:val="24"/>
          <w:lang w:val="es-MX"/>
        </w:rPr>
      </w:pPr>
      <w:r>
        <w:rPr>
          <w:rFonts w:cs="Arial"/>
          <w:szCs w:val="24"/>
          <w:lang w:val="es-MX"/>
        </w:rPr>
        <w:t xml:space="preserve">Un mecanismo similar de regulación por Luz </w:t>
      </w:r>
      <w:r w:rsidR="00B92B62">
        <w:rPr>
          <w:rFonts w:cs="Arial"/>
          <w:szCs w:val="24"/>
          <w:lang w:val="es-MX"/>
        </w:rPr>
        <w:t xml:space="preserve">fue hallado primeramente en N crassa, </w:t>
      </w:r>
      <w:r w:rsidR="00EA2E5E">
        <w:rPr>
          <w:rFonts w:cs="Arial"/>
          <w:szCs w:val="24"/>
          <w:lang w:val="es-MX"/>
        </w:rPr>
        <w:t>donde el complejo fotoreceptor White-collar (WCC) que involucra los genes codificantes de las proteínas White collar 1 y 2 (WC-1 y WC-2) regulan al complejo VIVID (VVD), u</w:t>
      </w:r>
      <w:bookmarkStart w:id="0" w:name="_GoBack"/>
      <w:bookmarkEnd w:id="0"/>
      <w:r w:rsidR="00EA2E5E">
        <w:rPr>
          <w:rFonts w:cs="Arial"/>
          <w:szCs w:val="24"/>
          <w:lang w:val="es-MX"/>
        </w:rPr>
        <w:t>n fotoreceptor de luz azul que regula los genes del reloj circadiano, responsable de la fotoadaptación.</w:t>
      </w:r>
    </w:p>
    <w:p w14:paraId="583B8092" w14:textId="77777777" w:rsidR="00EA2E5E" w:rsidRDefault="00EA2E5E" w:rsidP="00B30FAB">
      <w:pPr>
        <w:spacing w:after="0" w:line="360" w:lineRule="auto"/>
        <w:rPr>
          <w:rFonts w:cs="Arial"/>
          <w:szCs w:val="24"/>
          <w:lang w:val="es-MX"/>
        </w:rPr>
      </w:pPr>
    </w:p>
    <w:p w14:paraId="77C17F98" w14:textId="77777777" w:rsidR="0019085F" w:rsidRDefault="0019085F" w:rsidP="00B30FAB">
      <w:pPr>
        <w:spacing w:after="0" w:line="360" w:lineRule="auto"/>
        <w:rPr>
          <w:rFonts w:cs="Arial"/>
          <w:szCs w:val="24"/>
          <w:lang w:val="es-MX"/>
        </w:rPr>
      </w:pPr>
    </w:p>
    <w:p w14:paraId="5C56494D" w14:textId="77777777" w:rsidR="006979FD" w:rsidRDefault="006979FD" w:rsidP="00182C49">
      <w:pPr>
        <w:tabs>
          <w:tab w:val="left" w:pos="6136"/>
        </w:tabs>
        <w:spacing w:after="0" w:line="360" w:lineRule="auto"/>
        <w:rPr>
          <w:rFonts w:cs="Arial"/>
          <w:szCs w:val="24"/>
          <w:lang w:val="es-MX"/>
        </w:rPr>
      </w:pPr>
    </w:p>
    <w:p w14:paraId="468FEB45" w14:textId="3C425A3D" w:rsidR="00F6028E" w:rsidRPr="001133CE" w:rsidRDefault="00F6028E" w:rsidP="002323D7">
      <w:pPr>
        <w:spacing w:after="0" w:line="360" w:lineRule="auto"/>
        <w:rPr>
          <w:rFonts w:cs="Arial"/>
          <w:szCs w:val="24"/>
          <w:lang w:val="es-MX"/>
        </w:rPr>
      </w:pPr>
      <w:r w:rsidRPr="001133CE">
        <w:rPr>
          <w:rFonts w:cs="Arial"/>
          <w:szCs w:val="24"/>
          <w:lang w:val="es-MX"/>
        </w:rPr>
        <w:t xml:space="preserve">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17566C2E"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w:t>
      </w:r>
      <w:r w:rsidR="00893F73">
        <w:rPr>
          <w:rFonts w:cs="Arial"/>
          <w:szCs w:val="24"/>
          <w:lang w:val="es-MX"/>
        </w:rPr>
        <w:t>roxinaftaleno o melanina en Cha</w:t>
      </w:r>
      <w:r w:rsidR="00995C0B">
        <w:rPr>
          <w:rFonts w:cs="Arial"/>
          <w:szCs w:val="24"/>
          <w:lang w:val="es-MX"/>
        </w:rPr>
        <w:t>e</w:t>
      </w:r>
      <w:r w:rsidR="00893F73">
        <w:rPr>
          <w:rFonts w:cs="Arial"/>
          <w:szCs w:val="24"/>
          <w:lang w:val="es-MX"/>
        </w:rPr>
        <w:t>tom</w:t>
      </w:r>
      <w:r w:rsidR="00995C0B">
        <w:rPr>
          <w:rFonts w:cs="Arial"/>
          <w:szCs w:val="24"/>
          <w:lang w:val="es-MX"/>
        </w:rPr>
        <w:t>ium</w:t>
      </w:r>
      <w:r w:rsidRPr="001133CE">
        <w:rPr>
          <w:rFonts w:cs="Arial"/>
          <w:szCs w:val="24"/>
          <w:lang w:val="es-MX"/>
        </w:rPr>
        <w:t xml:space="preserve"> globosum cuando el gna-1 de la proteína Gα del subgrupo 1 es interrumpido, disminuye la acción de pks-1 afectand</w:t>
      </w:r>
      <w:r w:rsidR="00893F73">
        <w:rPr>
          <w:rFonts w:cs="Arial"/>
          <w:szCs w:val="24"/>
          <w:lang w:val="es-MX"/>
        </w:rPr>
        <w:t>o la producción de melanina, así</w:t>
      </w:r>
      <w:r w:rsidRPr="001133CE">
        <w:rPr>
          <w:rFonts w:cs="Arial"/>
          <w:szCs w:val="24"/>
          <w:lang w:val="es-MX"/>
        </w:rPr>
        <w:t xml:space="preserve"> como afecta el normal desarrollo de peritecios o inhibe totalmente su formación</w:t>
      </w:r>
      <w:r w:rsidR="00377572">
        <w:rPr>
          <w:rFonts w:cs="Arial"/>
          <w:szCs w:val="24"/>
          <w:lang w:val="es-MX"/>
        </w:rPr>
        <w:t xml:space="preserve"> </w:t>
      </w:r>
      <w:r w:rsidR="00377572">
        <w:rPr>
          <w:rFonts w:cs="Arial"/>
          <w:szCs w:val="24"/>
          <w:lang w:val="es-MX"/>
        </w:rPr>
        <w:fldChar w:fldCharType="begin" w:fldLock="1"/>
      </w:r>
      <w:r w:rsidR="008048D9">
        <w:rPr>
          <w:rFonts w:cs="Arial"/>
          <w:szCs w:val="24"/>
          <w:lang w:val="es-MX"/>
        </w:rPr>
        <w:instrText>ADDIN CSL_CITATION {"citationItems":[{"id":"ITEM-1","itemData":{"DOI":"10.1371/journal.pone.0195553","ISSN":"1932-6203","abstract":"Sensing the environmental signals, the canonical Gα-cAMP/PKA pathway modulates mycelial growth and development, and negatively regulates some secondary metabolism in filamentous fungi, e.g. aflatoxin in Aspergillus nidulans. Here we report the characterization of this signaling pathway in Chaetomium globosum, a widely spread fungus known for synthesizing abundant secondary metabolites, e.g. chaetoglobosin A (ChA). RNAi-mediated knockdown of a putative Gα-encoding gene gna-1, led to plural changes in phenotype, e.g. albino mycelium, significant restriction on perithecium development and decreased production of ChA. RNA-seq profiling and qRT-PCR verified significantly fall in expression of corresponding genes, e.g. pks-1 and CgcheA. These defects could be restored by simultaneous knock-down of the pkaR gene encoding a regulatory subunit of cAMP-dependent protein kinase A (PKA), suggesting that pkaR had a negative effect on the above mentioned traits. Confirmatively, the intracellular level of cAMP in wild-type strain was about 3.4-fold to that in gna-1 silenced mutant pG14, and addition of a cAMP analog, 8-Br-cAMP, restored the same defects, e.g., the expression of CgcheA. Furthermore, the intracellular cAMP in gna-1 and pkaR double silenced mutant was approaching the normal level. The following activity inhibition experiment proved that the expression of CgcheA was indeed regulated by PKA. Down-regulation of LaeA/VeA/SptJ expression in gna-1 mutant was also observed, implying that Gα signaling may crosstalk to other regulatory pathways. Taken together, this study proposes that the heterotrimeric Gα protein-cAMP/PKA signaling pathway positively mediates the sexual development, melanin biosynthesis, and secondary metabolism in C. globosum.","author":[{"dropping-particle":"","family":"Hu","given":"Yang","non-dropping-particle":"","parse-names":false,"suffix":""},{"dropping-particle":"","family":"Hao","given":"Xiaoran","non-dropping-particle":"","parse-names":false,"suffix":""},{"dropping-particle":"","family":"Chen","given":"Longfei","non-dropping-particle":"","parse-names":false,"suffix":""},{"dropping-particle":"","family":"Akhberdi","given":"Oren","non-dropping-particle":"","parse-names":false,"suffix":""},{"dropping-particle":"","family":"Yu","given":"Xi","non-dropping-particle":"","parse-names":false,"suffix":""},{"dropping-particle":"","family":"Liu","given":"Yanjie","non-dropping-particle":"","parse-names":false,"suffix":""},{"dropping-particle":"","family":"Zhu","given":"Xudong","non-dropping-particle":"","parse-names":false,"suffix":""}],"container-title":"PLOS ONE","editor":[{"dropping-particle":"","family":"Borkovich","given":"Katherine A.","non-dropping-particle":"","parse-names":false,"suffix":""}],"id":"ITEM-1","issue":"4","issued":{"date-parts":[["2018","4","13"]]},"page":"e0195553","publisher":"Public Library of Science","title":"Gα-cAMP/PKA pathway positively regulates pigmentation, chaetoglobosin A biosynthesis and sexual development in Chaetomium globosum","type":"article-journal","volume":"13"},"uris":["http://www.mendeley.com/documents/?uuid=965f5f97-05d4-34b2-93ec-f1040fd4671b"]}],"mendeley":{"formattedCitation":"[57]","plainTextFormattedCitation":"[57]","previouslyFormattedCitation":"[57]"},"properties":{"noteIndex":0},"schema":"https://github.com/citation-style-language/schema/raw/master/csl-citation.json"}</w:instrText>
      </w:r>
      <w:r w:rsidR="00377572">
        <w:rPr>
          <w:rFonts w:cs="Arial"/>
          <w:szCs w:val="24"/>
          <w:lang w:val="es-MX"/>
        </w:rPr>
        <w:fldChar w:fldCharType="separate"/>
      </w:r>
      <w:r w:rsidR="00B92B62" w:rsidRPr="00B92B62">
        <w:rPr>
          <w:rFonts w:cs="Arial"/>
          <w:noProof/>
          <w:szCs w:val="24"/>
          <w:lang w:val="es-MX"/>
        </w:rPr>
        <w:t>[57]</w:t>
      </w:r>
      <w:r w:rsidR="00377572">
        <w:rPr>
          <w:rFonts w:cs="Arial"/>
          <w:szCs w:val="24"/>
          <w:lang w:val="es-MX"/>
        </w:rPr>
        <w:fldChar w:fldCharType="end"/>
      </w:r>
    </w:p>
    <w:p w14:paraId="564B4D5F" w14:textId="125E360A" w:rsidR="00F6028E" w:rsidRDefault="00F6028E" w:rsidP="002323D7">
      <w:pPr>
        <w:spacing w:after="0" w:line="360" w:lineRule="auto"/>
        <w:rPr>
          <w:rFonts w:cs="Arial"/>
          <w:szCs w:val="24"/>
          <w:lang w:val="es-MX"/>
        </w:rPr>
      </w:pPr>
    </w:p>
    <w:p w14:paraId="434BD574" w14:textId="77777777" w:rsidR="00AF0EA8" w:rsidRPr="001133CE" w:rsidRDefault="00AF0EA8" w:rsidP="002323D7">
      <w:pPr>
        <w:spacing w:after="0" w:line="360" w:lineRule="auto"/>
        <w:rPr>
          <w:rFonts w:cs="Arial"/>
          <w:szCs w:val="24"/>
          <w:lang w:val="es-MX"/>
        </w:rPr>
      </w:pPr>
    </w:p>
    <w:p w14:paraId="76210579" w14:textId="77777777" w:rsidR="00C41E1D" w:rsidRPr="00BC77BC" w:rsidRDefault="00C41E1D" w:rsidP="002323D7">
      <w:pPr>
        <w:spacing w:after="0" w:line="240" w:lineRule="auto"/>
        <w:rPr>
          <w:rFonts w:cs="Arial"/>
          <w:szCs w:val="24"/>
          <w:lang w:val="es-MX"/>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68D790D9"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8048D9">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[58]","plainTextFormattedCitation":"[58]","previouslyFormattedCitation":"[58]"},"properties":{"noteIndex":0},"schema":"https://github.com/citation-style-language/schema/raw/master/csl-citation.json"}</w:instrText>
      </w:r>
      <w:r w:rsidR="007D5144" w:rsidRPr="001133CE">
        <w:rPr>
          <w:rFonts w:cs="Arial"/>
          <w:szCs w:val="24"/>
          <w:lang w:val="es-MX"/>
        </w:rPr>
        <w:fldChar w:fldCharType="separate"/>
      </w:r>
      <w:r w:rsidR="00B92B62" w:rsidRPr="00B92B62">
        <w:rPr>
          <w:rFonts w:cs="Arial"/>
          <w:noProof/>
          <w:szCs w:val="24"/>
          <w:lang w:val="es-MX"/>
        </w:rPr>
        <w:t>[58]</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13CC9ED8"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8048D9">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[59]","plainTextFormattedCitation":"[59]","previouslyFormattedCitation":"[59]"},"properties":{"noteIndex":0},"schema":"https://github.com/citation-style-language/schema/raw/master/csl-citation.json"}</w:instrText>
      </w:r>
      <w:r w:rsidR="000F254B" w:rsidRPr="001133CE">
        <w:rPr>
          <w:rFonts w:cs="Arial"/>
          <w:szCs w:val="24"/>
          <w:lang w:val="es-MX"/>
        </w:rPr>
        <w:fldChar w:fldCharType="separate"/>
      </w:r>
      <w:r w:rsidR="00B92B62" w:rsidRPr="00B92B62">
        <w:rPr>
          <w:rFonts w:cs="Arial"/>
          <w:noProof/>
          <w:szCs w:val="24"/>
          <w:lang w:val="es-MX"/>
        </w:rPr>
        <w:t>[59]</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8048D9">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Fungi","type":"article-journal","volume":"2015"},"uris":["http://www.mendeley.com/documents/?uuid=fd2fbf7c-b624-31a5-8cbf-f8e02efd1533"]}],"mendeley":{"formattedCitation":"[60], [61]","plainTextFormattedCitation":"[60], [61]","previouslyFormattedCitation":"[60], [61]"},"properties":{"noteIndex":0},"schema":"https://github.com/citation-style-language/schema/raw/master/csl-citation.json"}</w:instrText>
      </w:r>
      <w:r w:rsidR="003648A3" w:rsidRPr="001133CE">
        <w:rPr>
          <w:rFonts w:cs="Arial"/>
          <w:szCs w:val="24"/>
          <w:lang w:val="es-MX"/>
        </w:rPr>
        <w:fldChar w:fldCharType="separate"/>
      </w:r>
      <w:r w:rsidR="00B92B62" w:rsidRPr="00B92B62">
        <w:rPr>
          <w:rFonts w:cs="Arial"/>
          <w:noProof/>
          <w:szCs w:val="24"/>
          <w:lang w:val="es-MX"/>
        </w:rPr>
        <w:t>[60], [61]</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8048D9">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[62]","plainTextFormattedCitation":"[62]","previouslyFormattedCitation":"[62]"},"properties":{"noteIndex":0},"schema":"https://github.com/citation-style-language/schema/raw/master/csl-citation.json"}</w:instrText>
      </w:r>
      <w:r w:rsidR="00401EC1" w:rsidRPr="001133CE">
        <w:rPr>
          <w:rFonts w:cs="Arial"/>
          <w:szCs w:val="24"/>
          <w:lang w:val="es-MX"/>
        </w:rPr>
        <w:fldChar w:fldCharType="separate"/>
      </w:r>
      <w:r w:rsidR="00B92B62" w:rsidRPr="00B92B62">
        <w:rPr>
          <w:rFonts w:cs="Arial"/>
          <w:noProof/>
          <w:szCs w:val="24"/>
          <w:lang w:val="es-MX"/>
        </w:rPr>
        <w:t>[62]</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8048D9">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[62]","plainTextFormattedCitation":"[62]","previouslyFormattedCitation":"[62]"},"properties":{"noteIndex":0},"schema":"https://github.com/citation-style-language/schema/raw/master/csl-citation.json"}</w:instrText>
      </w:r>
      <w:r w:rsidR="00401EC1" w:rsidRPr="001133CE">
        <w:rPr>
          <w:rFonts w:cs="Arial"/>
          <w:szCs w:val="24"/>
          <w:lang w:val="es-MX"/>
        </w:rPr>
        <w:fldChar w:fldCharType="separate"/>
      </w:r>
      <w:r w:rsidR="00B92B62" w:rsidRPr="00B92B62">
        <w:rPr>
          <w:rFonts w:cs="Arial"/>
          <w:noProof/>
          <w:szCs w:val="24"/>
          <w:lang w:val="es-MX"/>
        </w:rPr>
        <w:t>[62]</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8048D9">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[63]","plainTextFormattedCitation":"[63]","previouslyFormattedCitation":"[63]"},"properties":{"noteIndex":0},"schema":"https://github.com/citation-style-language/schema/raw/master/csl-citation.json"}</w:instrText>
      </w:r>
      <w:r w:rsidR="00E8098B" w:rsidRPr="001133CE">
        <w:rPr>
          <w:rFonts w:cs="Arial"/>
          <w:szCs w:val="24"/>
          <w:lang w:val="es-MX"/>
        </w:rPr>
        <w:fldChar w:fldCharType="separate"/>
      </w:r>
      <w:r w:rsidR="00B92B62" w:rsidRPr="00B92B62">
        <w:rPr>
          <w:rFonts w:cs="Arial"/>
          <w:noProof/>
          <w:szCs w:val="24"/>
          <w:lang w:val="es-MX"/>
        </w:rPr>
        <w:t>[63]</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8048D9">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[64]","plainTextFormattedCitation":"[64]","previouslyFormattedCitation":"[64]"},"properties":{"noteIndex":0},"schema":"https://github.com/citation-style-language/schema/raw/master/csl-citation.json"}</w:instrText>
      </w:r>
      <w:r w:rsidR="004B3499" w:rsidRPr="001133CE">
        <w:rPr>
          <w:rFonts w:cs="Arial"/>
          <w:szCs w:val="24"/>
          <w:lang w:val="es-MX"/>
        </w:rPr>
        <w:fldChar w:fldCharType="separate"/>
      </w:r>
      <w:r w:rsidR="00B92B62" w:rsidRPr="00B92B62">
        <w:rPr>
          <w:rFonts w:cs="Arial"/>
          <w:noProof/>
          <w:szCs w:val="24"/>
          <w:lang w:val="es-MX"/>
        </w:rPr>
        <w:t>[64]</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8048D9">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[65]","plainTextFormattedCitation":"[65]","previouslyFormattedCitation":"[65]"},"properties":{"noteIndex":0},"schema":"https://github.com/citation-style-language/schema/raw/master/csl-citation.json"}</w:instrText>
      </w:r>
      <w:r w:rsidR="00E8098B" w:rsidRPr="001133CE">
        <w:rPr>
          <w:rFonts w:cs="Arial"/>
          <w:szCs w:val="24"/>
          <w:lang w:val="es-MX"/>
        </w:rPr>
        <w:fldChar w:fldCharType="separate"/>
      </w:r>
      <w:r w:rsidR="00B92B62" w:rsidRPr="00B92B62">
        <w:rPr>
          <w:rFonts w:cs="Arial"/>
          <w:noProof/>
          <w:szCs w:val="24"/>
          <w:lang w:val="es-MX"/>
        </w:rPr>
        <w:t>[65]</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8048D9">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[66]–[68]","plainTextFormattedCitation":"[66]–[68]","previouslyFormattedCitation":"[66]–[68]"},"properties":{"noteIndex":0},"schema":"https://github.com/citation-style-language/schema/raw/master/csl-citation.json"}</w:instrText>
      </w:r>
      <w:r w:rsidR="006209A6" w:rsidRPr="001133CE">
        <w:rPr>
          <w:rFonts w:cs="Arial"/>
          <w:szCs w:val="24"/>
          <w:lang w:val="es-MX"/>
        </w:rPr>
        <w:fldChar w:fldCharType="separate"/>
      </w:r>
      <w:r w:rsidR="00B92B62" w:rsidRPr="00B92B62">
        <w:rPr>
          <w:rFonts w:cs="Arial"/>
          <w:noProof/>
          <w:szCs w:val="24"/>
          <w:lang w:val="es-MX"/>
        </w:rPr>
        <w:t>[66]–[68]</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4534BA85"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8048D9">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pathway","type":"report","volume":"17"},"uris":["http://www.mendeley.com/documents/?uuid=df094feb-b8ab-399c-afd3-1cb67dd943d3"]}],"mendeley":{"formattedCitation":"[69], [70]","plainTextFormattedCitation":"[69], [70]","previouslyFormattedCitation":"[69], [70]"},"properties":{"noteIndex":0},"schema":"https://github.com/citation-style-language/schema/raw/master/csl-citation.json"}</w:instrText>
      </w:r>
      <w:r w:rsidR="007C4766" w:rsidRPr="001133CE">
        <w:rPr>
          <w:rFonts w:cs="Arial"/>
          <w:szCs w:val="24"/>
          <w:lang w:val="es-MX"/>
        </w:rPr>
        <w:fldChar w:fldCharType="separate"/>
      </w:r>
      <w:r w:rsidR="00B92B62" w:rsidRPr="00B92B62">
        <w:rPr>
          <w:rFonts w:cs="Arial"/>
          <w:noProof/>
          <w:szCs w:val="24"/>
          <w:lang w:val="es-MX"/>
        </w:rPr>
        <w:t>[69], [70]</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8048D9">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[71]","plainTextFormattedCitation":"[71]","previouslyFormattedCitation":"[71]"},"properties":{"noteIndex":0},"schema":"https://github.com/citation-style-language/schema/raw/master/csl-citation.json"}</w:instrText>
      </w:r>
      <w:r w:rsidR="00B462FF" w:rsidRPr="001133CE">
        <w:rPr>
          <w:rFonts w:cs="Arial"/>
          <w:szCs w:val="24"/>
          <w:lang w:val="es-MX"/>
        </w:rPr>
        <w:fldChar w:fldCharType="separate"/>
      </w:r>
      <w:r w:rsidR="00B92B62" w:rsidRPr="00B92B62">
        <w:rPr>
          <w:rFonts w:cs="Arial"/>
          <w:noProof/>
          <w:szCs w:val="24"/>
          <w:lang w:val="es-MX"/>
        </w:rPr>
        <w:t>[71]</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8048D9">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[72]","plainTextFormattedCitation":"[72]","previouslyFormattedCitation":"[72]"},"properties":{"noteIndex":0},"schema":"https://github.com/citation-style-language/schema/raw/master/csl-citation.json"}</w:instrText>
      </w:r>
      <w:r w:rsidR="00DB1184" w:rsidRPr="001133CE">
        <w:rPr>
          <w:rFonts w:cs="Arial"/>
          <w:szCs w:val="24"/>
          <w:lang w:val="es-MX"/>
        </w:rPr>
        <w:fldChar w:fldCharType="separate"/>
      </w:r>
      <w:r w:rsidR="00B92B62" w:rsidRPr="00B92B62">
        <w:rPr>
          <w:rFonts w:cs="Arial"/>
          <w:noProof/>
          <w:szCs w:val="24"/>
          <w:lang w:val="es-MX"/>
        </w:rPr>
        <w:t>[72]</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8048D9">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[70]","plainTextFormattedCitation":"[70]","previouslyFormattedCitation":"[70]"},"properties":{"noteIndex":0},"schema":"https://github.com/citation-style-language/schema/raw/master/csl-citation.json"}</w:instrText>
      </w:r>
      <w:r w:rsidR="00D36E0B" w:rsidRPr="001133CE">
        <w:rPr>
          <w:rFonts w:cs="Arial"/>
          <w:szCs w:val="24"/>
          <w:lang w:val="es-MX"/>
        </w:rPr>
        <w:fldChar w:fldCharType="separate"/>
      </w:r>
      <w:r w:rsidR="00B92B62" w:rsidRPr="00B92B62">
        <w:rPr>
          <w:rFonts w:cs="Arial"/>
          <w:noProof/>
          <w:szCs w:val="24"/>
          <w:lang w:val="es-MX"/>
        </w:rPr>
        <w:t>[70]</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8048D9">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[73]","plainTextFormattedCitation":"[73]","previouslyFormattedCitation":"[73]"},"properties":{"noteIndex":0},"schema":"https://github.com/citation-style-language/schema/raw/master/csl-citation.json"}</w:instrText>
      </w:r>
      <w:r w:rsidR="00686192" w:rsidRPr="001133CE">
        <w:rPr>
          <w:rFonts w:cs="Arial"/>
          <w:szCs w:val="24"/>
          <w:lang w:val="es-MX"/>
        </w:rPr>
        <w:fldChar w:fldCharType="separate"/>
      </w:r>
      <w:r w:rsidR="00B92B62" w:rsidRPr="00B92B62">
        <w:rPr>
          <w:rFonts w:cs="Arial"/>
          <w:noProof/>
          <w:szCs w:val="24"/>
          <w:lang w:val="es-MX"/>
        </w:rPr>
        <w:t>[73]</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377572">
        <w:rPr>
          <w:rFonts w:cs="Arial"/>
          <w:noProof/>
          <w:szCs w:val="24"/>
        </w:rPr>
        <w:t>[22], [29], [40]</w:t>
      </w:r>
      <w:r w:rsidR="0030023B" w:rsidRPr="001133CE">
        <w:rPr>
          <w:rFonts w:cs="Arial"/>
          <w:szCs w:val="24"/>
          <w:lang w:val="es-MX"/>
        </w:rPr>
        <w:fldChar w:fldCharType="end"/>
      </w:r>
      <w:r w:rsidR="00D85026" w:rsidRPr="00377572">
        <w:rPr>
          <w:rFonts w:cs="Arial"/>
          <w:szCs w:val="24"/>
        </w:rPr>
        <w:t xml:space="preserve">, </w:t>
      </w:r>
      <w:r w:rsidR="00393CA3" w:rsidRPr="00377572">
        <w:rPr>
          <w:rFonts w:cs="Arial"/>
          <w:i/>
          <w:szCs w:val="24"/>
        </w:rPr>
        <w:t>F. oxysporum</w:t>
      </w:r>
      <w:r w:rsidR="00393CA3" w:rsidRPr="00377572">
        <w:rPr>
          <w:rFonts w:cs="Arial"/>
          <w:szCs w:val="24"/>
        </w:rPr>
        <w:t xml:space="preserve"> </w:t>
      </w:r>
      <w:r w:rsidR="00393CA3" w:rsidRPr="001133CE">
        <w:rPr>
          <w:rFonts w:cs="Arial"/>
          <w:szCs w:val="24"/>
          <w:lang w:val="es-MX"/>
        </w:rPr>
        <w:fldChar w:fldCharType="begin" w:fldLock="1"/>
      </w:r>
      <w:r w:rsidR="008048D9">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[72]","plainTextFormattedCitation":"[72]","previouslyFormattedCitation":"[72]"},"properties":{"noteIndex":0},"schema":"https://github.com/citation-style-language/schema/raw/master/csl-citation.json"}</w:instrText>
      </w:r>
      <w:r w:rsidR="00393CA3" w:rsidRPr="001133CE">
        <w:rPr>
          <w:rFonts w:cs="Arial"/>
          <w:szCs w:val="24"/>
          <w:lang w:val="es-MX"/>
        </w:rPr>
        <w:fldChar w:fldCharType="separate"/>
      </w:r>
      <w:r w:rsidR="00B92B62" w:rsidRPr="00B92B62">
        <w:rPr>
          <w:rFonts w:cs="Arial"/>
          <w:noProof/>
          <w:szCs w:val="24"/>
        </w:rPr>
        <w:t>[72]</w:t>
      </w:r>
      <w:r w:rsidR="00393CA3" w:rsidRPr="001133CE">
        <w:rPr>
          <w:rFonts w:cs="Arial"/>
          <w:szCs w:val="24"/>
          <w:lang w:val="es-MX"/>
        </w:rPr>
        <w:fldChar w:fldCharType="end"/>
      </w:r>
      <w:r w:rsidR="004A7D39" w:rsidRPr="00377572">
        <w:rPr>
          <w:rFonts w:cs="Arial"/>
          <w:szCs w:val="24"/>
        </w:rPr>
        <w:t xml:space="preserve"> </w:t>
      </w:r>
      <w:r w:rsidR="004A7D39" w:rsidRPr="00377572">
        <w:rPr>
          <w:rFonts w:cs="Arial"/>
          <w:color w:val="FF0000"/>
          <w:szCs w:val="24"/>
        </w:rPr>
        <w:t>entre otros</w:t>
      </w:r>
      <w:r w:rsidR="00E568C8" w:rsidRPr="00377572">
        <w:rPr>
          <w:rFonts w:cs="Arial"/>
          <w:szCs w:val="24"/>
        </w:rPr>
        <w:t>.</w:t>
      </w:r>
      <w:r w:rsidR="00223DF4" w:rsidRPr="00377572">
        <w:rPr>
          <w:rFonts w:cs="Arial"/>
          <w:szCs w:val="24"/>
        </w:rPr>
        <w:t xml:space="preserve"> </w:t>
      </w:r>
      <w:r w:rsidR="00223DF4" w:rsidRPr="00182C49">
        <w:rPr>
          <w:rFonts w:cs="Arial"/>
          <w:szCs w:val="24"/>
        </w:rPr>
        <w:t xml:space="preserve">Los estudios realizados en las </w:t>
      </w:r>
      <w:r w:rsidR="003A62DA" w:rsidRPr="00182C49">
        <w:rPr>
          <w:rFonts w:cs="Arial"/>
          <w:szCs w:val="24"/>
        </w:rPr>
        <w:t xml:space="preserve">tres especies del </w:t>
      </w:r>
      <w:r w:rsidR="003675BE" w:rsidRPr="00182C49">
        <w:rPr>
          <w:rFonts w:cs="Arial"/>
          <w:szCs w:val="24"/>
        </w:rPr>
        <w:t xml:space="preserve">género </w:t>
      </w:r>
      <w:r w:rsidR="003675BE" w:rsidRPr="00182C49">
        <w:rPr>
          <w:rFonts w:cs="Arial"/>
          <w:i/>
          <w:szCs w:val="24"/>
        </w:rPr>
        <w:t>Penicillium</w:t>
      </w:r>
      <w:r w:rsidR="004A7D39" w:rsidRPr="00182C49">
        <w:rPr>
          <w:rFonts w:cs="Arial"/>
          <w:szCs w:val="24"/>
        </w:rPr>
        <w:t xml:space="preserve"> </w:t>
      </w:r>
      <w:r w:rsidR="004A7D39" w:rsidRPr="00182C49">
        <w:rPr>
          <w:rFonts w:cs="Arial"/>
          <w:i/>
          <w:szCs w:val="24"/>
        </w:rPr>
        <w:t>sp</w:t>
      </w:r>
      <w:r w:rsidR="003675BE" w:rsidRPr="00182C49">
        <w:rPr>
          <w:rFonts w:cs="Arial"/>
          <w:szCs w:val="24"/>
        </w:rPr>
        <w:t>,</w:t>
      </w:r>
      <w:r w:rsidR="003A62DA" w:rsidRPr="00182C49">
        <w:rPr>
          <w:rFonts w:cs="Arial"/>
          <w:szCs w:val="24"/>
        </w:rPr>
        <w:t xml:space="preserve"> </w:t>
      </w:r>
      <w:r w:rsidR="00223DF4" w:rsidRPr="00182C49">
        <w:rPr>
          <w:rFonts w:cs="Arial"/>
          <w:szCs w:val="24"/>
        </w:rPr>
        <w:t xml:space="preserve">han revelado </w:t>
      </w:r>
      <w:r w:rsidR="00835AEF" w:rsidRPr="00182C49">
        <w:rPr>
          <w:rFonts w:cs="Arial"/>
          <w:szCs w:val="24"/>
        </w:rPr>
        <w:t>respuestas</w:t>
      </w:r>
      <w:r w:rsidR="003675BE" w:rsidRPr="00182C49">
        <w:rPr>
          <w:rFonts w:cs="Arial"/>
          <w:szCs w:val="24"/>
        </w:rPr>
        <w:t xml:space="preserve"> </w:t>
      </w:r>
      <w:r w:rsidR="00835AEF" w:rsidRPr="00182C49">
        <w:rPr>
          <w:rFonts w:cs="Arial"/>
          <w:szCs w:val="24"/>
        </w:rPr>
        <w:t xml:space="preserve">idénticas </w:t>
      </w:r>
      <w:r w:rsidR="003675BE" w:rsidRPr="00182C49">
        <w:rPr>
          <w:rFonts w:cs="Arial"/>
          <w:szCs w:val="24"/>
        </w:rPr>
        <w:t>a</w:t>
      </w:r>
      <w:r w:rsidR="008D77EA" w:rsidRPr="00182C49">
        <w:rPr>
          <w:rFonts w:cs="Arial"/>
          <w:szCs w:val="24"/>
        </w:rPr>
        <w:t>l</w:t>
      </w:r>
      <w:r w:rsidR="003675BE" w:rsidRPr="00182C49">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8048D9">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[74]","plainTextFormattedCitation":"[74]","previouslyFormattedCitation":"[74]"},"properties":{"noteIndex":0},"schema":"https://github.com/citation-style-language/schema/raw/master/csl-citation.json"}</w:instrText>
      </w:r>
      <w:r w:rsidR="008D77EA" w:rsidRPr="001133CE">
        <w:rPr>
          <w:rFonts w:cs="Arial"/>
          <w:szCs w:val="24"/>
          <w:lang w:val="es-MX"/>
        </w:rPr>
        <w:fldChar w:fldCharType="separate"/>
      </w:r>
      <w:r w:rsidR="00B92B62" w:rsidRPr="00B92B62">
        <w:rPr>
          <w:rFonts w:cs="Arial"/>
          <w:noProof/>
          <w:szCs w:val="24"/>
          <w:lang w:val="es-MX"/>
        </w:rPr>
        <w:t>[74]</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747C22B1" w:rsidR="00DA5853"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8048D9">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8048D9" w:rsidRPr="008048D9">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[75]","plainTextFormattedCitation":"[75]","previouslyFormattedCitation":"[75]"},"properties":{"noteIndex":0},"schema":"https://github.com/citation-style-language/schema/raw/master/csl-citation.json"}</w:instrText>
      </w:r>
      <w:r w:rsidR="0036291D" w:rsidRPr="001133CE">
        <w:rPr>
          <w:rFonts w:cs="Arial"/>
          <w:szCs w:val="24"/>
          <w:lang w:val="es-ES"/>
        </w:rPr>
        <w:fldChar w:fldCharType="separate"/>
      </w:r>
      <w:r w:rsidR="00B92B62" w:rsidRPr="00B92B62">
        <w:rPr>
          <w:rFonts w:cs="Arial"/>
          <w:noProof/>
          <w:szCs w:val="24"/>
        </w:rPr>
        <w:t>[75]</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8048D9">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[76]","plainTextFormattedCitation":"[76]","previouslyFormattedCitation":"[76]"},"properties":{"noteIndex":0},"schema":"https://github.com/citation-style-language/schema/raw/master/csl-citation.json"}</w:instrText>
      </w:r>
      <w:r w:rsidR="0036291D" w:rsidRPr="001133CE">
        <w:rPr>
          <w:rFonts w:cs="Arial"/>
          <w:szCs w:val="24"/>
          <w:lang w:val="es-ES"/>
        </w:rPr>
        <w:fldChar w:fldCharType="separate"/>
      </w:r>
      <w:r w:rsidR="00B92B62" w:rsidRPr="00B92B62">
        <w:rPr>
          <w:rFonts w:cs="Arial"/>
          <w:noProof/>
          <w:szCs w:val="24"/>
        </w:rPr>
        <w:t>[76]</w:t>
      </w:r>
      <w:r w:rsidR="0036291D" w:rsidRPr="001133CE">
        <w:rPr>
          <w:rFonts w:cs="Arial"/>
          <w:szCs w:val="24"/>
          <w:lang w:val="es-ES"/>
        </w:rPr>
        <w:fldChar w:fldCharType="end"/>
      </w:r>
      <w:r w:rsidR="00F47170" w:rsidRPr="003808EC">
        <w:rPr>
          <w:rFonts w:cs="Arial"/>
          <w:szCs w:val="24"/>
        </w:rPr>
        <w:t xml:space="preserve">), respectivamente, de </w:t>
      </w:r>
      <w:r w:rsidR="00F47170" w:rsidRPr="003808EC">
        <w:rPr>
          <w:rFonts w:cs="Arial"/>
          <w:i/>
          <w:szCs w:val="24"/>
        </w:rPr>
        <w:t>S. cerevisiae</w:t>
      </w:r>
      <w:r w:rsidR="00E42FFF" w:rsidRPr="003808EC">
        <w:rPr>
          <w:rFonts w:cs="Arial"/>
          <w:szCs w:val="24"/>
        </w:rPr>
        <w:t>, mostrando más del 70% de identidad</w:t>
      </w:r>
      <w:r w:rsidR="0096048C" w:rsidRPr="003808EC">
        <w:rPr>
          <w:rFonts w:cs="Arial"/>
          <w:szCs w:val="24"/>
        </w:rPr>
        <w:t xml:space="preserve"> en sus secuencias</w:t>
      </w:r>
      <w:r w:rsidR="007D0ADA" w:rsidRPr="003808EC">
        <w:rPr>
          <w:rFonts w:cs="Arial"/>
          <w:szCs w:val="24"/>
        </w:rPr>
        <w:t xml:space="preserve"> (Figura </w:t>
      </w:r>
      <w:r w:rsidR="00B713D3" w:rsidRPr="003808EC">
        <w:rPr>
          <w:rFonts w:cs="Arial"/>
          <w:szCs w:val="24"/>
        </w:rPr>
        <w:t>4</w:t>
      </w:r>
      <w:r w:rsidR="007D0ADA" w:rsidRPr="003808EC">
        <w:rPr>
          <w:rFonts w:cs="Arial"/>
          <w:szCs w:val="24"/>
        </w:rPr>
        <w:t>)</w:t>
      </w:r>
      <w:r w:rsidR="00E82704" w:rsidRPr="003808EC">
        <w:rPr>
          <w:rFonts w:cs="Arial"/>
          <w:szCs w:val="24"/>
        </w:rPr>
        <w:t xml:space="preserve">. </w:t>
      </w:r>
      <w:r w:rsidR="00E82704" w:rsidRPr="001133CE">
        <w:rPr>
          <w:rFonts w:cs="Arial"/>
          <w:szCs w:val="24"/>
          <w:lang w:val="es-MX"/>
        </w:rPr>
        <w:t xml:space="preserve">Por otro lado, en se observa un efecto opuesto cuando la subunidad Gα Pga1 se encuentra constitutivamente activa, provocando </w:t>
      </w:r>
      <w:r w:rsidR="00381EF7">
        <w:rPr>
          <w:rFonts w:cs="Arial"/>
          <w:szCs w:val="24"/>
          <w:lang w:val="es-MX"/>
        </w:rPr>
        <w:t xml:space="preserve">aumento de la </w:t>
      </w:r>
      <w:r w:rsidR="00E82704" w:rsidRPr="001133CE">
        <w:rPr>
          <w:rFonts w:cs="Arial"/>
          <w:szCs w:val="24"/>
          <w:lang w:val="es-MX"/>
        </w:rPr>
        <w:t>sensibilidad</w:t>
      </w:r>
      <w:r w:rsidR="00381EF7">
        <w:rPr>
          <w:rFonts w:cs="Arial"/>
          <w:szCs w:val="24"/>
          <w:lang w:val="es-MX"/>
        </w:rPr>
        <w:t xml:space="preserve"> a la temperatura elevada.</w:t>
      </w:r>
    </w:p>
    <w:p w14:paraId="17953A39" w14:textId="77777777" w:rsidR="00381EF7" w:rsidRPr="001133CE" w:rsidRDefault="00381EF7" w:rsidP="002323D7">
      <w:pPr>
        <w:spacing w:after="0" w:line="360" w:lineRule="auto"/>
        <w:rPr>
          <w:rFonts w:cs="Arial"/>
          <w:szCs w:val="24"/>
          <w:lang w:val="es-MX"/>
        </w:rPr>
      </w:pPr>
    </w:p>
    <w:p w14:paraId="572096E4" w14:textId="50A22935"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w:t>
      </w:r>
      <w:r w:rsidR="00381EF7">
        <w:rPr>
          <w:rFonts w:eastAsia="Times New Roman" w:cs="Arial"/>
          <w:szCs w:val="24"/>
          <w:lang w:val="es-ES" w:eastAsia="es-MX"/>
        </w:rPr>
        <w:t xml:space="preserve"> </w:t>
      </w:r>
      <w:r w:rsidR="004F3734">
        <w:rPr>
          <w:rFonts w:eastAsia="Times New Roman" w:cs="Arial"/>
          <w:szCs w:val="24"/>
          <w:lang w:val="es-ES" w:eastAsia="es-MX"/>
        </w:rPr>
        <w:t xml:space="preserve">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sidR="007508C9">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66E64773" w:rsidR="00DA5853" w:rsidRDefault="00DA5853" w:rsidP="002323D7">
      <w:pPr>
        <w:spacing w:after="0" w:line="360" w:lineRule="auto"/>
        <w:rPr>
          <w:rFonts w:cs="Arial"/>
          <w:szCs w:val="24"/>
          <w:lang w:val="es-MX"/>
        </w:rPr>
      </w:pPr>
    </w:p>
    <w:p w14:paraId="2B4FE6B0" w14:textId="598FF980" w:rsidR="00381EF7" w:rsidRPr="001133CE" w:rsidRDefault="00381EF7" w:rsidP="002323D7">
      <w:pPr>
        <w:spacing w:after="0" w:line="360" w:lineRule="auto"/>
        <w:rPr>
          <w:rFonts w:cs="Arial"/>
          <w:szCs w:val="24"/>
          <w:lang w:val="es-MX"/>
        </w:rPr>
      </w:pPr>
      <w:r>
        <w:rPr>
          <w:rFonts w:cs="Arial"/>
          <w:szCs w:val="24"/>
          <w:lang w:val="es-MX"/>
        </w:rPr>
        <w:t>El cAMP regula la señalización por unión a la subunidad reguladora de la PKA codificada por el gen mcb en N crassa, una vez se une, causa la disociación de la unidad catalítica de la PKA, facilitando la actividad quinasa. Mutaciones en el gen mcb que es recesivo en la cepa silvestre</w:t>
      </w:r>
      <w:r w:rsidR="007508C9">
        <w:rPr>
          <w:rFonts w:cs="Arial"/>
          <w:szCs w:val="24"/>
          <w:lang w:val="es-MX"/>
        </w:rPr>
        <w:t xml:space="preserve"> (la mutación cr-1 es epistatica a mcb), reduce las cantidades de proteína MCB, cuadando hiperactivación de la subunindad catalítica y lisis celular a 37°C aun cuando exista la cantidad adecuada de cAMP.</w:t>
      </w:r>
      <w:r w:rsidR="007508C9">
        <w:rPr>
          <w:rFonts w:cs="Arial"/>
          <w:szCs w:val="24"/>
          <w:lang w:val="es-MX"/>
        </w:rPr>
        <w:fldChar w:fldCharType="begin" w:fldLock="1"/>
      </w:r>
      <w:r w:rsidR="00A269F5">
        <w:rPr>
          <w:rFonts w:cs="Arial"/>
          <w:szCs w:val="24"/>
          <w:lang w:val="es-MX"/>
        </w:rPr>
        <w:instrText>ADDIN CSL_CITATION {"citationItems":[{"id":"ITEM-1","itemData":{"DOI":"10.1534/genetics.166.3.1229","ISBN":"0016-6731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A.","non-dropping-particle":"","parse-names":false,"suffix":""}],"container-title":"Genetics","id":"ITEM-1","issue":"3","issued":{"date-parts":[["2004"]]},"page":"1229-1240","title":"Severe Impairment of Growth and Differentiation in a Neurospora crassa Mutant Lacking All Heterotrimeric G?? Proteins","type":"article-journal","volume":"166"},"uris":["http://www.mendeley.com/documents/?uuid=8cf5f549-3160-4aa5-bf52-6d27fd2b1e26"]}],"mendeley":{"formattedCitation":"[43]","plainTextFormattedCitation":"[43]","previouslyFormattedCitation":"[43]"},"properties":{"noteIndex":0},"schema":"https://github.com/citation-style-language/schema/raw/master/csl-citation.json"}</w:instrText>
      </w:r>
      <w:r w:rsidR="007508C9">
        <w:rPr>
          <w:rFonts w:cs="Arial"/>
          <w:szCs w:val="24"/>
          <w:lang w:val="es-MX"/>
        </w:rPr>
        <w:fldChar w:fldCharType="separate"/>
      </w:r>
      <w:r w:rsidR="007508C9" w:rsidRPr="007508C9">
        <w:rPr>
          <w:rFonts w:cs="Arial"/>
          <w:noProof/>
          <w:szCs w:val="24"/>
          <w:lang w:val="es-MX"/>
        </w:rPr>
        <w:t>[43]</w:t>
      </w:r>
      <w:r w:rsidR="007508C9">
        <w:rPr>
          <w:rFonts w:cs="Arial"/>
          <w:szCs w:val="24"/>
          <w:lang w:val="es-MX"/>
        </w:rPr>
        <w:fldChar w:fldCharType="end"/>
      </w: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59ACEDE8"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sidR="008048D9">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[77]","plainTextFormattedCitation":"[77]","previouslyFormattedCitation":"[77]"},"properties":{"noteIndex":0},"schema":"https://github.com/citation-style-language/schema/raw/master/csl-citation.json"}</w:instrText>
      </w:r>
      <w:r w:rsidRPr="001133CE">
        <w:rPr>
          <w:rFonts w:eastAsia="Times New Roman" w:cs="Arial"/>
          <w:szCs w:val="24"/>
          <w:lang w:val="es-MX" w:eastAsia="es-MX"/>
        </w:rPr>
        <w:fldChar w:fldCharType="separate"/>
      </w:r>
      <w:r w:rsidR="00B92B62" w:rsidRPr="00B92B62">
        <w:rPr>
          <w:rFonts w:eastAsia="Times New Roman" w:cs="Arial"/>
          <w:noProof/>
          <w:szCs w:val="24"/>
          <w:lang w:val="es-MX" w:eastAsia="es-MX"/>
        </w:rPr>
        <w:t>[77]</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381EF7" w:rsidRDefault="00096D42" w:rsidP="004A3FDE">
      <w:pPr>
        <w:pStyle w:val="Ttulo1"/>
        <w:spacing w:before="0" w:line="360" w:lineRule="auto"/>
        <w:ind w:left="567"/>
        <w:rPr>
          <w:lang w:val="es-MX"/>
        </w:rPr>
      </w:pPr>
      <w:r w:rsidRPr="00381EF7">
        <w:rPr>
          <w:lang w:val="es-MX"/>
        </w:rPr>
        <w:t>REFERENCIAS</w:t>
      </w:r>
    </w:p>
    <w:p w14:paraId="22F2B00A" w14:textId="4F76252A" w:rsidR="008048D9" w:rsidRPr="008048D9" w:rsidRDefault="00B934EF" w:rsidP="008048D9">
      <w:pPr>
        <w:widowControl w:val="0"/>
        <w:autoSpaceDE w:val="0"/>
        <w:autoSpaceDN w:val="0"/>
        <w:adjustRightInd w:val="0"/>
        <w:spacing w:after="0" w:line="360" w:lineRule="auto"/>
        <w:ind w:left="640" w:hanging="640"/>
        <w:rPr>
          <w:rFonts w:cs="Arial"/>
          <w:noProof/>
          <w:szCs w:val="24"/>
        </w:rPr>
      </w:pPr>
      <w:r w:rsidRPr="001133CE">
        <w:rPr>
          <w:rFonts w:cs="Arial"/>
          <w:szCs w:val="24"/>
          <w:lang w:val="es-MX"/>
        </w:rPr>
        <w:fldChar w:fldCharType="begin" w:fldLock="1"/>
      </w:r>
      <w:r w:rsidRPr="00381EF7">
        <w:rPr>
          <w:rFonts w:cs="Arial"/>
          <w:szCs w:val="24"/>
          <w:lang w:val="es-MX"/>
        </w:rPr>
        <w:instrText xml:space="preserve">ADDIN Mendeley Bibliography CSL_BIBLIOGRAPHY </w:instrText>
      </w:r>
      <w:r w:rsidRPr="001133CE">
        <w:rPr>
          <w:rFonts w:cs="Arial"/>
          <w:szCs w:val="24"/>
          <w:lang w:val="es-MX"/>
        </w:rPr>
        <w:fldChar w:fldCharType="separate"/>
      </w:r>
      <w:r w:rsidR="008048D9" w:rsidRPr="008048D9">
        <w:rPr>
          <w:rFonts w:cs="Arial"/>
          <w:noProof/>
          <w:szCs w:val="24"/>
        </w:rPr>
        <w:t>[1]</w:t>
      </w:r>
      <w:r w:rsidR="008048D9" w:rsidRPr="008048D9">
        <w:rPr>
          <w:rFonts w:cs="Arial"/>
          <w:noProof/>
          <w:szCs w:val="24"/>
        </w:rPr>
        <w:tab/>
        <w:t xml:space="preserve">S. Ghorai, S. P. Banik, D. Verma, S. Chowdhury, S. Mukherjee, and S. Khowala, “Fungal biotechnology in food and feed processing,” </w:t>
      </w:r>
      <w:r w:rsidR="008048D9" w:rsidRPr="008048D9">
        <w:rPr>
          <w:rFonts w:cs="Arial"/>
          <w:i/>
          <w:iCs/>
          <w:noProof/>
          <w:szCs w:val="24"/>
        </w:rPr>
        <w:t>Food Res. Int.</w:t>
      </w:r>
      <w:r w:rsidR="008048D9" w:rsidRPr="008048D9">
        <w:rPr>
          <w:rFonts w:cs="Arial"/>
          <w:noProof/>
          <w:szCs w:val="24"/>
        </w:rPr>
        <w:t>, vol. 42, no. 5–6, pp. 577–587, Jun. 2009.</w:t>
      </w:r>
    </w:p>
    <w:p w14:paraId="535838B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w:t>
      </w:r>
      <w:r w:rsidRPr="008048D9">
        <w:rPr>
          <w:rFonts w:cs="Arial"/>
          <w:noProof/>
          <w:szCs w:val="24"/>
        </w:rPr>
        <w:tab/>
        <w:t xml:space="preserve">F. Alberti, G. D. Foster, and A. M. Bailey, “Natural products from filamentous fungi and production by heterologous expression,” </w:t>
      </w:r>
      <w:r w:rsidRPr="008048D9">
        <w:rPr>
          <w:rFonts w:cs="Arial"/>
          <w:i/>
          <w:iCs/>
          <w:noProof/>
          <w:szCs w:val="24"/>
        </w:rPr>
        <w:t>Appl. Microbiol. Biotechnol.</w:t>
      </w:r>
    </w:p>
    <w:p w14:paraId="7A839598"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w:t>
      </w:r>
      <w:r w:rsidRPr="008048D9">
        <w:rPr>
          <w:rFonts w:cs="Arial"/>
          <w:noProof/>
          <w:szCs w:val="24"/>
        </w:rPr>
        <w:tab/>
        <w:t xml:space="preserve">V. Meyer </w:t>
      </w:r>
      <w:r w:rsidRPr="008048D9">
        <w:rPr>
          <w:rFonts w:cs="Arial"/>
          <w:i/>
          <w:iCs/>
          <w:noProof/>
          <w:szCs w:val="24"/>
        </w:rPr>
        <w:t>et al.</w:t>
      </w:r>
      <w:r w:rsidRPr="008048D9">
        <w:rPr>
          <w:rFonts w:cs="Arial"/>
          <w:noProof/>
          <w:szCs w:val="24"/>
        </w:rPr>
        <w:t xml:space="preserve">, “Current challenges of research on filamentous fungi in relation to human welfare and a sustainable bio-economy: a white paper Fungal Biology and Biotechnology,” </w:t>
      </w:r>
      <w:r w:rsidRPr="008048D9">
        <w:rPr>
          <w:rFonts w:cs="Arial"/>
          <w:i/>
          <w:iCs/>
          <w:noProof/>
          <w:szCs w:val="24"/>
        </w:rPr>
        <w:t>Fungal Biol. Biotechnol.</w:t>
      </w:r>
      <w:r w:rsidRPr="008048D9">
        <w:rPr>
          <w:rFonts w:cs="Arial"/>
          <w:noProof/>
          <w:szCs w:val="24"/>
        </w:rPr>
        <w:t>, vol. 3, p. 6, 2016.</w:t>
      </w:r>
    </w:p>
    <w:p w14:paraId="250EEA5F"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w:t>
      </w:r>
      <w:r w:rsidRPr="008048D9">
        <w:rPr>
          <w:rFonts w:cs="Arial"/>
          <w:noProof/>
          <w:szCs w:val="24"/>
        </w:rPr>
        <w:tab/>
        <w:t xml:space="preserve">S. Challa, S. G. Uppin, M. S. Uppin, U. Pamidimukkala, and L. Vemu, “Diagnosis of filamentous fungi on tissue sections by immunohistochemistry using anti-aspergillus antibody,” </w:t>
      </w:r>
      <w:r w:rsidRPr="008048D9">
        <w:rPr>
          <w:rFonts w:cs="Arial"/>
          <w:i/>
          <w:iCs/>
          <w:noProof/>
          <w:szCs w:val="24"/>
        </w:rPr>
        <w:t>Med. Mycol.</w:t>
      </w:r>
      <w:r w:rsidRPr="008048D9">
        <w:rPr>
          <w:rFonts w:cs="Arial"/>
          <w:noProof/>
          <w:szCs w:val="24"/>
        </w:rPr>
        <w:t>, vol. 53, pp. 470–476, 2015.</w:t>
      </w:r>
    </w:p>
    <w:p w14:paraId="4842059E"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w:t>
      </w:r>
      <w:r w:rsidRPr="008048D9">
        <w:rPr>
          <w:rFonts w:cs="Arial"/>
          <w:noProof/>
          <w:szCs w:val="24"/>
        </w:rPr>
        <w:tab/>
        <w:t xml:space="preserve">M. R. Islam, G. Tudryn, R. Bucinell, L. Schadler, and R. C. Picu, “Morphology and mechanics of fungal mycelium,” </w:t>
      </w:r>
      <w:r w:rsidRPr="008048D9">
        <w:rPr>
          <w:rFonts w:cs="Arial"/>
          <w:i/>
          <w:iCs/>
          <w:noProof/>
          <w:szCs w:val="24"/>
        </w:rPr>
        <w:t>Sci. Rep.</w:t>
      </w:r>
      <w:r w:rsidRPr="008048D9">
        <w:rPr>
          <w:rFonts w:cs="Arial"/>
          <w:noProof/>
          <w:szCs w:val="24"/>
        </w:rPr>
        <w:t>, vol. 7, no. 1, p. 13070, Dec. 2017.</w:t>
      </w:r>
    </w:p>
    <w:p w14:paraId="27DE66B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w:t>
      </w:r>
      <w:r w:rsidRPr="008048D9">
        <w:rPr>
          <w:rFonts w:cs="Arial"/>
          <w:noProof/>
          <w:szCs w:val="24"/>
        </w:rPr>
        <w:tab/>
        <w:t xml:space="preserve">L. H. Grimm, S. Kelly, R. Krull, and D. C. Hempel, “Morphology and productivity of filamentous fungi,” </w:t>
      </w:r>
      <w:r w:rsidRPr="008048D9">
        <w:rPr>
          <w:rFonts w:cs="Arial"/>
          <w:i/>
          <w:iCs/>
          <w:noProof/>
          <w:szCs w:val="24"/>
        </w:rPr>
        <w:t>Appl. Microbiol. Biotechnol.</w:t>
      </w:r>
      <w:r w:rsidRPr="008048D9">
        <w:rPr>
          <w:rFonts w:cs="Arial"/>
          <w:noProof/>
          <w:szCs w:val="24"/>
        </w:rPr>
        <w:t>, vol. 69, no. 4, pp. 375–384, Dec. 2005.</w:t>
      </w:r>
    </w:p>
    <w:p w14:paraId="1A16B4E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w:t>
      </w:r>
      <w:r w:rsidRPr="008048D9">
        <w:rPr>
          <w:rFonts w:cs="Arial"/>
          <w:noProof/>
          <w:szCs w:val="24"/>
        </w:rPr>
        <w:tab/>
        <w:t xml:space="preserve">D. S. Hibbett </w:t>
      </w:r>
      <w:r w:rsidRPr="008048D9">
        <w:rPr>
          <w:rFonts w:cs="Arial"/>
          <w:i/>
          <w:iCs/>
          <w:noProof/>
          <w:szCs w:val="24"/>
        </w:rPr>
        <w:t>et al.</w:t>
      </w:r>
      <w:r w:rsidRPr="008048D9">
        <w:rPr>
          <w:rFonts w:cs="Arial"/>
          <w:noProof/>
          <w:szCs w:val="24"/>
        </w:rPr>
        <w:t xml:space="preserve">, “A higher-level phylogenetic classification of the Fungi,” </w:t>
      </w:r>
      <w:r w:rsidRPr="008048D9">
        <w:rPr>
          <w:rFonts w:cs="Arial"/>
          <w:i/>
          <w:iCs/>
          <w:noProof/>
          <w:szCs w:val="24"/>
        </w:rPr>
        <w:t>Mycol. Res.</w:t>
      </w:r>
      <w:r w:rsidRPr="008048D9">
        <w:rPr>
          <w:rFonts w:cs="Arial"/>
          <w:noProof/>
          <w:szCs w:val="24"/>
        </w:rPr>
        <w:t>, vol. 111, no. 5, pp. 509–547, May 2007.</w:t>
      </w:r>
    </w:p>
    <w:p w14:paraId="7425B2AA"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[8]</w:t>
      </w:r>
      <w:r w:rsidRPr="008048D9">
        <w:rPr>
          <w:rFonts w:cs="Arial"/>
          <w:noProof/>
          <w:szCs w:val="24"/>
        </w:rPr>
        <w:tab/>
        <w:t xml:space="preserve">M. V. Powers-Fletcher, B. A. Kendall, A. T. Griffin, and K. E. Hanson, “Filamentous Fungi,” in </w:t>
      </w:r>
      <w:r w:rsidRPr="008048D9">
        <w:rPr>
          <w:rFonts w:cs="Arial"/>
          <w:i/>
          <w:iCs/>
          <w:noProof/>
          <w:szCs w:val="24"/>
        </w:rPr>
        <w:t>Diagnostic Microbiology of the Immunocompromised Host, Second Edition</w:t>
      </w:r>
      <w:r w:rsidRPr="008048D9">
        <w:rPr>
          <w:rFonts w:cs="Arial"/>
          <w:noProof/>
          <w:szCs w:val="24"/>
        </w:rPr>
        <w:t>, vol. 4, no. 3, American Society of Microbiology, 2016, pp. 311–341.</w:t>
      </w:r>
    </w:p>
    <w:p w14:paraId="654413EC"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[9]</w:t>
      </w:r>
      <w:r w:rsidRPr="008048D9">
        <w:rPr>
          <w:rFonts w:cs="Arial"/>
          <w:noProof/>
          <w:szCs w:val="24"/>
        </w:rPr>
        <w:tab/>
        <w:t>H. Babich and G. Stotzky, “Abiotic Factors Affecting the Toxicity of Lead to Fungi,” 1979.</w:t>
      </w:r>
    </w:p>
    <w:p w14:paraId="7FBD41C9"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[10]</w:t>
      </w:r>
      <w:r w:rsidRPr="008048D9">
        <w:rPr>
          <w:rFonts w:cs="Arial"/>
          <w:noProof/>
          <w:szCs w:val="24"/>
        </w:rPr>
        <w:tab/>
        <w:t xml:space="preserve">T. Emri </w:t>
      </w:r>
      <w:r w:rsidRPr="008048D9">
        <w:rPr>
          <w:rFonts w:cs="Arial"/>
          <w:i/>
          <w:iCs/>
          <w:noProof/>
          <w:szCs w:val="24"/>
        </w:rPr>
        <w:t>et al.</w:t>
      </w:r>
      <w:r w:rsidRPr="008048D9">
        <w:rPr>
          <w:rFonts w:cs="Arial"/>
          <w:noProof/>
          <w:szCs w:val="24"/>
        </w:rPr>
        <w:t xml:space="preserve">, “Core oxidative stress response in Aspergillus nidulans,” </w:t>
      </w:r>
      <w:r w:rsidRPr="008048D9">
        <w:rPr>
          <w:rFonts w:cs="Arial"/>
          <w:i/>
          <w:iCs/>
          <w:noProof/>
          <w:szCs w:val="24"/>
        </w:rPr>
        <w:t>BMC Genomics</w:t>
      </w:r>
      <w:r w:rsidRPr="008048D9">
        <w:rPr>
          <w:rFonts w:cs="Arial"/>
          <w:noProof/>
          <w:szCs w:val="24"/>
        </w:rPr>
        <w:t>, vol. 16, no. 1, 2015.</w:t>
      </w:r>
    </w:p>
    <w:p w14:paraId="1A91C24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[11]</w:t>
      </w:r>
      <w:r w:rsidRPr="008048D9">
        <w:rPr>
          <w:rFonts w:cs="Arial"/>
          <w:noProof/>
          <w:szCs w:val="24"/>
        </w:rPr>
        <w:tab/>
        <w:t xml:space="preserve">D. Kültz, “MOLECULAR AND EVOLUTIONARY BASIS OF THE CELLULAR STRESS RESPONSE,” </w:t>
      </w:r>
      <w:r w:rsidRPr="008048D9">
        <w:rPr>
          <w:rFonts w:cs="Arial"/>
          <w:i/>
          <w:iCs/>
          <w:noProof/>
          <w:szCs w:val="24"/>
        </w:rPr>
        <w:t>Annu. Rev. Physiol.</w:t>
      </w:r>
      <w:r w:rsidRPr="008048D9">
        <w:rPr>
          <w:rFonts w:cs="Arial"/>
          <w:noProof/>
          <w:szCs w:val="24"/>
        </w:rPr>
        <w:t>, vol. 67, no. 1, pp. 225–257, Mar. 2005.</w:t>
      </w:r>
    </w:p>
    <w:p w14:paraId="64D77DE7"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[12]</w:t>
      </w:r>
      <w:r w:rsidRPr="008048D9">
        <w:rPr>
          <w:rFonts w:cs="Arial"/>
          <w:noProof/>
          <w:szCs w:val="24"/>
        </w:rPr>
        <w:tab/>
        <w:t xml:space="preserve">D. Hagiwara, K. Sakamoto, K. Abe, and K. Gomi, “Signaling pathways for stress responses and adaptation in Aspergillus species: Stress biology in the post-genomic era,” </w:t>
      </w:r>
      <w:r w:rsidRPr="008048D9">
        <w:rPr>
          <w:rFonts w:cs="Arial"/>
          <w:i/>
          <w:iCs/>
          <w:noProof/>
          <w:szCs w:val="24"/>
        </w:rPr>
        <w:t>Biosci. Biotechnol. Biochem.</w:t>
      </w:r>
      <w:r w:rsidRPr="008048D9">
        <w:rPr>
          <w:rFonts w:cs="Arial"/>
          <w:noProof/>
          <w:szCs w:val="24"/>
        </w:rPr>
        <w:t>, vol. 80, no. 9, pp. 1667–1680, 2016.</w:t>
      </w:r>
    </w:p>
    <w:p w14:paraId="3A05EBC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[13]</w:t>
      </w:r>
      <w:r w:rsidRPr="008048D9">
        <w:rPr>
          <w:rFonts w:cs="Arial"/>
          <w:noProof/>
          <w:szCs w:val="24"/>
        </w:rPr>
        <w:tab/>
        <w:t>M. I. Simon, M. P. Strathmann, and N. Gautam, “Diversity of Proteins in Signal Transduction,” vol. 252, no. 5007, pp. 802–808, 1991.</w:t>
      </w:r>
    </w:p>
    <w:p w14:paraId="1032D124"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[14]</w:t>
      </w:r>
      <w:r w:rsidRPr="008048D9">
        <w:rPr>
          <w:rFonts w:cs="Arial"/>
          <w:noProof/>
          <w:szCs w:val="24"/>
        </w:rPr>
        <w:tab/>
        <w:t xml:space="preserve">S. Rens-Domiano and H. E. Hamm, “Structural and functional relationships of heterotrimeric G-proteins,” </w:t>
      </w:r>
      <w:r w:rsidRPr="008048D9">
        <w:rPr>
          <w:rFonts w:cs="Arial"/>
          <w:i/>
          <w:iCs/>
          <w:noProof/>
          <w:szCs w:val="24"/>
        </w:rPr>
        <w:t>Faseb J</w:t>
      </w:r>
      <w:r w:rsidRPr="008048D9">
        <w:rPr>
          <w:rFonts w:cs="Arial"/>
          <w:noProof/>
          <w:szCs w:val="24"/>
        </w:rPr>
        <w:t>, vol. 9, no. 11, pp. 1059–1066, 1995.</w:t>
      </w:r>
    </w:p>
    <w:p w14:paraId="088E0D2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[15]</w:t>
      </w:r>
      <w:r w:rsidRPr="008048D9">
        <w:rPr>
          <w:rFonts w:cs="Arial"/>
          <w:noProof/>
          <w:szCs w:val="24"/>
        </w:rPr>
        <w:tab/>
        <w:t xml:space="preserve">L. Li, S. J. Wright, S. Krystofova, G. Park, and K. A. Borkovich, “Heterotrimeric G Protein Signaling in Filamentous Fungi,” </w:t>
      </w:r>
      <w:r w:rsidRPr="008048D9">
        <w:rPr>
          <w:rFonts w:cs="Arial"/>
          <w:i/>
          <w:iCs/>
          <w:noProof/>
          <w:szCs w:val="24"/>
        </w:rPr>
        <w:t>Annu. Rev. Microbiol.</w:t>
      </w:r>
      <w:r w:rsidRPr="008048D9">
        <w:rPr>
          <w:rFonts w:cs="Arial"/>
          <w:noProof/>
          <w:szCs w:val="24"/>
        </w:rPr>
        <w:t>, vol. 61, no. 1, pp. 423–452, 2007.</w:t>
      </w:r>
    </w:p>
    <w:p w14:paraId="4C9A3D32"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[16]</w:t>
      </w:r>
      <w:r w:rsidRPr="008048D9">
        <w:rPr>
          <w:rFonts w:cs="Arial"/>
          <w:noProof/>
          <w:szCs w:val="24"/>
        </w:rPr>
        <w:tab/>
        <w:t xml:space="preserve">S. Liu and R. a Dean, “G protein alpha subunit genes control growth, development, and pathogenicity of Magnaporthe grisea.,” </w:t>
      </w:r>
      <w:r w:rsidRPr="008048D9">
        <w:rPr>
          <w:rFonts w:cs="Arial"/>
          <w:i/>
          <w:iCs/>
          <w:noProof/>
          <w:szCs w:val="24"/>
        </w:rPr>
        <w:t>Mol. Plant. Microbe. Interact.</w:t>
      </w:r>
      <w:r w:rsidRPr="008048D9">
        <w:rPr>
          <w:rFonts w:cs="Arial"/>
          <w:noProof/>
          <w:szCs w:val="24"/>
        </w:rPr>
        <w:t>, vol. 10, no. 9, pp. 1075–86, 1997.</w:t>
      </w:r>
    </w:p>
    <w:p w14:paraId="542A8652"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[17]</w:t>
      </w:r>
      <w:r w:rsidRPr="008048D9">
        <w:rPr>
          <w:rFonts w:cs="Arial"/>
          <w:noProof/>
          <w:szCs w:val="24"/>
        </w:rPr>
        <w:tab/>
        <w:t xml:space="preserve">Y. Liu </w:t>
      </w:r>
      <w:r w:rsidRPr="008048D9">
        <w:rPr>
          <w:rFonts w:cs="Arial"/>
          <w:i/>
          <w:iCs/>
          <w:noProof/>
          <w:szCs w:val="24"/>
        </w:rPr>
        <w:t>et al.</w:t>
      </w:r>
      <w:r w:rsidRPr="008048D9">
        <w:rPr>
          <w:rFonts w:cs="Arial"/>
          <w:noProof/>
          <w:szCs w:val="24"/>
        </w:rPr>
        <w:t xml:space="preserve">, “G Protein α Subunit GpaB is Required for Asexual Development, Aflatoxin Biosynthesis and Pathogenicity by Regulating cAMP Signaling in Aspergillus flavus.,” </w:t>
      </w:r>
      <w:r w:rsidRPr="008048D9">
        <w:rPr>
          <w:rFonts w:cs="Arial"/>
          <w:i/>
          <w:iCs/>
          <w:noProof/>
          <w:szCs w:val="24"/>
        </w:rPr>
        <w:t>Toxins (Basel).</w:t>
      </w:r>
      <w:r w:rsidRPr="008048D9">
        <w:rPr>
          <w:rFonts w:cs="Arial"/>
          <w:noProof/>
          <w:szCs w:val="24"/>
        </w:rPr>
        <w:t>, vol. 10, no. 3, Mar. 2018.</w:t>
      </w:r>
    </w:p>
    <w:p w14:paraId="7E6FEBD9"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[18]</w:t>
      </w:r>
      <w:r w:rsidRPr="008048D9">
        <w:rPr>
          <w:rFonts w:cs="Arial"/>
          <w:noProof/>
          <w:szCs w:val="24"/>
        </w:rPr>
        <w:tab/>
        <w:t xml:space="preserve">M. Bölker, “Sex and crime: Heterotrimeric G proteins in fungal mating and pathogenesis,” </w:t>
      </w:r>
      <w:r w:rsidRPr="008048D9">
        <w:rPr>
          <w:rFonts w:cs="Arial"/>
          <w:i/>
          <w:iCs/>
          <w:noProof/>
          <w:szCs w:val="24"/>
        </w:rPr>
        <w:t>Fungal Genet. Biol.</w:t>
      </w:r>
      <w:r w:rsidRPr="008048D9">
        <w:rPr>
          <w:rFonts w:cs="Arial"/>
          <w:noProof/>
          <w:szCs w:val="24"/>
        </w:rPr>
        <w:t>, vol. 25, no. 3, pp. 143–156, 1998.</w:t>
      </w:r>
    </w:p>
    <w:p w14:paraId="26B7F1E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[19]</w:t>
      </w:r>
      <w:r w:rsidRPr="008048D9">
        <w:rPr>
          <w:rFonts w:cs="Arial"/>
          <w:noProof/>
          <w:szCs w:val="24"/>
        </w:rPr>
        <w:tab/>
        <w:t>C. G. Alvaro and J. Thorner, “Heterotrimeric G Protein-coupled Receptor Signaling in Yeast Mating Pheromone Response *,” 2016.</w:t>
      </w:r>
    </w:p>
    <w:p w14:paraId="79C7C70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[20]</w:t>
      </w:r>
      <w:r w:rsidRPr="008048D9">
        <w:rPr>
          <w:rFonts w:cs="Arial"/>
          <w:noProof/>
          <w:szCs w:val="24"/>
        </w:rPr>
        <w:tab/>
        <w:t xml:space="preserve">G. M. TRUESDELL, Z. YANG, and M. B. DICKMAN, “A Gα subunit gene from the phytopathogenic fungus Colletotrichum trifolii is required for conidial germination,” </w:t>
      </w:r>
      <w:r w:rsidRPr="008048D9">
        <w:rPr>
          <w:rFonts w:cs="Arial"/>
          <w:i/>
          <w:iCs/>
          <w:noProof/>
          <w:szCs w:val="24"/>
        </w:rPr>
        <w:t>Physiol. Mol. Plant Pathol.</w:t>
      </w:r>
      <w:r w:rsidRPr="008048D9">
        <w:rPr>
          <w:rFonts w:cs="Arial"/>
          <w:noProof/>
          <w:szCs w:val="24"/>
        </w:rPr>
        <w:t>, vol. 56, no. 3, pp. 131–140, Mar. 2000.</w:t>
      </w:r>
    </w:p>
    <w:p w14:paraId="002AC2B8"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[21]</w:t>
      </w:r>
      <w:r w:rsidRPr="008048D9">
        <w:rPr>
          <w:rFonts w:cs="Arial"/>
          <w:noProof/>
          <w:szCs w:val="24"/>
        </w:rPr>
        <w:tab/>
        <w:t xml:space="preserve">G. E. Turner and K. A. Borkovich, “Identification of a G protein α subunit from Neurospora crassa that is a member of the G(i) family,” </w:t>
      </w:r>
      <w:r w:rsidRPr="008048D9">
        <w:rPr>
          <w:rFonts w:cs="Arial"/>
          <w:i/>
          <w:iCs/>
          <w:noProof/>
          <w:szCs w:val="24"/>
        </w:rPr>
        <w:t>J. Biol. Chem.</w:t>
      </w:r>
      <w:r w:rsidRPr="008048D9">
        <w:rPr>
          <w:rFonts w:cs="Arial"/>
          <w:noProof/>
          <w:szCs w:val="24"/>
        </w:rPr>
        <w:t>, vol. 268, no. 20, pp. 14805–14811, 1993.</w:t>
      </w:r>
    </w:p>
    <w:p w14:paraId="037CAD71"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[22]</w:t>
      </w:r>
      <w:r w:rsidRPr="008048D9">
        <w:rPr>
          <w:rFonts w:cs="Arial"/>
          <w:noProof/>
          <w:szCs w:val="24"/>
        </w:rPr>
        <w:tab/>
        <w:t xml:space="preserve">F. D. Ivey, P. N. Hodge, G. E. Turner, and K. A. Borkovich, “The G alpha i homologue gna-1 controls multiple differentiation pathways in Neurospora crassa,” </w:t>
      </w:r>
      <w:r w:rsidRPr="008048D9">
        <w:rPr>
          <w:rFonts w:cs="Arial"/>
          <w:i/>
          <w:iCs/>
          <w:noProof/>
          <w:szCs w:val="24"/>
        </w:rPr>
        <w:t>Mol Biol Cell</w:t>
      </w:r>
      <w:r w:rsidRPr="008048D9">
        <w:rPr>
          <w:rFonts w:cs="Arial"/>
          <w:noProof/>
          <w:szCs w:val="24"/>
        </w:rPr>
        <w:t>, vol. 7, no. 8, pp. 1283–1297, 1996.</w:t>
      </w:r>
    </w:p>
    <w:p w14:paraId="61167C0D"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[23]</w:t>
      </w:r>
      <w:r w:rsidRPr="008048D9">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8048D9">
        <w:rPr>
          <w:rFonts w:cs="Arial"/>
          <w:i/>
          <w:iCs/>
          <w:noProof/>
          <w:szCs w:val="24"/>
        </w:rPr>
        <w:t>Fungal Genet. Biol.</w:t>
      </w:r>
      <w:r w:rsidRPr="008048D9">
        <w:rPr>
          <w:rFonts w:cs="Arial"/>
          <w:noProof/>
          <w:szCs w:val="24"/>
        </w:rPr>
        <w:t>, vol. 48, no. 6, pp. 631–640, 2011.</w:t>
      </w:r>
    </w:p>
    <w:p w14:paraId="36A1E92F"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[24]</w:t>
      </w:r>
      <w:r w:rsidRPr="008048D9">
        <w:rPr>
          <w:rFonts w:cs="Arial"/>
          <w:noProof/>
          <w:szCs w:val="24"/>
        </w:rPr>
        <w:tab/>
        <w:t xml:space="preserve">E. Regenfelder, T. Spellig, A. Hartmann, S. Lauenstein, M. Bölker, and R. Kahmann, “G proteins in Ustilago maydis: transmission of multiple signals?,” </w:t>
      </w:r>
      <w:r w:rsidRPr="008048D9">
        <w:rPr>
          <w:rFonts w:cs="Arial"/>
          <w:i/>
          <w:iCs/>
          <w:noProof/>
          <w:szCs w:val="24"/>
        </w:rPr>
        <w:t>EMBO J.</w:t>
      </w:r>
      <w:r w:rsidRPr="008048D9">
        <w:rPr>
          <w:rFonts w:cs="Arial"/>
          <w:noProof/>
          <w:szCs w:val="24"/>
        </w:rPr>
        <w:t>, vol. 16, no. 8, pp. 1934–1942, Apr. 1997.</w:t>
      </w:r>
    </w:p>
    <w:p w14:paraId="7C7B7754"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[25]</w:t>
      </w:r>
      <w:r w:rsidRPr="008048D9">
        <w:rPr>
          <w:rFonts w:cs="Arial"/>
          <w:noProof/>
          <w:szCs w:val="24"/>
        </w:rPr>
        <w:tab/>
        <w:t xml:space="preserve">H. Liu, A. Suresh, F. S. Willard, D. P. Siderovski, S. Lu, and N. I. Naqvi, “Rgs1 regulates multiple Gα subunits in Magnaporthe pathogenesis, asexual growth and thigmotropism,” </w:t>
      </w:r>
      <w:r w:rsidRPr="008048D9">
        <w:rPr>
          <w:rFonts w:cs="Arial"/>
          <w:i/>
          <w:iCs/>
          <w:noProof/>
          <w:szCs w:val="24"/>
        </w:rPr>
        <w:t>EMBO J.</w:t>
      </w:r>
      <w:r w:rsidRPr="008048D9">
        <w:rPr>
          <w:rFonts w:cs="Arial"/>
          <w:noProof/>
          <w:szCs w:val="24"/>
        </w:rPr>
        <w:t>, vol. 26, no. 3, pp. 690–700, Feb. 2007.</w:t>
      </w:r>
    </w:p>
    <w:p w14:paraId="279DC7C1"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[26]</w:t>
      </w:r>
      <w:r w:rsidRPr="008048D9">
        <w:rPr>
          <w:rFonts w:cs="Arial"/>
          <w:noProof/>
          <w:szCs w:val="24"/>
        </w:rPr>
        <w:tab/>
        <w:t xml:space="preserve">D. M. Berman, T. M. Wilkie, and A. G. Gilman, “GAIP and RGS4 are GTPase-activating proteins for the G(i) subfamily of G protein α subunits,” </w:t>
      </w:r>
      <w:r w:rsidRPr="008048D9">
        <w:rPr>
          <w:rFonts w:cs="Arial"/>
          <w:i/>
          <w:iCs/>
          <w:noProof/>
          <w:szCs w:val="24"/>
        </w:rPr>
        <w:t>Cell</w:t>
      </w:r>
      <w:r w:rsidRPr="008048D9">
        <w:rPr>
          <w:rFonts w:cs="Arial"/>
          <w:noProof/>
          <w:szCs w:val="24"/>
        </w:rPr>
        <w:t>, vol. 86, no. 3, pp. 445–452, 1996.</w:t>
      </w:r>
    </w:p>
    <w:p w14:paraId="6B0502DD"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[27]</w:t>
      </w:r>
      <w:r w:rsidRPr="008048D9">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8048D9">
        <w:rPr>
          <w:rFonts w:cs="Arial"/>
          <w:i/>
          <w:iCs/>
          <w:noProof/>
          <w:szCs w:val="24"/>
        </w:rPr>
        <w:t>Mol. Microbiol.</w:t>
      </w:r>
      <w:r w:rsidRPr="008048D9">
        <w:rPr>
          <w:rFonts w:cs="Arial"/>
          <w:noProof/>
          <w:szCs w:val="24"/>
        </w:rPr>
        <w:t>, vol. 53, no. 2, pp. 529–540, 2004.</w:t>
      </w:r>
    </w:p>
    <w:p w14:paraId="3A4BCAA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[28]</w:t>
      </w:r>
      <w:r w:rsidRPr="008048D9">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8048D9">
        <w:rPr>
          <w:rFonts w:cs="Arial"/>
          <w:i/>
          <w:iCs/>
          <w:noProof/>
          <w:szCs w:val="24"/>
        </w:rPr>
        <w:t>Eukaryot. Cell</w:t>
      </w:r>
      <w:r w:rsidRPr="008048D9">
        <w:rPr>
          <w:rFonts w:cs="Arial"/>
          <w:noProof/>
          <w:szCs w:val="24"/>
        </w:rPr>
        <w:t>, vol. 1, no. 3, pp. 440–447, 2002.</w:t>
      </w:r>
    </w:p>
    <w:p w14:paraId="08A93D29"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[29]</w:t>
      </w:r>
      <w:r w:rsidRPr="008048D9">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8048D9">
        <w:rPr>
          <w:rFonts w:cs="Arial"/>
          <w:i/>
          <w:iCs/>
          <w:noProof/>
          <w:szCs w:val="24"/>
        </w:rPr>
        <w:t>Eukaryot. Cell</w:t>
      </w:r>
      <w:r w:rsidRPr="008048D9">
        <w:rPr>
          <w:rFonts w:cs="Arial"/>
          <w:noProof/>
          <w:szCs w:val="24"/>
        </w:rPr>
        <w:t>, vol. 1, no. 4, pp. 634–642, 2002.</w:t>
      </w:r>
    </w:p>
    <w:p w14:paraId="5F9C09FC"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[30]</w:t>
      </w:r>
      <w:r w:rsidRPr="008048D9">
        <w:rPr>
          <w:rFonts w:cs="Arial"/>
          <w:noProof/>
          <w:szCs w:val="24"/>
        </w:rPr>
        <w:tab/>
        <w:t xml:space="preserve">S. J. Wright, R. Inchausti, C. J. Eaton, S. Krystofova, K. A. Borkovich </w:t>
      </w:r>
      <w:dir w:val="rtl">
        <w:r w:rsidRPr="008048D9">
          <w:rPr>
            <w:rFonts w:cs="Arial"/>
            <w:noProof/>
            <w:szCs w:val="24"/>
          </w:rPr>
          <w:t xml:space="preserve">3, and ٭. </w:t>
        </w:r>
        <w:dir w:val="rtl">
          <w:r w:rsidRPr="008048D9">
            <w:rPr>
              <w:rFonts w:cs="Arial"/>
              <w:noProof/>
              <w:szCs w:val="24"/>
            </w:rPr>
            <w:t>٭</w:t>
          </w:r>
          <w:r w:rsidRPr="008048D9">
            <w:rPr>
              <w:rFonts w:cs="Arial"/>
              <w:noProof/>
              <w:szCs w:val="24"/>
            </w:rPr>
            <w:t>‬, “RIC8 is a guanine-nucleotide exchange factor for Gα subunits that regulates growth and development in Neurospora crassa.”</w:t>
          </w:r>
        </w:dir>
      </w:dir>
    </w:p>
    <w:p w14:paraId="0037FC51"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[31]</w:t>
      </w:r>
      <w:r w:rsidRPr="008048D9">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8048D9">
        <w:rPr>
          <w:rFonts w:cs="Arial"/>
          <w:i/>
          <w:iCs/>
          <w:noProof/>
          <w:szCs w:val="24"/>
        </w:rPr>
        <w:t>PLoS One</w:t>
      </w:r>
      <w:r w:rsidRPr="008048D9">
        <w:rPr>
          <w:rFonts w:cs="Arial"/>
          <w:noProof/>
          <w:szCs w:val="24"/>
        </w:rPr>
        <w:t>, vol. 7, no. 10, p. e48026, Oct. 2012.</w:t>
      </w:r>
    </w:p>
    <w:p w14:paraId="7ED754E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[32]</w:t>
      </w:r>
      <w:r w:rsidRPr="008048D9">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8048D9">
        <w:rPr>
          <w:rFonts w:cs="Arial"/>
          <w:i/>
          <w:iCs/>
          <w:noProof/>
          <w:szCs w:val="24"/>
        </w:rPr>
        <w:t>BMC Microbiol.</w:t>
      </w:r>
      <w:r w:rsidRPr="008048D9">
        <w:rPr>
          <w:rFonts w:cs="Arial"/>
          <w:noProof/>
          <w:szCs w:val="24"/>
        </w:rPr>
        <w:t>, vol. 10, no. 1, p. 317, 2010.</w:t>
      </w:r>
    </w:p>
    <w:p w14:paraId="25E081C7"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[33]</w:t>
      </w:r>
      <w:r w:rsidRPr="008048D9">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8048D9">
        <w:rPr>
          <w:rFonts w:cs="Arial"/>
          <w:i/>
          <w:iCs/>
          <w:noProof/>
          <w:szCs w:val="24"/>
        </w:rPr>
        <w:t>Biomolecules</w:t>
      </w:r>
      <w:r w:rsidRPr="008048D9">
        <w:rPr>
          <w:rFonts w:cs="Arial"/>
          <w:noProof/>
          <w:szCs w:val="24"/>
        </w:rPr>
        <w:t>, vol. 5, no. 2, pp. 318–42, Apr. 2015.</w:t>
      </w:r>
    </w:p>
    <w:p w14:paraId="30DF7427"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[34]</w:t>
      </w:r>
      <w:r w:rsidRPr="008048D9">
        <w:rPr>
          <w:rFonts w:cs="Arial"/>
          <w:noProof/>
          <w:szCs w:val="24"/>
        </w:rPr>
        <w:tab/>
        <w:t xml:space="preserve">E. Birben, U. M. Sahiner, C. Sackesen, S. Erzurum, and O. Kalayci, “Oxidative stress and antioxidant defense.,” </w:t>
      </w:r>
      <w:r w:rsidRPr="008048D9">
        <w:rPr>
          <w:rFonts w:cs="Arial"/>
          <w:i/>
          <w:iCs/>
          <w:noProof/>
          <w:szCs w:val="24"/>
        </w:rPr>
        <w:t>World Allergy Organ. J.</w:t>
      </w:r>
      <w:r w:rsidRPr="008048D9">
        <w:rPr>
          <w:rFonts w:cs="Arial"/>
          <w:noProof/>
          <w:szCs w:val="24"/>
        </w:rPr>
        <w:t>, vol. 5, no. 1, pp. 9–19, Jan. 2012.</w:t>
      </w:r>
    </w:p>
    <w:p w14:paraId="0777D33D"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[35]</w:t>
      </w:r>
      <w:r w:rsidRPr="008048D9">
        <w:rPr>
          <w:rFonts w:cs="Arial"/>
          <w:noProof/>
          <w:szCs w:val="24"/>
        </w:rPr>
        <w:tab/>
        <w:t xml:space="preserve">D. Trachootham, W. Lu, M. A. Ogasawara, R.-D. V. Nilsa, and P. Huang, “Redox regulation of cell survival.,” </w:t>
      </w:r>
      <w:r w:rsidRPr="008048D9">
        <w:rPr>
          <w:rFonts w:cs="Arial"/>
          <w:i/>
          <w:iCs/>
          <w:noProof/>
          <w:szCs w:val="24"/>
        </w:rPr>
        <w:t>Antioxid. Redox Signal.</w:t>
      </w:r>
      <w:r w:rsidRPr="008048D9">
        <w:rPr>
          <w:rFonts w:cs="Arial"/>
          <w:noProof/>
          <w:szCs w:val="24"/>
        </w:rPr>
        <w:t>, vol. 10, no. 8, pp. 1343–74, Aug. 2008.</w:t>
      </w:r>
    </w:p>
    <w:p w14:paraId="1AEF813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[36]</w:t>
      </w:r>
      <w:r w:rsidRPr="008048D9">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8048D9">
        <w:rPr>
          <w:rFonts w:cs="Arial"/>
          <w:i/>
          <w:iCs/>
          <w:noProof/>
          <w:szCs w:val="24"/>
        </w:rPr>
        <w:t>Int. Microbiol.</w:t>
      </w:r>
      <w:r w:rsidRPr="008048D9">
        <w:rPr>
          <w:rFonts w:cs="Arial"/>
          <w:noProof/>
          <w:szCs w:val="24"/>
        </w:rPr>
        <w:t>, vol. 12, no. 2, pp. 123–9, Jun. 2009.</w:t>
      </w:r>
    </w:p>
    <w:p w14:paraId="713BC07D"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[37]</w:t>
      </w:r>
      <w:r w:rsidRPr="008048D9">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8048D9">
        <w:rPr>
          <w:rFonts w:cs="Arial"/>
          <w:i/>
          <w:iCs/>
          <w:noProof/>
          <w:szCs w:val="24"/>
        </w:rPr>
        <w:t>Fungal Genet. Biol.</w:t>
      </w:r>
      <w:r w:rsidRPr="008048D9">
        <w:rPr>
          <w:rFonts w:cs="Arial"/>
          <w:noProof/>
          <w:szCs w:val="24"/>
        </w:rPr>
        <w:t>, vol. 48, no. 6, pp. 641–649, 2011.</w:t>
      </w:r>
    </w:p>
    <w:p w14:paraId="1C546224"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[38]</w:t>
      </w:r>
      <w:r w:rsidRPr="008048D9">
        <w:rPr>
          <w:rFonts w:cs="Arial"/>
          <w:noProof/>
          <w:szCs w:val="24"/>
        </w:rPr>
        <w:tab/>
        <w:t xml:space="preserve">R. O. García-Rico </w:t>
      </w:r>
      <w:r w:rsidRPr="008048D9">
        <w:rPr>
          <w:rFonts w:cs="Arial"/>
          <w:i/>
          <w:iCs/>
          <w:noProof/>
          <w:szCs w:val="24"/>
        </w:rPr>
        <w:t>et al.</w:t>
      </w:r>
      <w:r w:rsidRPr="008048D9">
        <w:rPr>
          <w:rFonts w:cs="Arial"/>
          <w:noProof/>
          <w:szCs w:val="24"/>
        </w:rPr>
        <w:t xml:space="preserve">, “Heterotrimeric G protein alpha subunit controls growth, stress response, extracellular protease activity, and cyclopiazonic acid production in Penicillium camemberti,” </w:t>
      </w:r>
      <w:r w:rsidRPr="008048D9">
        <w:rPr>
          <w:rFonts w:cs="Arial"/>
          <w:i/>
          <w:iCs/>
          <w:noProof/>
          <w:szCs w:val="24"/>
        </w:rPr>
        <w:t>Fungal Biol.</w:t>
      </w:r>
      <w:r w:rsidRPr="008048D9">
        <w:rPr>
          <w:rFonts w:cs="Arial"/>
          <w:noProof/>
          <w:szCs w:val="24"/>
        </w:rPr>
        <w:t>, vol. 121, no. 9, pp. 754–762, Sep. 2017.</w:t>
      </w:r>
    </w:p>
    <w:p w14:paraId="6C45B3C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[39]</w:t>
      </w:r>
      <w:r w:rsidRPr="008048D9">
        <w:rPr>
          <w:rFonts w:cs="Arial"/>
          <w:noProof/>
          <w:szCs w:val="24"/>
        </w:rPr>
        <w:tab/>
        <w:t xml:space="preserve">U. Carrasco-Navarro </w:t>
      </w:r>
      <w:r w:rsidRPr="008048D9">
        <w:rPr>
          <w:rFonts w:cs="Arial"/>
          <w:i/>
          <w:iCs/>
          <w:noProof/>
          <w:szCs w:val="24"/>
        </w:rPr>
        <w:t>et al.</w:t>
      </w:r>
      <w:r w:rsidRPr="008048D9">
        <w:rPr>
          <w:rFonts w:cs="Arial"/>
          <w:noProof/>
          <w:szCs w:val="24"/>
        </w:rPr>
        <w:t xml:space="preserve">, “Proteomic analysis of the signaling pathway mediated by the heterotrimeric Ga protein Pga1 of Penicillium chrysogenum,” </w:t>
      </w:r>
      <w:r w:rsidRPr="008048D9">
        <w:rPr>
          <w:rFonts w:cs="Arial"/>
          <w:i/>
          <w:iCs/>
          <w:noProof/>
          <w:szCs w:val="24"/>
        </w:rPr>
        <w:t>Microb. Cell Fact.</w:t>
      </w:r>
      <w:r w:rsidRPr="008048D9">
        <w:rPr>
          <w:rFonts w:cs="Arial"/>
          <w:noProof/>
          <w:szCs w:val="24"/>
        </w:rPr>
        <w:t>, vol. 15, no. 1, pp. 1–17, 2016.</w:t>
      </w:r>
    </w:p>
    <w:p w14:paraId="490DC13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[40]</w:t>
      </w:r>
      <w:r w:rsidRPr="008048D9">
        <w:rPr>
          <w:rFonts w:cs="Arial"/>
          <w:noProof/>
          <w:szCs w:val="24"/>
        </w:rPr>
        <w:tab/>
        <w:t xml:space="preserve">Q. Yang and K. A. Borkovich, “Mutational activation of a Gα(i) causes uncontrolled proliferation of aerial hyphae and increased sensitivity to heat and oxidative stress in Neurospora crassa,” </w:t>
      </w:r>
      <w:r w:rsidRPr="008048D9">
        <w:rPr>
          <w:rFonts w:cs="Arial"/>
          <w:i/>
          <w:iCs/>
          <w:noProof/>
          <w:szCs w:val="24"/>
        </w:rPr>
        <w:t>Genetics</w:t>
      </w:r>
      <w:r w:rsidRPr="008048D9">
        <w:rPr>
          <w:rFonts w:cs="Arial"/>
          <w:noProof/>
          <w:szCs w:val="24"/>
        </w:rPr>
        <w:t>, vol. 151, no. 1, pp. 107–117, 1999.</w:t>
      </w:r>
    </w:p>
    <w:p w14:paraId="2FB932C5"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[41]</w:t>
      </w:r>
      <w:r w:rsidRPr="008048D9">
        <w:rPr>
          <w:rFonts w:cs="Arial"/>
          <w:noProof/>
          <w:szCs w:val="24"/>
        </w:rPr>
        <w:tab/>
        <w:t xml:space="preserve">A. M. Kays, P. S. Rowley, R. A. Baasiri, and K. A. Borkovich, “Regulation of conidiation and adenylyl cyclase levels by the Galpha protein GNA-3 in Neurospora crassa,” </w:t>
      </w:r>
      <w:r w:rsidRPr="008048D9">
        <w:rPr>
          <w:rFonts w:cs="Arial"/>
          <w:i/>
          <w:iCs/>
          <w:noProof/>
          <w:szCs w:val="24"/>
        </w:rPr>
        <w:t>Mol Cell Biol</w:t>
      </w:r>
      <w:r w:rsidRPr="008048D9">
        <w:rPr>
          <w:rFonts w:cs="Arial"/>
          <w:noProof/>
          <w:szCs w:val="24"/>
        </w:rPr>
        <w:t>, vol. 20, no. 20, pp. 7693–7705, 2000.</w:t>
      </w:r>
    </w:p>
    <w:p w14:paraId="6EDD6B5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[42]</w:t>
      </w:r>
      <w:r w:rsidRPr="008048D9">
        <w:rPr>
          <w:rFonts w:cs="Arial"/>
          <w:noProof/>
          <w:szCs w:val="24"/>
        </w:rPr>
        <w:tab/>
        <w:t xml:space="preserve">F. D. Ivey, Q. Yang, and K. A. Borkovich, “Positive Regulation of Adenylyl Cyclase Activity by a GαiHomolog inNeurospora crassa,” </w:t>
      </w:r>
      <w:r w:rsidRPr="008048D9">
        <w:rPr>
          <w:rFonts w:cs="Arial"/>
          <w:i/>
          <w:iCs/>
          <w:noProof/>
          <w:szCs w:val="24"/>
        </w:rPr>
        <w:t>Fungal Genet. Biol.</w:t>
      </w:r>
      <w:r w:rsidRPr="008048D9">
        <w:rPr>
          <w:rFonts w:cs="Arial"/>
          <w:noProof/>
          <w:szCs w:val="24"/>
        </w:rPr>
        <w:t>, vol. 26, no. 1, pp. 48–61, Feb. 1999.</w:t>
      </w:r>
    </w:p>
    <w:p w14:paraId="3F6C805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[43]</w:t>
      </w:r>
      <w:r w:rsidRPr="008048D9">
        <w:rPr>
          <w:rFonts w:cs="Arial"/>
          <w:noProof/>
          <w:szCs w:val="24"/>
        </w:rPr>
        <w:tab/>
        <w:t xml:space="preserve">A. M. Kays and K. A. Borkovich, “Severe Impairment of Growth and Differentiation in a Neurospora crassa Mutant Lacking All Heterotrimeric G?? Proteins,” </w:t>
      </w:r>
      <w:r w:rsidRPr="008048D9">
        <w:rPr>
          <w:rFonts w:cs="Arial"/>
          <w:i/>
          <w:iCs/>
          <w:noProof/>
          <w:szCs w:val="24"/>
        </w:rPr>
        <w:t>Genetics</w:t>
      </w:r>
      <w:r w:rsidRPr="008048D9">
        <w:rPr>
          <w:rFonts w:cs="Arial"/>
          <w:noProof/>
          <w:szCs w:val="24"/>
        </w:rPr>
        <w:t>, vol. 166, no. 3, pp. 1229–1240, 2004.</w:t>
      </w:r>
    </w:p>
    <w:p w14:paraId="4083597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[44]</w:t>
      </w:r>
      <w:r w:rsidRPr="008048D9">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8048D9">
        <w:rPr>
          <w:rFonts w:cs="Arial"/>
          <w:i/>
          <w:iCs/>
          <w:noProof/>
          <w:szCs w:val="24"/>
        </w:rPr>
        <w:t>Biochem. Biophys. Res. Commun.</w:t>
      </w:r>
      <w:r w:rsidRPr="008048D9">
        <w:rPr>
          <w:rFonts w:cs="Arial"/>
          <w:noProof/>
          <w:szCs w:val="24"/>
        </w:rPr>
        <w:t>, vol. 327, no. 1, pp. 311–319, Feb. 2005.</w:t>
      </w:r>
    </w:p>
    <w:p w14:paraId="0A0B6932"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[45]</w:t>
      </w:r>
      <w:r w:rsidRPr="008048D9">
        <w:rPr>
          <w:rFonts w:cs="Arial"/>
          <w:noProof/>
          <w:szCs w:val="24"/>
        </w:rPr>
        <w:tab/>
        <w:t xml:space="preserve">A. Dantas, A. Day, M. Ikeh, I. Kos, B. Achan, and J. Quinn, “Oxidative Stress Responses in the Human Fungal Pathogen, Candida albicans,” </w:t>
      </w:r>
      <w:r w:rsidRPr="008048D9">
        <w:rPr>
          <w:rFonts w:cs="Arial"/>
          <w:i/>
          <w:iCs/>
          <w:noProof/>
          <w:szCs w:val="24"/>
        </w:rPr>
        <w:t>Biomolecules</w:t>
      </w:r>
      <w:r w:rsidRPr="008048D9">
        <w:rPr>
          <w:rFonts w:cs="Arial"/>
          <w:noProof/>
          <w:szCs w:val="24"/>
        </w:rPr>
        <w:t>, vol. 5, no. 1, pp. 142–165, Feb. 2015.</w:t>
      </w:r>
    </w:p>
    <w:p w14:paraId="72CF638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[46]</w:t>
      </w:r>
      <w:r w:rsidRPr="008048D9">
        <w:rPr>
          <w:rFonts w:cs="Arial"/>
          <w:noProof/>
          <w:szCs w:val="24"/>
        </w:rPr>
        <w:tab/>
        <w:t xml:space="preserve">D. Wilson </w:t>
      </w:r>
      <w:r w:rsidRPr="008048D9">
        <w:rPr>
          <w:rFonts w:cs="Arial"/>
          <w:i/>
          <w:iCs/>
          <w:noProof/>
          <w:szCs w:val="24"/>
        </w:rPr>
        <w:t>et al.</w:t>
      </w:r>
      <w:r w:rsidRPr="008048D9">
        <w:rPr>
          <w:rFonts w:cs="Arial"/>
          <w:noProof/>
          <w:szCs w:val="24"/>
        </w:rPr>
        <w:t xml:space="preserve">, “Deletion of the high-affinity cAMP phosphodiesterase encoded by PDE2 affects stress responses and virulence in Candida albicans,” </w:t>
      </w:r>
      <w:r w:rsidRPr="008048D9">
        <w:rPr>
          <w:rFonts w:cs="Arial"/>
          <w:i/>
          <w:iCs/>
          <w:noProof/>
          <w:szCs w:val="24"/>
        </w:rPr>
        <w:t>Mol. Microbiol.</w:t>
      </w:r>
      <w:r w:rsidRPr="008048D9">
        <w:rPr>
          <w:rFonts w:cs="Arial"/>
          <w:noProof/>
          <w:szCs w:val="24"/>
        </w:rPr>
        <w:t>, vol. 65, no. 4, pp. 841–856, Aug. 2007.</w:t>
      </w:r>
    </w:p>
    <w:p w14:paraId="192A0D02"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[47]</w:t>
      </w:r>
      <w:r w:rsidRPr="008048D9">
        <w:rPr>
          <w:rFonts w:cs="Arial"/>
          <w:noProof/>
          <w:szCs w:val="24"/>
        </w:rPr>
        <w:tab/>
        <w:t xml:space="preserve">C. Seibel, G. Gremel, R. do Nascimento Silva, A. Schuster, C. P. Kubicek, and M. Schmoll, “Light-dependent roles of the G-protein ?? subunit GNA1 of Hypocrea jecorina (anamorph Trichoderma reesei),” </w:t>
      </w:r>
      <w:r w:rsidRPr="008048D9">
        <w:rPr>
          <w:rFonts w:cs="Arial"/>
          <w:i/>
          <w:iCs/>
          <w:noProof/>
          <w:szCs w:val="24"/>
        </w:rPr>
        <w:t>BMC Biol.</w:t>
      </w:r>
      <w:r w:rsidRPr="008048D9">
        <w:rPr>
          <w:rFonts w:cs="Arial"/>
          <w:noProof/>
          <w:szCs w:val="24"/>
        </w:rPr>
        <w:t>, vol. 7, p. 58, 2009.</w:t>
      </w:r>
    </w:p>
    <w:p w14:paraId="7D41CCF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[48]</w:t>
      </w:r>
      <w:r w:rsidRPr="008048D9">
        <w:rPr>
          <w:rFonts w:cs="Arial"/>
          <w:noProof/>
          <w:szCs w:val="24"/>
        </w:rPr>
        <w:tab/>
        <w:t xml:space="preserve">E. Fréalle </w:t>
      </w:r>
      <w:r w:rsidRPr="008048D9">
        <w:rPr>
          <w:rFonts w:cs="Arial"/>
          <w:i/>
          <w:iCs/>
          <w:noProof/>
          <w:szCs w:val="24"/>
        </w:rPr>
        <w:t>et al.</w:t>
      </w:r>
      <w:r w:rsidRPr="008048D9">
        <w:rPr>
          <w:rFonts w:cs="Arial"/>
          <w:noProof/>
          <w:szCs w:val="24"/>
        </w:rPr>
        <w:t xml:space="preserve">, “Manganese superoxide dismutase based phylogeny of pathogenic fungi,” </w:t>
      </w:r>
      <w:r w:rsidRPr="008048D9">
        <w:rPr>
          <w:rFonts w:cs="Arial"/>
          <w:i/>
          <w:iCs/>
          <w:noProof/>
          <w:szCs w:val="24"/>
        </w:rPr>
        <w:t>Mol. Phylogenet. Evol.</w:t>
      </w:r>
      <w:r w:rsidRPr="008048D9">
        <w:rPr>
          <w:rFonts w:cs="Arial"/>
          <w:noProof/>
          <w:szCs w:val="24"/>
        </w:rPr>
        <w:t>, vol. 41, no. 1, pp. 28–39, Oct. 2006.</w:t>
      </w:r>
    </w:p>
    <w:p w14:paraId="6061AF6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[49]</w:t>
      </w:r>
      <w:r w:rsidRPr="008048D9">
        <w:rPr>
          <w:rFonts w:cs="Arial"/>
          <w:noProof/>
          <w:szCs w:val="24"/>
        </w:rPr>
        <w:tab/>
        <w:t xml:space="preserve">W. H. Mager, A. H. de Boer, M. H. Siderius, and H. P. Voss, “Cellular responses to oxidative and osmotic stress.,” </w:t>
      </w:r>
      <w:r w:rsidRPr="008048D9">
        <w:rPr>
          <w:rFonts w:cs="Arial"/>
          <w:i/>
          <w:iCs/>
          <w:noProof/>
          <w:szCs w:val="24"/>
        </w:rPr>
        <w:t>Cell Stress Chaperones</w:t>
      </w:r>
      <w:r w:rsidRPr="008048D9">
        <w:rPr>
          <w:rFonts w:cs="Arial"/>
          <w:noProof/>
          <w:szCs w:val="24"/>
        </w:rPr>
        <w:t>, vol. 5, no. 2, pp. 73–5, Apr. 2000.</w:t>
      </w:r>
    </w:p>
    <w:p w14:paraId="1E938DFD"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[50]</w:t>
      </w:r>
      <w:r w:rsidRPr="008048D9">
        <w:rPr>
          <w:rFonts w:cs="Arial"/>
          <w:noProof/>
          <w:szCs w:val="24"/>
        </w:rPr>
        <w:tab/>
        <w:t xml:space="preserve">R. A. Baasiri, X. Lu, P. S. Rowley, G. E. Turner, and K. A. Borkovich, “Overlapping functions for two G protein alpha subunits in Neurospora crassa.,” </w:t>
      </w:r>
      <w:r w:rsidRPr="008048D9">
        <w:rPr>
          <w:rFonts w:cs="Arial"/>
          <w:i/>
          <w:iCs/>
          <w:noProof/>
          <w:szCs w:val="24"/>
        </w:rPr>
        <w:t>Genetics</w:t>
      </w:r>
      <w:r w:rsidRPr="008048D9">
        <w:rPr>
          <w:rFonts w:cs="Arial"/>
          <w:noProof/>
          <w:szCs w:val="24"/>
        </w:rPr>
        <w:t>, vol. 147, no. 1, pp. 137–45, 1997.</w:t>
      </w:r>
    </w:p>
    <w:p w14:paraId="1DBAEEE4"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[51]</w:t>
      </w:r>
      <w:r w:rsidRPr="008048D9">
        <w:rPr>
          <w:rFonts w:cs="Arial"/>
          <w:noProof/>
          <w:szCs w:val="24"/>
        </w:rPr>
        <w:tab/>
        <w:t xml:space="preserve">S. Zuber, M. J. Hynes, and A. Andrianopoulos, “The G-protein alpha-subunit GasC plays a major role in germination in the dimorphic fungus Penicillium marneffei,” </w:t>
      </w:r>
      <w:r w:rsidRPr="008048D9">
        <w:rPr>
          <w:rFonts w:cs="Arial"/>
          <w:i/>
          <w:iCs/>
          <w:noProof/>
          <w:szCs w:val="24"/>
        </w:rPr>
        <w:t>Genetics</w:t>
      </w:r>
      <w:r w:rsidRPr="008048D9">
        <w:rPr>
          <w:rFonts w:cs="Arial"/>
          <w:noProof/>
          <w:szCs w:val="24"/>
        </w:rPr>
        <w:t>, vol. 164, no. 2, pp. 487–499, 2003.</w:t>
      </w:r>
    </w:p>
    <w:p w14:paraId="276B5B59"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[52]</w:t>
      </w:r>
      <w:r w:rsidRPr="008048D9">
        <w:rPr>
          <w:rFonts w:cs="Arial"/>
          <w:noProof/>
          <w:szCs w:val="24"/>
        </w:rPr>
        <w:tab/>
        <w:t xml:space="preserve">D. Tisch and M. Schmoll, “Light regulation of metabolic pathways in fungi,” </w:t>
      </w:r>
      <w:r w:rsidRPr="008048D9">
        <w:rPr>
          <w:rFonts w:cs="Arial"/>
          <w:i/>
          <w:iCs/>
          <w:noProof/>
          <w:szCs w:val="24"/>
        </w:rPr>
        <w:t>Appl. Microbiol. Biotechnol.</w:t>
      </w:r>
      <w:r w:rsidRPr="008048D9">
        <w:rPr>
          <w:rFonts w:cs="Arial"/>
          <w:noProof/>
          <w:szCs w:val="24"/>
        </w:rPr>
        <w:t>, vol. 85, no. 5, pp. 1259–1277, Feb. 2010.</w:t>
      </w:r>
    </w:p>
    <w:p w14:paraId="5C9C39DA"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[53]</w:t>
      </w:r>
      <w:r w:rsidRPr="008048D9">
        <w:rPr>
          <w:rFonts w:cs="Arial"/>
          <w:noProof/>
          <w:szCs w:val="24"/>
        </w:rPr>
        <w:tab/>
        <w:t xml:space="preserve">C. Ruger-Herreros </w:t>
      </w:r>
      <w:r w:rsidRPr="008048D9">
        <w:rPr>
          <w:rFonts w:cs="Arial"/>
          <w:i/>
          <w:iCs/>
          <w:noProof/>
          <w:szCs w:val="24"/>
        </w:rPr>
        <w:t>et al.</w:t>
      </w:r>
      <w:r w:rsidRPr="008048D9">
        <w:rPr>
          <w:rFonts w:cs="Arial"/>
          <w:noProof/>
          <w:szCs w:val="24"/>
        </w:rPr>
        <w:t xml:space="preserve">, “Regulation of conidiation by light in aspergillus nidulans,” </w:t>
      </w:r>
      <w:r w:rsidRPr="008048D9">
        <w:rPr>
          <w:rFonts w:cs="Arial"/>
          <w:i/>
          <w:iCs/>
          <w:noProof/>
          <w:szCs w:val="24"/>
        </w:rPr>
        <w:t>Genetics</w:t>
      </w:r>
      <w:r w:rsidRPr="008048D9">
        <w:rPr>
          <w:rFonts w:cs="Arial"/>
          <w:noProof/>
          <w:szCs w:val="24"/>
        </w:rPr>
        <w:t>, vol. 188, no. 4, pp. 809–822, 2011.</w:t>
      </w:r>
    </w:p>
    <w:p w14:paraId="706435D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[54]</w:t>
      </w:r>
      <w:r w:rsidRPr="008048D9">
        <w:rPr>
          <w:rFonts w:cs="Arial"/>
          <w:noProof/>
          <w:szCs w:val="24"/>
        </w:rPr>
        <w:tab/>
        <w:t xml:space="preserve">P. C. Havugimana </w:t>
      </w:r>
      <w:r w:rsidRPr="008048D9">
        <w:rPr>
          <w:rFonts w:cs="Arial"/>
          <w:i/>
          <w:iCs/>
          <w:noProof/>
          <w:szCs w:val="24"/>
        </w:rPr>
        <w:t>et al.</w:t>
      </w:r>
      <w:r w:rsidRPr="008048D9">
        <w:rPr>
          <w:rFonts w:cs="Arial"/>
          <w:noProof/>
          <w:szCs w:val="24"/>
        </w:rPr>
        <w:t xml:space="preserve">, “A Census of Human Soluble Protein Complexes,” </w:t>
      </w:r>
      <w:r w:rsidRPr="008048D9">
        <w:rPr>
          <w:rFonts w:cs="Arial"/>
          <w:i/>
          <w:iCs/>
          <w:noProof/>
          <w:szCs w:val="24"/>
        </w:rPr>
        <w:t>Cell</w:t>
      </w:r>
      <w:r w:rsidRPr="008048D9">
        <w:rPr>
          <w:rFonts w:cs="Arial"/>
          <w:noProof/>
          <w:szCs w:val="24"/>
        </w:rPr>
        <w:t>, vol. 150, no. 5, pp. 1068–1081, Aug. 2012.</w:t>
      </w:r>
    </w:p>
    <w:p w14:paraId="4F72442F"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[55]</w:t>
      </w:r>
      <w:r w:rsidRPr="008048D9">
        <w:rPr>
          <w:rFonts w:cs="Arial"/>
          <w:noProof/>
          <w:szCs w:val="24"/>
        </w:rPr>
        <w:tab/>
        <w:t xml:space="preserve">S. Brandt, D. von Stetten, M. Günther, P. Hildebrandt, and N. Frankenberg-Dinkel, “The fungal phytochrome FphA from Aspergillus nidulans.,” </w:t>
      </w:r>
      <w:r w:rsidRPr="008048D9">
        <w:rPr>
          <w:rFonts w:cs="Arial"/>
          <w:i/>
          <w:iCs/>
          <w:noProof/>
          <w:szCs w:val="24"/>
        </w:rPr>
        <w:t>J. Biol. Chem.</w:t>
      </w:r>
      <w:r w:rsidRPr="008048D9">
        <w:rPr>
          <w:rFonts w:cs="Arial"/>
          <w:noProof/>
          <w:szCs w:val="24"/>
        </w:rPr>
        <w:t>, vol. 283, no. 50, pp. 34605–14, Dec. 2008.</w:t>
      </w:r>
    </w:p>
    <w:p w14:paraId="6DAE993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[56]</w:t>
      </w:r>
      <w:r w:rsidRPr="008048D9">
        <w:rPr>
          <w:rFonts w:cs="Arial"/>
          <w:noProof/>
          <w:szCs w:val="24"/>
        </w:rPr>
        <w:tab/>
        <w:t xml:space="preserve">A. Schuster and M. Schmoll, “Heterotrimeric G-protein signaling and light response: Two signaling pathways coordinated for optimal adjustment to nature.,” </w:t>
      </w:r>
      <w:r w:rsidRPr="008048D9">
        <w:rPr>
          <w:rFonts w:cs="Arial"/>
          <w:i/>
          <w:iCs/>
          <w:noProof/>
          <w:szCs w:val="24"/>
        </w:rPr>
        <w:t>Commun. Integr. Biol.</w:t>
      </w:r>
      <w:r w:rsidRPr="008048D9">
        <w:rPr>
          <w:rFonts w:cs="Arial"/>
          <w:noProof/>
          <w:szCs w:val="24"/>
        </w:rPr>
        <w:t>, vol. 2, no. 4, pp. 308–10, Jul. 2009.</w:t>
      </w:r>
    </w:p>
    <w:p w14:paraId="5E389A29"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[57]</w:t>
      </w:r>
      <w:r w:rsidRPr="008048D9">
        <w:rPr>
          <w:rFonts w:cs="Arial"/>
          <w:noProof/>
          <w:szCs w:val="24"/>
        </w:rPr>
        <w:tab/>
        <w:t xml:space="preserve">Y. Hu </w:t>
      </w:r>
      <w:r w:rsidRPr="008048D9">
        <w:rPr>
          <w:rFonts w:cs="Arial"/>
          <w:i/>
          <w:iCs/>
          <w:noProof/>
          <w:szCs w:val="24"/>
        </w:rPr>
        <w:t>et al.</w:t>
      </w:r>
      <w:r w:rsidRPr="008048D9">
        <w:rPr>
          <w:rFonts w:cs="Arial"/>
          <w:noProof/>
          <w:szCs w:val="24"/>
        </w:rPr>
        <w:t xml:space="preserve">, “Gα-cAMP/PKA pathway positively regulates pigmentation, chaetoglobosin A biosynthesis and sexual development in Chaetomium globosum,” </w:t>
      </w:r>
      <w:r w:rsidRPr="008048D9">
        <w:rPr>
          <w:rFonts w:cs="Arial"/>
          <w:i/>
          <w:iCs/>
          <w:noProof/>
          <w:szCs w:val="24"/>
        </w:rPr>
        <w:t>PLoS One</w:t>
      </w:r>
      <w:r w:rsidRPr="008048D9">
        <w:rPr>
          <w:rFonts w:cs="Arial"/>
          <w:noProof/>
          <w:szCs w:val="24"/>
        </w:rPr>
        <w:t>, vol. 13, no. 4, p. e0195553, Apr. 2018.</w:t>
      </w:r>
    </w:p>
    <w:p w14:paraId="3C7F0650"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[58]</w:t>
      </w:r>
      <w:r w:rsidRPr="008048D9">
        <w:rPr>
          <w:rFonts w:cs="Arial"/>
          <w:noProof/>
          <w:szCs w:val="24"/>
        </w:rPr>
        <w:tab/>
        <w:t xml:space="preserve">H. H. Kampinga, “Chaperones in Preventing Protein Denaturation in Living Cells and Protecting Against Cellular Stress,” in </w:t>
      </w:r>
      <w:r w:rsidRPr="008048D9">
        <w:rPr>
          <w:rFonts w:cs="Arial"/>
          <w:i/>
          <w:iCs/>
          <w:noProof/>
          <w:szCs w:val="24"/>
        </w:rPr>
        <w:t>Molecular Chaperones in Health and Disease</w:t>
      </w:r>
      <w:r w:rsidRPr="008048D9">
        <w:rPr>
          <w:rFonts w:cs="Arial"/>
          <w:noProof/>
          <w:szCs w:val="24"/>
        </w:rPr>
        <w:t>, Berlin/Heidelberg: Springer-Verlag, 2006, pp. 1–42.</w:t>
      </w:r>
    </w:p>
    <w:p w14:paraId="702208B8"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[59]</w:t>
      </w:r>
      <w:r w:rsidRPr="008048D9">
        <w:rPr>
          <w:rFonts w:cs="Arial"/>
          <w:noProof/>
          <w:szCs w:val="24"/>
        </w:rPr>
        <w:tab/>
        <w:t xml:space="preserve">V. M. Tereshina, “Thermotolerance in Fungi: The Role of Heat Shock Proteins and Trehalose,” </w:t>
      </w:r>
      <w:r w:rsidRPr="008048D9">
        <w:rPr>
          <w:rFonts w:cs="Arial"/>
          <w:i/>
          <w:iCs/>
          <w:noProof/>
          <w:szCs w:val="24"/>
        </w:rPr>
        <w:t>Microbiology</w:t>
      </w:r>
      <w:r w:rsidRPr="008048D9">
        <w:rPr>
          <w:rFonts w:cs="Arial"/>
          <w:noProof/>
          <w:szCs w:val="24"/>
        </w:rPr>
        <w:t>, vol. 74, no. 3, pp. 247–257, May 2005.</w:t>
      </w:r>
    </w:p>
    <w:p w14:paraId="64B57CFE"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[60]</w:t>
      </w:r>
      <w:r w:rsidRPr="008048D9">
        <w:rPr>
          <w:rFonts w:cs="Arial"/>
          <w:noProof/>
          <w:szCs w:val="24"/>
        </w:rPr>
        <w:tab/>
        <w:t xml:space="preserve">N. B. Gusev, N. V Bogatcheva, and S. B. Marston, “Structure and properties of small heat shock proteins (sHsp) and their interaction with cytoskeleton proteins.,” </w:t>
      </w:r>
      <w:r w:rsidRPr="008048D9">
        <w:rPr>
          <w:rFonts w:cs="Arial"/>
          <w:i/>
          <w:iCs/>
          <w:noProof/>
          <w:szCs w:val="24"/>
        </w:rPr>
        <w:t>Biochemistry. (Mosc).</w:t>
      </w:r>
      <w:r w:rsidRPr="008048D9">
        <w:rPr>
          <w:rFonts w:cs="Arial"/>
          <w:noProof/>
          <w:szCs w:val="24"/>
        </w:rPr>
        <w:t>, vol. 67, no. 5, pp. 511–9, May 2002.</w:t>
      </w:r>
    </w:p>
    <w:p w14:paraId="218909BF"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[61]</w:t>
      </w:r>
      <w:r w:rsidRPr="008048D9">
        <w:rPr>
          <w:rFonts w:cs="Arial"/>
          <w:noProof/>
          <w:szCs w:val="24"/>
        </w:rPr>
        <w:tab/>
        <w:t xml:space="preserve">S. Tiwari, R. Thakur, and J. Shankar, “Role of Heat-Shock Proteins in Cellular Function and in the Biology of Fungi,” </w:t>
      </w:r>
      <w:r w:rsidRPr="008048D9">
        <w:rPr>
          <w:rFonts w:cs="Arial"/>
          <w:i/>
          <w:iCs/>
          <w:noProof/>
          <w:szCs w:val="24"/>
        </w:rPr>
        <w:t>Biotechnol. Res. Int.</w:t>
      </w:r>
      <w:r w:rsidRPr="008048D9">
        <w:rPr>
          <w:rFonts w:cs="Arial"/>
          <w:noProof/>
          <w:szCs w:val="24"/>
        </w:rPr>
        <w:t>, vol. 2015, pp. 1–11, Dec. 2015.</w:t>
      </w:r>
    </w:p>
    <w:p w14:paraId="2147A65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[62]</w:t>
      </w:r>
      <w:r w:rsidRPr="008048D9">
        <w:rPr>
          <w:rFonts w:cs="Arial"/>
          <w:noProof/>
          <w:szCs w:val="24"/>
        </w:rPr>
        <w:tab/>
        <w:t xml:space="preserve">J. Wu, M. Wang, L. Zhou, and D. Yu, “Small heat shock proteins, phylogeny in filamentous fungi and expression analyses in Aspergillus nidulans,” </w:t>
      </w:r>
      <w:r w:rsidRPr="008048D9">
        <w:rPr>
          <w:rFonts w:cs="Arial"/>
          <w:i/>
          <w:iCs/>
          <w:noProof/>
          <w:szCs w:val="24"/>
        </w:rPr>
        <w:t>Gene</w:t>
      </w:r>
      <w:r w:rsidRPr="008048D9">
        <w:rPr>
          <w:rFonts w:cs="Arial"/>
          <w:noProof/>
          <w:szCs w:val="24"/>
        </w:rPr>
        <w:t>, vol. 575, pp. 675–679, 2016.</w:t>
      </w:r>
    </w:p>
    <w:p w14:paraId="54C491FF"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[63]</w:t>
      </w:r>
      <w:r w:rsidRPr="008048D9">
        <w:rPr>
          <w:rFonts w:cs="Arial"/>
          <w:noProof/>
          <w:szCs w:val="24"/>
        </w:rPr>
        <w:tab/>
        <w:t xml:space="preserve">R. B. Raggam, H. J. F. Salzer, E. Marth, B. Heiling, A. H. Paulitsch, and W. Buzina, “Molecular detection and characterisation of fungal heat shock protein 60,” </w:t>
      </w:r>
      <w:r w:rsidRPr="008048D9">
        <w:rPr>
          <w:rFonts w:cs="Arial"/>
          <w:i/>
          <w:iCs/>
          <w:noProof/>
          <w:szCs w:val="24"/>
        </w:rPr>
        <w:t>Mycoses</w:t>
      </w:r>
      <w:r w:rsidRPr="008048D9">
        <w:rPr>
          <w:rFonts w:cs="Arial"/>
          <w:noProof/>
          <w:szCs w:val="24"/>
        </w:rPr>
        <w:t>, vol. 54, no. 5, pp. e394–e399, Sep. 2011.</w:t>
      </w:r>
    </w:p>
    <w:p w14:paraId="1421C74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[64]</w:t>
      </w:r>
      <w:r w:rsidRPr="008048D9">
        <w:rPr>
          <w:rFonts w:cs="Arial"/>
          <w:noProof/>
          <w:szCs w:val="24"/>
        </w:rPr>
        <w:tab/>
        <w:t xml:space="preserve">M. Kapoor, C. A. Curle, and C. Runham, “The hsp70 gene family of Neurospora crassa: cloning, sequence analysis, expression, and genetic mapping of the major stress-inducible member.,” </w:t>
      </w:r>
      <w:r w:rsidRPr="008048D9">
        <w:rPr>
          <w:rFonts w:cs="Arial"/>
          <w:i/>
          <w:iCs/>
          <w:noProof/>
          <w:szCs w:val="24"/>
        </w:rPr>
        <w:t>J. Bacteriol.</w:t>
      </w:r>
      <w:r w:rsidRPr="008048D9">
        <w:rPr>
          <w:rFonts w:cs="Arial"/>
          <w:noProof/>
          <w:szCs w:val="24"/>
        </w:rPr>
        <w:t>, vol. 177, no. 1, pp. 212–21, Jan. 1995.</w:t>
      </w:r>
    </w:p>
    <w:p w14:paraId="6EE7520C"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[65]</w:t>
      </w:r>
      <w:r w:rsidRPr="008048D9">
        <w:rPr>
          <w:rFonts w:cs="Arial"/>
          <w:noProof/>
          <w:szCs w:val="24"/>
        </w:rPr>
        <w:tab/>
        <w:t xml:space="preserve">D.-C. Bui </w:t>
      </w:r>
      <w:r w:rsidRPr="008048D9">
        <w:rPr>
          <w:rFonts w:cs="Arial"/>
          <w:i/>
          <w:iCs/>
          <w:noProof/>
          <w:szCs w:val="24"/>
        </w:rPr>
        <w:t>et al.</w:t>
      </w:r>
      <w:r w:rsidRPr="008048D9">
        <w:rPr>
          <w:rFonts w:cs="Arial"/>
          <w:noProof/>
          <w:szCs w:val="24"/>
        </w:rPr>
        <w:t xml:space="preserve">, “Heat shock protein 90 is required for sexual and asexual development, virulence, and heat shock response in Fusarium graminearum,” </w:t>
      </w:r>
      <w:r w:rsidRPr="008048D9">
        <w:rPr>
          <w:rFonts w:cs="Arial"/>
          <w:i/>
          <w:iCs/>
          <w:noProof/>
          <w:szCs w:val="24"/>
        </w:rPr>
        <w:t>Sci. Rep.</w:t>
      </w:r>
      <w:r w:rsidRPr="008048D9">
        <w:rPr>
          <w:rFonts w:cs="Arial"/>
          <w:noProof/>
          <w:szCs w:val="24"/>
        </w:rPr>
        <w:t>, vol. 6, no. 1, p. 28154, Sep. 2016.</w:t>
      </w:r>
    </w:p>
    <w:p w14:paraId="3B439357"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[66]</w:t>
      </w:r>
      <w:r w:rsidRPr="008048D9">
        <w:rPr>
          <w:rFonts w:cs="Arial"/>
          <w:noProof/>
          <w:szCs w:val="24"/>
        </w:rPr>
        <w:tab/>
        <w:t xml:space="preserve">E. Boy-Marcotte </w:t>
      </w:r>
      <w:r w:rsidRPr="008048D9">
        <w:rPr>
          <w:rFonts w:cs="Arial"/>
          <w:i/>
          <w:iCs/>
          <w:noProof/>
          <w:szCs w:val="24"/>
        </w:rPr>
        <w:t>et al.</w:t>
      </w:r>
      <w:r w:rsidRPr="008048D9">
        <w:rPr>
          <w:rFonts w:cs="Arial"/>
          <w:noProof/>
          <w:szCs w:val="24"/>
        </w:rPr>
        <w:t xml:space="preserve">, “The heat shock response in yeast: differential regulations and contributions of the Msn2p/Msn4p and Hsf1p regulons,” </w:t>
      </w:r>
      <w:r w:rsidRPr="008048D9">
        <w:rPr>
          <w:rFonts w:cs="Arial"/>
          <w:i/>
          <w:iCs/>
          <w:noProof/>
          <w:szCs w:val="24"/>
        </w:rPr>
        <w:t>Mol. Microbiol.</w:t>
      </w:r>
      <w:r w:rsidRPr="008048D9">
        <w:rPr>
          <w:rFonts w:cs="Arial"/>
          <w:noProof/>
          <w:szCs w:val="24"/>
        </w:rPr>
        <w:t>, vol. 33, no. 2, pp. 274–283, Jul. 1999.</w:t>
      </w:r>
    </w:p>
    <w:p w14:paraId="2A78498C"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[67]</w:t>
      </w:r>
      <w:r w:rsidRPr="008048D9">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8048D9">
        <w:rPr>
          <w:rFonts w:cs="Arial"/>
          <w:i/>
          <w:iCs/>
          <w:noProof/>
          <w:szCs w:val="24"/>
        </w:rPr>
        <w:t>Eukaryot. Cell</w:t>
      </w:r>
      <w:r w:rsidRPr="008048D9">
        <w:rPr>
          <w:rFonts w:cs="Arial"/>
          <w:noProof/>
          <w:szCs w:val="24"/>
        </w:rPr>
        <w:t>, vol. 7, no. 9, pp. 1573–81, Sep. 2008.</w:t>
      </w:r>
    </w:p>
    <w:p w14:paraId="63AA4AA3"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[68]</w:t>
      </w:r>
      <w:r w:rsidRPr="008048D9">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8048D9">
        <w:rPr>
          <w:rFonts w:cs="Arial"/>
          <w:i/>
          <w:iCs/>
          <w:noProof/>
          <w:szCs w:val="24"/>
        </w:rPr>
        <w:t>EMBO J.</w:t>
      </w:r>
      <w:r w:rsidRPr="008048D9">
        <w:rPr>
          <w:rFonts w:cs="Arial"/>
          <w:noProof/>
          <w:szCs w:val="24"/>
        </w:rPr>
        <w:t>, vol. 15, no. 9, pp. 2227–35, May 1996.</w:t>
      </w:r>
    </w:p>
    <w:p w14:paraId="16FE33B2"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[69]</w:t>
      </w:r>
      <w:r w:rsidRPr="008048D9">
        <w:rPr>
          <w:rFonts w:cs="Arial"/>
          <w:noProof/>
          <w:szCs w:val="24"/>
        </w:rPr>
        <w:tab/>
        <w:t xml:space="preserve">H. G. Dohlman and J. Thorner, “Regulation of G Protein–Initiated Signal Transduction in Yeast: Paradigms and Principles,” </w:t>
      </w:r>
      <w:r w:rsidRPr="008048D9">
        <w:rPr>
          <w:rFonts w:cs="Arial"/>
          <w:i/>
          <w:iCs/>
          <w:noProof/>
          <w:szCs w:val="24"/>
        </w:rPr>
        <w:t>Annu. Rev. Biochem.</w:t>
      </w:r>
      <w:r w:rsidRPr="008048D9">
        <w:rPr>
          <w:rFonts w:cs="Arial"/>
          <w:noProof/>
          <w:szCs w:val="24"/>
        </w:rPr>
        <w:t>, vol. 70, no. 1, pp. 703–754, Jun. 2001.</w:t>
      </w:r>
    </w:p>
    <w:p w14:paraId="3111FD65"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[70]</w:t>
      </w:r>
      <w:r w:rsidRPr="008048D9">
        <w:rPr>
          <w:rFonts w:cs="Arial"/>
          <w:noProof/>
          <w:szCs w:val="24"/>
        </w:rPr>
        <w:tab/>
        <w:t>Y. Xue and J. P. Hirsch, “GPR1 encodes a putative G protein-coupled receptor that associates with the Gpa2p G α subunit and functions in a Ras-independent pathway,” 1996.</w:t>
      </w:r>
    </w:p>
    <w:p w14:paraId="1A32DB58"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[71]</w:t>
      </w:r>
      <w:r w:rsidRPr="008048D9">
        <w:rPr>
          <w:rFonts w:cs="Arial"/>
          <w:noProof/>
          <w:szCs w:val="24"/>
        </w:rPr>
        <w:tab/>
        <w:t xml:space="preserve">M. Whiteway </w:t>
      </w:r>
      <w:r w:rsidRPr="008048D9">
        <w:rPr>
          <w:rFonts w:cs="Arial"/>
          <w:i/>
          <w:iCs/>
          <w:noProof/>
          <w:szCs w:val="24"/>
        </w:rPr>
        <w:t>et al.</w:t>
      </w:r>
      <w:r w:rsidRPr="008048D9">
        <w:rPr>
          <w:rFonts w:cs="Arial"/>
          <w:noProof/>
          <w:szCs w:val="24"/>
        </w:rPr>
        <w:t xml:space="preserve">, “The STE4 and STE18 genes of yeast encode potential beta and gamma subunits of the mating factor receptor-coupled G protein.,” </w:t>
      </w:r>
      <w:r w:rsidRPr="008048D9">
        <w:rPr>
          <w:rFonts w:cs="Arial"/>
          <w:i/>
          <w:iCs/>
          <w:noProof/>
          <w:szCs w:val="24"/>
        </w:rPr>
        <w:t>Cell</w:t>
      </w:r>
      <w:r w:rsidRPr="008048D9">
        <w:rPr>
          <w:rFonts w:cs="Arial"/>
          <w:noProof/>
          <w:szCs w:val="24"/>
        </w:rPr>
        <w:t>, vol. 56, no. 3, pp. 467–77, Feb. 1989.</w:t>
      </w:r>
    </w:p>
    <w:p w14:paraId="2C1575AB"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[72]</w:t>
      </w:r>
      <w:r w:rsidRPr="008048D9">
        <w:rPr>
          <w:rFonts w:cs="Arial"/>
          <w:noProof/>
          <w:szCs w:val="24"/>
        </w:rPr>
        <w:tab/>
        <w:t xml:space="preserve">S. Jain, K. Akiyama, R. Takata, and T. Ohguchi, “Signaling via the G protein Î± subunit FGA2 is necessary for pathogenesis in </w:t>
      </w:r>
      <w:r w:rsidRPr="008048D9">
        <w:rPr>
          <w:rFonts w:cs="Arial"/>
          <w:i/>
          <w:iCs/>
          <w:noProof/>
          <w:szCs w:val="24"/>
        </w:rPr>
        <w:t>Fusarium oxysporum</w:t>
      </w:r>
      <w:r w:rsidRPr="008048D9">
        <w:rPr>
          <w:rFonts w:cs="Arial"/>
          <w:noProof/>
          <w:szCs w:val="24"/>
        </w:rPr>
        <w:t xml:space="preserve">,” </w:t>
      </w:r>
      <w:r w:rsidRPr="008048D9">
        <w:rPr>
          <w:rFonts w:cs="Arial"/>
          <w:i/>
          <w:iCs/>
          <w:noProof/>
          <w:szCs w:val="24"/>
        </w:rPr>
        <w:t>FEMS Microbiol. Lett.</w:t>
      </w:r>
      <w:r w:rsidRPr="008048D9">
        <w:rPr>
          <w:rFonts w:cs="Arial"/>
          <w:noProof/>
          <w:szCs w:val="24"/>
        </w:rPr>
        <w:t>, vol. 243, no. 1, pp. 165–172, Feb. 2005.</w:t>
      </w:r>
    </w:p>
    <w:p w14:paraId="4E4FEB86"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[73]</w:t>
      </w:r>
      <w:r w:rsidRPr="008048D9">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8048D9">
        <w:rPr>
          <w:rFonts w:cs="Arial"/>
          <w:i/>
          <w:iCs/>
          <w:noProof/>
          <w:szCs w:val="24"/>
        </w:rPr>
        <w:t>Int. Microbiol.</w:t>
      </w:r>
      <w:r w:rsidRPr="008048D9">
        <w:rPr>
          <w:rFonts w:cs="Arial"/>
          <w:noProof/>
          <w:szCs w:val="24"/>
        </w:rPr>
        <w:t>, vol. 12, no. 2, pp. 123–129, 2009.</w:t>
      </w:r>
    </w:p>
    <w:p w14:paraId="6B0B5BAE"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[74]</w:t>
      </w:r>
      <w:r w:rsidRPr="008048D9">
        <w:rPr>
          <w:rFonts w:cs="Arial"/>
          <w:noProof/>
          <w:szCs w:val="24"/>
        </w:rPr>
        <w:tab/>
        <w:t xml:space="preserve">S. Colombo </w:t>
      </w:r>
      <w:r w:rsidRPr="008048D9">
        <w:rPr>
          <w:rFonts w:cs="Arial"/>
          <w:i/>
          <w:iCs/>
          <w:noProof/>
          <w:szCs w:val="24"/>
        </w:rPr>
        <w:t>et al.</w:t>
      </w:r>
      <w:r w:rsidRPr="008048D9">
        <w:rPr>
          <w:rFonts w:cs="Arial"/>
          <w:noProof/>
          <w:szCs w:val="24"/>
        </w:rPr>
        <w:t>, “Involvement of distinct G-proteins, Gpa2 and Ras, in glucose-and intracellular acidification-induced cAMP signalling in the yeast Saccharomyces cerevisiae,” 1998.</w:t>
      </w:r>
    </w:p>
    <w:p w14:paraId="2DC9008C"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[75]</w:t>
      </w:r>
      <w:r w:rsidRPr="008048D9">
        <w:rPr>
          <w:rFonts w:cs="Arial"/>
          <w:noProof/>
          <w:szCs w:val="24"/>
        </w:rPr>
        <w:tab/>
        <w:t xml:space="preserve">K. A. Borkovich, F. W. Farrelly, D. B. Finkelstein, J. Taulien, and S. Lindquist, “hsp82 is an essential protein that is required in higher concentrations for growth of cells at higher temperatures.,” </w:t>
      </w:r>
      <w:r w:rsidRPr="008048D9">
        <w:rPr>
          <w:rFonts w:cs="Arial"/>
          <w:i/>
          <w:iCs/>
          <w:noProof/>
          <w:szCs w:val="24"/>
        </w:rPr>
        <w:t>Mol. Cell. Biol.</w:t>
      </w:r>
      <w:r w:rsidRPr="008048D9">
        <w:rPr>
          <w:rFonts w:cs="Arial"/>
          <w:noProof/>
          <w:szCs w:val="24"/>
        </w:rPr>
        <w:t>, vol. 9, no. 9, pp. 3919–30, Sep. 1989.</w:t>
      </w:r>
    </w:p>
    <w:p w14:paraId="1326C8B7" w14:textId="77777777" w:rsidR="008048D9" w:rsidRPr="008048D9" w:rsidRDefault="008048D9" w:rsidP="008048D9">
      <w:pPr>
        <w:widowControl w:val="0"/>
        <w:autoSpaceDE w:val="0"/>
        <w:autoSpaceDN w:val="0"/>
        <w:adjustRightInd w:val="0"/>
        <w:spacing w:after="0" w:line="360" w:lineRule="auto"/>
        <w:ind w:left="640" w:hanging="640"/>
        <w:rPr>
          <w:rFonts w:cs="Arial"/>
          <w:noProof/>
          <w:szCs w:val="24"/>
        </w:rPr>
      </w:pPr>
      <w:r w:rsidRPr="008048D9">
        <w:rPr>
          <w:rFonts w:cs="Arial"/>
          <w:noProof/>
          <w:szCs w:val="24"/>
        </w:rPr>
        <w:t>[76]</w:t>
      </w:r>
      <w:r w:rsidRPr="008048D9">
        <w:rPr>
          <w:rFonts w:cs="Arial"/>
          <w:noProof/>
          <w:szCs w:val="24"/>
        </w:rPr>
        <w:tab/>
        <w:t xml:space="preserve">W. R. Boorstein and E. A. Craig, “Structure and regulation of the SSA4 HSP70 gene of Saccharomyces cerevisiae.,” </w:t>
      </w:r>
      <w:r w:rsidRPr="008048D9">
        <w:rPr>
          <w:rFonts w:cs="Arial"/>
          <w:i/>
          <w:iCs/>
          <w:noProof/>
          <w:szCs w:val="24"/>
        </w:rPr>
        <w:t>J. Biol. Chem.</w:t>
      </w:r>
      <w:r w:rsidRPr="008048D9">
        <w:rPr>
          <w:rFonts w:cs="Arial"/>
          <w:noProof/>
          <w:szCs w:val="24"/>
        </w:rPr>
        <w:t>, vol. 265, no. 31, pp. 18912–21, Nov. 1990.</w:t>
      </w:r>
    </w:p>
    <w:p w14:paraId="51EEBD64" w14:textId="77777777" w:rsidR="008048D9" w:rsidRPr="008048D9" w:rsidRDefault="008048D9" w:rsidP="008048D9">
      <w:pPr>
        <w:widowControl w:val="0"/>
        <w:autoSpaceDE w:val="0"/>
        <w:autoSpaceDN w:val="0"/>
        <w:adjustRightInd w:val="0"/>
        <w:spacing w:after="0" w:line="360" w:lineRule="auto"/>
        <w:ind w:left="640" w:hanging="640"/>
        <w:rPr>
          <w:rFonts w:cs="Arial"/>
          <w:noProof/>
        </w:rPr>
      </w:pPr>
      <w:r w:rsidRPr="008048D9">
        <w:rPr>
          <w:rFonts w:cs="Arial"/>
          <w:noProof/>
          <w:szCs w:val="24"/>
        </w:rPr>
        <w:t>[77]</w:t>
      </w:r>
      <w:r w:rsidRPr="008048D9">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8048D9">
        <w:rPr>
          <w:rFonts w:cs="Arial"/>
          <w:i/>
          <w:iCs/>
          <w:noProof/>
          <w:szCs w:val="24"/>
        </w:rPr>
        <w:t>Microbiology</w:t>
      </w:r>
      <w:r w:rsidRPr="008048D9">
        <w:rPr>
          <w:rFonts w:cs="Arial"/>
          <w:noProof/>
          <w:szCs w:val="24"/>
        </w:rPr>
        <w:t>, vol. 150, no. 12, pp. 4033–4043, 2004.</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04F60" w14:textId="77777777" w:rsidR="003453C2" w:rsidRDefault="003453C2" w:rsidP="0076361C">
      <w:pPr>
        <w:spacing w:after="0" w:line="240" w:lineRule="auto"/>
      </w:pPr>
      <w:r>
        <w:separator/>
      </w:r>
    </w:p>
  </w:endnote>
  <w:endnote w:type="continuationSeparator" w:id="0">
    <w:p w14:paraId="502FA545" w14:textId="77777777" w:rsidR="003453C2" w:rsidRDefault="003453C2"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 w:name="ITCSymbolSt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68E73C39" w:rsidR="008048D9" w:rsidRDefault="008048D9">
        <w:pPr>
          <w:pStyle w:val="Piedepgina"/>
          <w:jc w:val="right"/>
        </w:pPr>
        <w:r>
          <w:fldChar w:fldCharType="begin"/>
        </w:r>
        <w:r>
          <w:instrText>PAGE   \* MERGEFORMAT</w:instrText>
        </w:r>
        <w:r>
          <w:fldChar w:fldCharType="separate"/>
        </w:r>
        <w:r w:rsidR="003453C2" w:rsidRPr="003453C2">
          <w:rPr>
            <w:noProof/>
            <w:lang w:val="es-ES"/>
          </w:rPr>
          <w:t>1</w:t>
        </w:r>
        <w:r>
          <w:fldChar w:fldCharType="end"/>
        </w:r>
      </w:p>
    </w:sdtContent>
  </w:sdt>
  <w:p w14:paraId="20458E42" w14:textId="77777777" w:rsidR="008048D9" w:rsidRDefault="008048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B748C" w14:textId="77777777" w:rsidR="003453C2" w:rsidRDefault="003453C2" w:rsidP="0076361C">
      <w:pPr>
        <w:spacing w:after="0" w:line="240" w:lineRule="auto"/>
      </w:pPr>
      <w:r>
        <w:separator/>
      </w:r>
    </w:p>
  </w:footnote>
  <w:footnote w:type="continuationSeparator" w:id="0">
    <w:p w14:paraId="29BBE3F6" w14:textId="77777777" w:rsidR="003453C2" w:rsidRDefault="003453C2"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7EC"/>
    <w:rsid w:val="001539B2"/>
    <w:rsid w:val="001540AC"/>
    <w:rsid w:val="00156EE9"/>
    <w:rsid w:val="001674BF"/>
    <w:rsid w:val="00170429"/>
    <w:rsid w:val="0017250A"/>
    <w:rsid w:val="001729B3"/>
    <w:rsid w:val="00172E53"/>
    <w:rsid w:val="00175F2F"/>
    <w:rsid w:val="001802BB"/>
    <w:rsid w:val="00180868"/>
    <w:rsid w:val="00180FA9"/>
    <w:rsid w:val="00182C49"/>
    <w:rsid w:val="001861C3"/>
    <w:rsid w:val="00186F75"/>
    <w:rsid w:val="0019085F"/>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33388"/>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8D2"/>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453C2"/>
    <w:rsid w:val="003513BD"/>
    <w:rsid w:val="0035564E"/>
    <w:rsid w:val="003573C9"/>
    <w:rsid w:val="003607B4"/>
    <w:rsid w:val="0036291D"/>
    <w:rsid w:val="00363BE4"/>
    <w:rsid w:val="003648A3"/>
    <w:rsid w:val="003675BE"/>
    <w:rsid w:val="003724DA"/>
    <w:rsid w:val="003743FC"/>
    <w:rsid w:val="00375690"/>
    <w:rsid w:val="00377572"/>
    <w:rsid w:val="0037799B"/>
    <w:rsid w:val="003808EC"/>
    <w:rsid w:val="00381EF7"/>
    <w:rsid w:val="0038365E"/>
    <w:rsid w:val="00383E49"/>
    <w:rsid w:val="00392C63"/>
    <w:rsid w:val="00393BB5"/>
    <w:rsid w:val="00393CA3"/>
    <w:rsid w:val="00393E5D"/>
    <w:rsid w:val="00394542"/>
    <w:rsid w:val="00395878"/>
    <w:rsid w:val="003A127E"/>
    <w:rsid w:val="003A1442"/>
    <w:rsid w:val="003A62DA"/>
    <w:rsid w:val="003B1B28"/>
    <w:rsid w:val="003B306C"/>
    <w:rsid w:val="003B3B16"/>
    <w:rsid w:val="003B598F"/>
    <w:rsid w:val="003B640D"/>
    <w:rsid w:val="003C1FD7"/>
    <w:rsid w:val="003D1D4A"/>
    <w:rsid w:val="003D342E"/>
    <w:rsid w:val="003D5470"/>
    <w:rsid w:val="003D5887"/>
    <w:rsid w:val="003D67A9"/>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476E2"/>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4179"/>
    <w:rsid w:val="004C57ED"/>
    <w:rsid w:val="004D02D0"/>
    <w:rsid w:val="004D30E4"/>
    <w:rsid w:val="004D7866"/>
    <w:rsid w:val="004E0D7E"/>
    <w:rsid w:val="004E21AF"/>
    <w:rsid w:val="004E7807"/>
    <w:rsid w:val="004F12E9"/>
    <w:rsid w:val="004F3734"/>
    <w:rsid w:val="0050356B"/>
    <w:rsid w:val="00504993"/>
    <w:rsid w:val="0050653E"/>
    <w:rsid w:val="00524D9A"/>
    <w:rsid w:val="005261CE"/>
    <w:rsid w:val="00527479"/>
    <w:rsid w:val="00531EB8"/>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4780"/>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979FD"/>
    <w:rsid w:val="006A0F56"/>
    <w:rsid w:val="006A7135"/>
    <w:rsid w:val="006A7A15"/>
    <w:rsid w:val="006B0030"/>
    <w:rsid w:val="006B20B7"/>
    <w:rsid w:val="006B75DC"/>
    <w:rsid w:val="006C0F60"/>
    <w:rsid w:val="006C156F"/>
    <w:rsid w:val="006C2332"/>
    <w:rsid w:val="006C46FF"/>
    <w:rsid w:val="006D25FF"/>
    <w:rsid w:val="006D4A3D"/>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08C9"/>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2A2B"/>
    <w:rsid w:val="007B7199"/>
    <w:rsid w:val="007B7269"/>
    <w:rsid w:val="007C4766"/>
    <w:rsid w:val="007D0ADA"/>
    <w:rsid w:val="007D11C5"/>
    <w:rsid w:val="007D5144"/>
    <w:rsid w:val="007E668E"/>
    <w:rsid w:val="007F2217"/>
    <w:rsid w:val="00800337"/>
    <w:rsid w:val="008010FF"/>
    <w:rsid w:val="00803689"/>
    <w:rsid w:val="008048D9"/>
    <w:rsid w:val="0080694B"/>
    <w:rsid w:val="00812FBD"/>
    <w:rsid w:val="0082154C"/>
    <w:rsid w:val="008230A3"/>
    <w:rsid w:val="00824B1B"/>
    <w:rsid w:val="008256C7"/>
    <w:rsid w:val="00826D10"/>
    <w:rsid w:val="008304A2"/>
    <w:rsid w:val="00831E75"/>
    <w:rsid w:val="00833AF3"/>
    <w:rsid w:val="00835AEF"/>
    <w:rsid w:val="008413D0"/>
    <w:rsid w:val="00850414"/>
    <w:rsid w:val="00852E92"/>
    <w:rsid w:val="00854967"/>
    <w:rsid w:val="00854B74"/>
    <w:rsid w:val="00860FD3"/>
    <w:rsid w:val="0086189A"/>
    <w:rsid w:val="0086425A"/>
    <w:rsid w:val="00870084"/>
    <w:rsid w:val="00870584"/>
    <w:rsid w:val="0087329F"/>
    <w:rsid w:val="00882B84"/>
    <w:rsid w:val="008852D8"/>
    <w:rsid w:val="00893A88"/>
    <w:rsid w:val="00893F73"/>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5ABF"/>
    <w:rsid w:val="0093641C"/>
    <w:rsid w:val="00937261"/>
    <w:rsid w:val="00940370"/>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269F5"/>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0EA8"/>
    <w:rsid w:val="00AF4358"/>
    <w:rsid w:val="00AF6AAB"/>
    <w:rsid w:val="00B030B0"/>
    <w:rsid w:val="00B0369A"/>
    <w:rsid w:val="00B0504A"/>
    <w:rsid w:val="00B0543E"/>
    <w:rsid w:val="00B11FFA"/>
    <w:rsid w:val="00B24486"/>
    <w:rsid w:val="00B30FAB"/>
    <w:rsid w:val="00B3773C"/>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2B62"/>
    <w:rsid w:val="00B934EF"/>
    <w:rsid w:val="00B96678"/>
    <w:rsid w:val="00B97DE3"/>
    <w:rsid w:val="00BA0B81"/>
    <w:rsid w:val="00BA4A1D"/>
    <w:rsid w:val="00BB1E3B"/>
    <w:rsid w:val="00BC1E0F"/>
    <w:rsid w:val="00BC2D0F"/>
    <w:rsid w:val="00BC5A2D"/>
    <w:rsid w:val="00BC5C70"/>
    <w:rsid w:val="00BC6FA5"/>
    <w:rsid w:val="00BC77BC"/>
    <w:rsid w:val="00BD2DE8"/>
    <w:rsid w:val="00BD44A1"/>
    <w:rsid w:val="00BE670A"/>
    <w:rsid w:val="00BF7CE9"/>
    <w:rsid w:val="00BF7D7E"/>
    <w:rsid w:val="00C06EBA"/>
    <w:rsid w:val="00C120DA"/>
    <w:rsid w:val="00C20246"/>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3256"/>
    <w:rsid w:val="00C8555C"/>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1A5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5645"/>
    <w:rsid w:val="00D477DE"/>
    <w:rsid w:val="00D52F5B"/>
    <w:rsid w:val="00D54A32"/>
    <w:rsid w:val="00D572DC"/>
    <w:rsid w:val="00D60649"/>
    <w:rsid w:val="00D61468"/>
    <w:rsid w:val="00D617C9"/>
    <w:rsid w:val="00D6731F"/>
    <w:rsid w:val="00D7388B"/>
    <w:rsid w:val="00D757A4"/>
    <w:rsid w:val="00D77238"/>
    <w:rsid w:val="00D82F7C"/>
    <w:rsid w:val="00D83278"/>
    <w:rsid w:val="00D83711"/>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8D1"/>
    <w:rsid w:val="00E35BB3"/>
    <w:rsid w:val="00E42FFF"/>
    <w:rsid w:val="00E45546"/>
    <w:rsid w:val="00E51F04"/>
    <w:rsid w:val="00E52D7D"/>
    <w:rsid w:val="00E52EA3"/>
    <w:rsid w:val="00E534E7"/>
    <w:rsid w:val="00E55BFD"/>
    <w:rsid w:val="00E56322"/>
    <w:rsid w:val="00E568C8"/>
    <w:rsid w:val="00E625CB"/>
    <w:rsid w:val="00E62871"/>
    <w:rsid w:val="00E66E66"/>
    <w:rsid w:val="00E66EC0"/>
    <w:rsid w:val="00E8098B"/>
    <w:rsid w:val="00E82704"/>
    <w:rsid w:val="00EA05C8"/>
    <w:rsid w:val="00EA2E5E"/>
    <w:rsid w:val="00EA3FB9"/>
    <w:rsid w:val="00EA40F9"/>
    <w:rsid w:val="00EA572E"/>
    <w:rsid w:val="00EB2478"/>
    <w:rsid w:val="00EC4DA1"/>
    <w:rsid w:val="00EC4F77"/>
    <w:rsid w:val="00ED502E"/>
    <w:rsid w:val="00EE1E62"/>
    <w:rsid w:val="00EE3312"/>
    <w:rsid w:val="00EF166B"/>
    <w:rsid w:val="00EF1F16"/>
    <w:rsid w:val="00F00AF3"/>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677"/>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 w:type="character" w:customStyle="1" w:styleId="fontstyle21">
    <w:name w:val="fontstyle21"/>
    <w:basedOn w:val="Fuentedeprrafopredeter"/>
    <w:rsid w:val="00CF1A5E"/>
    <w:rPr>
      <w:rFonts w:ascii="ITCSymbolStd-Book" w:hAnsi="ITCSymbolStd-Boo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9B7D8906-3A8A-4211-A4C5-9978CD066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14131</TotalTime>
  <Pages>36</Pages>
  <Words>58801</Words>
  <Characters>323409</Characters>
  <Application>Microsoft Office Word</Application>
  <DocSecurity>0</DocSecurity>
  <Lines>2695</Lines>
  <Paragraphs>762</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381448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152</cp:revision>
  <cp:lastPrinted>2018-10-10T04:01:00Z</cp:lastPrinted>
  <dcterms:created xsi:type="dcterms:W3CDTF">2018-10-07T08:04:00Z</dcterms:created>
  <dcterms:modified xsi:type="dcterms:W3CDTF">2018-12-11T19:57:00Z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