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2323D7">
      <w:pPr>
        <w:pStyle w:val="Ttulo1"/>
        <w:spacing w:before="0" w:line="360" w:lineRule="auto"/>
        <w:rPr>
          <w:rFonts w:cs="Arial"/>
          <w:szCs w:val="24"/>
          <w:u w:val="single"/>
          <w:lang w:val="es-MX"/>
        </w:rPr>
      </w:pPr>
      <w:r w:rsidRPr="001133CE">
        <w:rPr>
          <w:rFonts w:cs="Arial"/>
          <w:szCs w:val="24"/>
          <w:lang w:val="es-MX"/>
        </w:rPr>
        <w:t>INTRODUCCIÓN</w:t>
      </w:r>
    </w:p>
    <w:p w14:paraId="27F90D2E" w14:textId="77777777" w:rsidR="000228D9" w:rsidRPr="001133CE" w:rsidRDefault="00400DD9" w:rsidP="002323D7">
      <w:pPr>
        <w:spacing w:after="0" w:line="360" w:lineRule="auto"/>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2323D7">
      <w:pPr>
        <w:spacing w:after="0" w:line="360" w:lineRule="auto"/>
        <w:rPr>
          <w:rFonts w:cs="Arial"/>
          <w:szCs w:val="24"/>
          <w:lang w:val="es-MX"/>
        </w:rPr>
      </w:pPr>
    </w:p>
    <w:p w14:paraId="0DA83971" w14:textId="77777777" w:rsidR="00796A8B" w:rsidRPr="001133CE" w:rsidRDefault="00400DD9" w:rsidP="002323D7">
      <w:pPr>
        <w:spacing w:after="0" w:line="360" w:lineRule="auto"/>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2323D7">
      <w:pPr>
        <w:spacing w:after="0" w:line="360" w:lineRule="auto"/>
        <w:rPr>
          <w:rFonts w:cs="Arial"/>
          <w:szCs w:val="24"/>
          <w:lang w:val="es-MX"/>
        </w:rPr>
      </w:pPr>
    </w:p>
    <w:p w14:paraId="11B9350A" w14:textId="3C48B338" w:rsidR="00B0504A" w:rsidRPr="001133CE" w:rsidRDefault="00400DD9" w:rsidP="002323D7">
      <w:pPr>
        <w:spacing w:after="0" w:line="360" w:lineRule="auto"/>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w:t>
      </w:r>
      <w:r w:rsidRPr="001133CE">
        <w:rPr>
          <w:rFonts w:cs="Arial"/>
          <w:szCs w:val="24"/>
          <w:lang w:val="es-MX"/>
        </w:rPr>
        <w:lastRenderedPageBreak/>
        <w:t>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2323D7">
      <w:pPr>
        <w:spacing w:after="0" w:line="360" w:lineRule="auto"/>
        <w:rPr>
          <w:rFonts w:cs="Arial"/>
          <w:szCs w:val="24"/>
          <w:lang w:val="es-MX"/>
        </w:rPr>
      </w:pPr>
    </w:p>
    <w:p w14:paraId="285F19A5" w14:textId="458EC8C6" w:rsidR="001F1B61" w:rsidRPr="001133CE" w:rsidRDefault="00400DD9" w:rsidP="002323D7">
      <w:pPr>
        <w:spacing w:after="0" w:line="360" w:lineRule="auto"/>
        <w:rPr>
          <w:rFonts w:cs="Arial"/>
          <w:szCs w:val="24"/>
          <w:lang w:val="es-MX"/>
        </w:rPr>
      </w:pPr>
      <w:r w:rsidRPr="001133CE">
        <w:rPr>
          <w:rFonts w:cs="Arial"/>
          <w:szCs w:val="24"/>
          <w:lang w:val="es-MX"/>
        </w:rPr>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2323D7">
      <w:pPr>
        <w:spacing w:after="0" w:line="360" w:lineRule="auto"/>
        <w:rPr>
          <w:rFonts w:cs="Arial"/>
          <w:szCs w:val="24"/>
          <w:lang w:val="es-MX"/>
        </w:rPr>
      </w:pPr>
      <w:r w:rsidRPr="001133CE">
        <w:rPr>
          <w:rFonts w:cs="Arial"/>
          <w:szCs w:val="24"/>
          <w:lang w:val="es-MX"/>
        </w:rPr>
        <w:t xml:space="preserve"> </w:t>
      </w:r>
    </w:p>
    <w:p w14:paraId="77A374D0" w14:textId="4B1F8572" w:rsidR="00A661FD" w:rsidRPr="001133CE" w:rsidRDefault="00400DD9" w:rsidP="002323D7">
      <w:pPr>
        <w:spacing w:after="0" w:line="360" w:lineRule="auto"/>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2323D7">
      <w:pPr>
        <w:spacing w:after="0" w:line="360" w:lineRule="auto"/>
        <w:rPr>
          <w:rFonts w:cs="Arial"/>
          <w:szCs w:val="24"/>
          <w:lang w:val="es-MX"/>
        </w:rPr>
      </w:pPr>
    </w:p>
    <w:p w14:paraId="192AC114" w14:textId="5F28F72F" w:rsidR="000228D9" w:rsidRPr="001133CE" w:rsidRDefault="000228D9" w:rsidP="002323D7">
      <w:pPr>
        <w:spacing w:after="0" w:line="360" w:lineRule="auto"/>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2323D7">
      <w:pPr>
        <w:spacing w:after="0" w:line="360" w:lineRule="auto"/>
        <w:rPr>
          <w:rFonts w:cs="Arial"/>
          <w:szCs w:val="24"/>
          <w:lang w:val="es-MX"/>
        </w:rPr>
      </w:pPr>
    </w:p>
    <w:p w14:paraId="2DE64B15" w14:textId="0CC02CC3" w:rsidR="000D3E6E" w:rsidRPr="001133CE" w:rsidRDefault="000228D9" w:rsidP="002323D7">
      <w:pPr>
        <w:spacing w:after="0" w:line="360" w:lineRule="auto"/>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2323D7">
      <w:pPr>
        <w:spacing w:after="0" w:line="360" w:lineRule="auto"/>
        <w:rPr>
          <w:rFonts w:cs="Arial"/>
          <w:szCs w:val="24"/>
          <w:lang w:val="es-MX"/>
        </w:rPr>
      </w:pPr>
    </w:p>
    <w:p w14:paraId="664E6DC6" w14:textId="4500DD10" w:rsidR="00854967" w:rsidRPr="001133CE" w:rsidRDefault="00E35BB3" w:rsidP="002323D7">
      <w:pPr>
        <w:spacing w:after="0" w:line="360" w:lineRule="auto"/>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2323D7">
      <w:pPr>
        <w:spacing w:after="0" w:line="360" w:lineRule="auto"/>
        <w:rPr>
          <w:rFonts w:cs="Arial"/>
          <w:szCs w:val="24"/>
          <w:lang w:val="es-MX"/>
        </w:rPr>
      </w:pPr>
    </w:p>
    <w:p w14:paraId="7CFB5AB2" w14:textId="44C9508D" w:rsidR="005C6477" w:rsidRPr="001133CE" w:rsidRDefault="005C6477" w:rsidP="002323D7">
      <w:pPr>
        <w:spacing w:after="0" w:line="360" w:lineRule="auto"/>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2323D7">
      <w:pPr>
        <w:spacing w:after="0" w:line="360" w:lineRule="auto"/>
        <w:rPr>
          <w:rFonts w:cs="Arial"/>
          <w:szCs w:val="24"/>
          <w:lang w:val="es-MX"/>
        </w:rPr>
      </w:pPr>
    </w:p>
    <w:p w14:paraId="1B6A8C47" w14:textId="77777777" w:rsidR="006948E0" w:rsidRPr="001133CE" w:rsidRDefault="00A21391" w:rsidP="002323D7">
      <w:pPr>
        <w:spacing w:after="0" w:line="360" w:lineRule="auto"/>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2323D7">
      <w:pPr>
        <w:spacing w:after="0" w:line="360" w:lineRule="auto"/>
        <w:rPr>
          <w:rFonts w:cs="Arial"/>
          <w:szCs w:val="24"/>
          <w:lang w:val="es-MX"/>
        </w:rPr>
      </w:pPr>
    </w:p>
    <w:p w14:paraId="016E5513" w14:textId="30FD1F72" w:rsidR="0017250A" w:rsidRPr="001133CE" w:rsidRDefault="00A42432" w:rsidP="002323D7">
      <w:pPr>
        <w:spacing w:after="0" w:line="360" w:lineRule="auto"/>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2323D7">
      <w:pPr>
        <w:spacing w:after="0" w:line="360" w:lineRule="auto"/>
        <w:rPr>
          <w:rFonts w:cs="Arial"/>
          <w:szCs w:val="24"/>
          <w:lang w:val="es-MX"/>
        </w:rPr>
      </w:pPr>
    </w:p>
    <w:p w14:paraId="02C1FA41" w14:textId="554FDB3D" w:rsidR="00400DD9" w:rsidRPr="001133CE" w:rsidRDefault="00A42432" w:rsidP="002323D7">
      <w:pPr>
        <w:pStyle w:val="Ttulo1"/>
        <w:spacing w:before="0" w:line="360" w:lineRule="auto"/>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2323D7">
      <w:pPr>
        <w:spacing w:after="0" w:line="360" w:lineRule="auto"/>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2323D7">
      <w:pPr>
        <w:spacing w:after="0" w:line="360" w:lineRule="auto"/>
        <w:rPr>
          <w:rFonts w:cs="Arial"/>
          <w:szCs w:val="24"/>
          <w:lang w:val="es-MX"/>
        </w:rPr>
      </w:pPr>
    </w:p>
    <w:p w14:paraId="21E12DDC" w14:textId="19A59E9F" w:rsidR="009F7CF4" w:rsidRPr="001133CE" w:rsidRDefault="00766C53" w:rsidP="002323D7">
      <w:pPr>
        <w:spacing w:after="0" w:line="360" w:lineRule="auto"/>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2323D7">
      <w:pPr>
        <w:spacing w:after="0" w:line="360" w:lineRule="auto"/>
        <w:rPr>
          <w:rFonts w:cs="Arial"/>
          <w:szCs w:val="24"/>
          <w:lang w:val="es-MX"/>
        </w:rPr>
      </w:pPr>
    </w:p>
    <w:p w14:paraId="307D4648" w14:textId="65DF64D0" w:rsidR="0037799B" w:rsidRPr="001133CE" w:rsidRDefault="002B166E" w:rsidP="002323D7">
      <w:pPr>
        <w:spacing w:after="0" w:line="360" w:lineRule="auto"/>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2323D7">
      <w:pPr>
        <w:spacing w:after="0" w:line="360" w:lineRule="auto"/>
        <w:rPr>
          <w:rFonts w:cs="Arial"/>
          <w:szCs w:val="24"/>
          <w:lang w:val="es-MX"/>
        </w:rPr>
      </w:pPr>
    </w:p>
    <w:p w14:paraId="7F55E9ED" w14:textId="6D340CD6" w:rsidR="0080694B" w:rsidRPr="001133CE" w:rsidRDefault="00794FE2" w:rsidP="002323D7">
      <w:pPr>
        <w:spacing w:after="0" w:line="360" w:lineRule="auto"/>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2323D7">
      <w:pPr>
        <w:spacing w:after="0" w:line="360" w:lineRule="auto"/>
        <w:rPr>
          <w:rFonts w:cs="Arial"/>
          <w:szCs w:val="24"/>
          <w:lang w:val="es-MX"/>
        </w:rPr>
      </w:pPr>
    </w:p>
    <w:p w14:paraId="14832668" w14:textId="4FD67A31" w:rsidR="009A33A3" w:rsidRPr="001133CE" w:rsidRDefault="009A33A3" w:rsidP="002323D7">
      <w:pPr>
        <w:spacing w:after="0" w:line="360" w:lineRule="auto"/>
        <w:rPr>
          <w:rFonts w:cs="Arial"/>
          <w:szCs w:val="24"/>
          <w:lang w:val="es-MX"/>
        </w:rPr>
      </w:pPr>
    </w:p>
    <w:p w14:paraId="3FA0D1FF" w14:textId="41516EB8" w:rsidR="002F238E" w:rsidRPr="001133CE" w:rsidRDefault="00F66A6C" w:rsidP="002323D7">
      <w:pPr>
        <w:spacing w:after="0" w:line="360" w:lineRule="auto"/>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0975FA" w:rsidRDefault="002F238E" w:rsidP="000975FA">
      <w:pPr>
        <w:spacing w:after="0" w:line="240" w:lineRule="auto"/>
        <w:rPr>
          <w:rFonts w:cs="Arial"/>
          <w:sz w:val="18"/>
          <w:szCs w:val="24"/>
          <w:lang w:val="es-MX"/>
        </w:rPr>
      </w:pPr>
      <w:r w:rsidRPr="000975FA">
        <w:rPr>
          <w:rFonts w:cs="Arial"/>
          <w:sz w:val="18"/>
          <w:szCs w:val="24"/>
          <w:lang w:val="es-MX"/>
        </w:rPr>
        <w:t xml:space="preserve">Figura </w:t>
      </w:r>
      <w:r w:rsidRPr="000975FA">
        <w:rPr>
          <w:rFonts w:cs="Arial"/>
          <w:sz w:val="18"/>
          <w:szCs w:val="24"/>
        </w:rPr>
        <w:fldChar w:fldCharType="begin"/>
      </w:r>
      <w:r w:rsidRPr="000975FA">
        <w:rPr>
          <w:rFonts w:cs="Arial"/>
          <w:sz w:val="18"/>
          <w:szCs w:val="24"/>
          <w:lang w:val="es-MX"/>
        </w:rPr>
        <w:instrText xml:space="preserve"> SEQ Figura \* ARABIC </w:instrText>
      </w:r>
      <w:r w:rsidRPr="000975FA">
        <w:rPr>
          <w:rFonts w:cs="Arial"/>
          <w:sz w:val="18"/>
          <w:szCs w:val="24"/>
        </w:rPr>
        <w:fldChar w:fldCharType="separate"/>
      </w:r>
      <w:r w:rsidR="00B700A9" w:rsidRPr="000975FA">
        <w:rPr>
          <w:rFonts w:cs="Arial"/>
          <w:noProof/>
          <w:sz w:val="18"/>
          <w:szCs w:val="24"/>
          <w:lang w:val="es-MX"/>
        </w:rPr>
        <w:t>1</w:t>
      </w:r>
      <w:r w:rsidRPr="000975FA">
        <w:rPr>
          <w:rFonts w:cs="Arial"/>
          <w:sz w:val="18"/>
          <w:szCs w:val="24"/>
        </w:rPr>
        <w:fldChar w:fldCharType="end"/>
      </w:r>
      <w:r w:rsidR="00B0369A" w:rsidRPr="000975FA">
        <w:rPr>
          <w:rFonts w:cs="Arial"/>
          <w:sz w:val="18"/>
          <w:szCs w:val="24"/>
          <w:lang w:val="es-MX"/>
        </w:rPr>
        <w:t xml:space="preserve"> Análisis F</w:t>
      </w:r>
      <w:r w:rsidR="001A04A0" w:rsidRPr="000975FA">
        <w:rPr>
          <w:rFonts w:cs="Arial"/>
          <w:sz w:val="18"/>
          <w:szCs w:val="24"/>
          <w:lang w:val="es-MX"/>
        </w:rPr>
        <w:t>i</w:t>
      </w:r>
      <w:r w:rsidR="00B0369A" w:rsidRPr="000975FA">
        <w:rPr>
          <w:rFonts w:cs="Arial"/>
          <w:sz w:val="18"/>
          <w:szCs w:val="24"/>
          <w:lang w:val="es-MX"/>
        </w:rPr>
        <w:t>logenético Molecular por el método de Máximo Likelihood (ML)</w:t>
      </w:r>
      <w:r w:rsidR="00F66A6C" w:rsidRPr="000975FA">
        <w:rPr>
          <w:rFonts w:cs="Arial"/>
          <w:sz w:val="18"/>
          <w:szCs w:val="24"/>
          <w:lang w:val="es-MX"/>
        </w:rPr>
        <w:t xml:space="preserve">. </w:t>
      </w:r>
      <w:r w:rsidR="001A04A0" w:rsidRPr="000975FA">
        <w:rPr>
          <w:rFonts w:cs="Arial"/>
          <w:sz w:val="18"/>
          <w:szCs w:val="24"/>
          <w:lang w:val="es-MX"/>
        </w:rPr>
        <w:t xml:space="preserve"> </w:t>
      </w:r>
      <w:r w:rsidR="00B0369A" w:rsidRPr="000975FA">
        <w:rPr>
          <w:rFonts w:cs="Arial"/>
          <w:sz w:val="18"/>
          <w:szCs w:val="24"/>
          <w:lang w:val="es-MX"/>
        </w:rPr>
        <w:t xml:space="preserve">La </w:t>
      </w:r>
      <w:r w:rsidR="001A04A0" w:rsidRPr="000975FA">
        <w:rPr>
          <w:rFonts w:cs="Arial"/>
          <w:sz w:val="18"/>
          <w:szCs w:val="24"/>
          <w:lang w:val="es-MX"/>
        </w:rPr>
        <w:t>historia evolucionaria</w:t>
      </w:r>
      <w:r w:rsidR="00B0369A" w:rsidRPr="000975FA">
        <w:rPr>
          <w:rFonts w:cs="Arial"/>
          <w:sz w:val="18"/>
          <w:szCs w:val="24"/>
          <w:lang w:val="es-MX"/>
        </w:rPr>
        <w:t xml:space="preserve"> de las Subunidades G</w:t>
      </w:r>
      <w:r w:rsidR="00B0369A" w:rsidRPr="000975FA">
        <w:rPr>
          <w:rFonts w:cs="Arial"/>
          <w:sz w:val="18"/>
          <w:szCs w:val="24"/>
        </w:rPr>
        <w:t>α</w:t>
      </w:r>
      <w:r w:rsidR="00B0369A" w:rsidRPr="000975FA">
        <w:rPr>
          <w:rFonts w:cs="Arial"/>
          <w:sz w:val="18"/>
          <w:szCs w:val="24"/>
          <w:lang w:val="es-MX"/>
        </w:rPr>
        <w:t xml:space="preserve"> heterotriméricas present</w:t>
      </w:r>
      <w:r w:rsidR="0073196C" w:rsidRPr="000975FA">
        <w:rPr>
          <w:rFonts w:cs="Arial"/>
          <w:sz w:val="18"/>
          <w:szCs w:val="24"/>
          <w:lang w:val="es-MX"/>
        </w:rPr>
        <w:t>e</w:t>
      </w:r>
      <w:r w:rsidR="00B0369A" w:rsidRPr="000975FA">
        <w:rPr>
          <w:rFonts w:cs="Arial"/>
          <w:sz w:val="18"/>
          <w:szCs w:val="24"/>
          <w:lang w:val="es-MX"/>
        </w:rPr>
        <w:t>s en ascomicetos fue inferida usando el m</w:t>
      </w:r>
      <w:r w:rsidR="00EC4DA1" w:rsidRPr="000975FA">
        <w:rPr>
          <w:rFonts w:cs="Arial"/>
          <w:sz w:val="18"/>
          <w:szCs w:val="24"/>
          <w:lang w:val="es-MX"/>
        </w:rPr>
        <w:t>é</w:t>
      </w:r>
      <w:r w:rsidR="00B0369A" w:rsidRPr="000975FA">
        <w:rPr>
          <w:rFonts w:cs="Arial"/>
          <w:sz w:val="18"/>
          <w:szCs w:val="24"/>
          <w:lang w:val="es-MX"/>
        </w:rPr>
        <w:t xml:space="preserve">todo de ML con base en el modelo de corrección de Poisson.  </w:t>
      </w:r>
      <w:r w:rsidR="0073196C" w:rsidRPr="000975FA">
        <w:rPr>
          <w:rFonts w:cs="Arial"/>
          <w:sz w:val="18"/>
          <w:szCs w:val="24"/>
          <w:lang w:val="es-MX"/>
        </w:rPr>
        <w:t>El á</w:t>
      </w:r>
      <w:r w:rsidR="00B0369A" w:rsidRPr="000975FA">
        <w:rPr>
          <w:rFonts w:cs="Arial"/>
          <w:sz w:val="18"/>
          <w:szCs w:val="24"/>
          <w:lang w:val="es-MX"/>
        </w:rPr>
        <w:t xml:space="preserve">rbol consenso obtenido por bootstrap realizando 100 </w:t>
      </w:r>
      <w:r w:rsidR="001A04A0" w:rsidRPr="000975FA">
        <w:rPr>
          <w:rFonts w:cs="Arial"/>
          <w:sz w:val="18"/>
          <w:szCs w:val="24"/>
          <w:lang w:val="es-MX"/>
        </w:rPr>
        <w:t>réplicas</w:t>
      </w:r>
      <w:r w:rsidR="00B0369A" w:rsidRPr="000975FA">
        <w:rPr>
          <w:rFonts w:cs="Arial"/>
          <w:sz w:val="18"/>
          <w:szCs w:val="24"/>
          <w:lang w:val="es-MX"/>
        </w:rPr>
        <w:t>, es tomado como representación de la historia evolutiva de las Gα de los taxa analizados</w:t>
      </w:r>
      <w:r w:rsidR="001A04A0" w:rsidRPr="000975FA">
        <w:rPr>
          <w:rFonts w:cs="Arial"/>
          <w:sz w:val="18"/>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5E2FB9B9" w14:textId="77777777" w:rsidR="000975FA" w:rsidRDefault="000975FA" w:rsidP="002323D7">
      <w:pPr>
        <w:spacing w:after="0" w:line="360" w:lineRule="auto"/>
        <w:rPr>
          <w:rFonts w:cs="Arial"/>
          <w:szCs w:val="24"/>
          <w:lang w:val="es-MX"/>
        </w:rPr>
      </w:pPr>
    </w:p>
    <w:p w14:paraId="1DD57461" w14:textId="602C29C6" w:rsidR="00D572DC" w:rsidRPr="001133CE" w:rsidRDefault="00A472EA" w:rsidP="002323D7">
      <w:pPr>
        <w:spacing w:after="0" w:line="360" w:lineRule="auto"/>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0975FA">
        <w:rPr>
          <w:rFonts w:cs="Arial"/>
          <w:szCs w:val="24"/>
          <w:lang w:val="es-MX"/>
        </w:rPr>
        <w:t>El análisis molecular muestran</w:t>
      </w:r>
      <w:r w:rsidR="00F871C8" w:rsidRPr="001133CE">
        <w:rPr>
          <w:rFonts w:cs="Arial"/>
          <w:szCs w:val="24"/>
          <w:lang w:val="es-MX"/>
        </w:rPr>
        <w:t xml:space="preserve"> 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2323D7">
      <w:pPr>
        <w:spacing w:after="0" w:line="360" w:lineRule="auto"/>
        <w:rPr>
          <w:rFonts w:cs="Arial"/>
          <w:szCs w:val="24"/>
          <w:lang w:val="es-MX"/>
        </w:rPr>
      </w:pPr>
    </w:p>
    <w:p w14:paraId="6328D4E9" w14:textId="5AF6107B" w:rsidR="00D477DE" w:rsidRPr="001133CE" w:rsidRDefault="00D572DC" w:rsidP="002323D7">
      <w:pPr>
        <w:spacing w:after="0" w:line="360" w:lineRule="auto"/>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2323D7">
      <w:pPr>
        <w:spacing w:after="0" w:line="360" w:lineRule="auto"/>
        <w:rPr>
          <w:rFonts w:cs="Arial"/>
          <w:szCs w:val="24"/>
          <w:lang w:val="es-MX"/>
        </w:rPr>
      </w:pPr>
    </w:p>
    <w:p w14:paraId="7A619034" w14:textId="1F210662" w:rsidR="008F3B15" w:rsidRPr="001133CE" w:rsidRDefault="00A55F28" w:rsidP="002323D7">
      <w:pPr>
        <w:spacing w:after="0" w:line="360" w:lineRule="auto"/>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2323D7">
      <w:pPr>
        <w:spacing w:after="0" w:line="360" w:lineRule="auto"/>
        <w:rPr>
          <w:rFonts w:cs="Arial"/>
          <w:szCs w:val="24"/>
          <w:lang w:val="es-MX"/>
        </w:rPr>
      </w:pPr>
    </w:p>
    <w:p w14:paraId="4E2F0F04" w14:textId="671E8F67" w:rsidR="005C41C8" w:rsidRPr="001133CE" w:rsidRDefault="009A33A3" w:rsidP="002323D7">
      <w:pPr>
        <w:spacing w:after="0" w:line="360" w:lineRule="auto"/>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r w:rsidR="008B6FC9">
        <w:rPr>
          <w:rFonts w:cs="Arial"/>
          <w:szCs w:val="24"/>
          <w:lang w:val="es-MX"/>
        </w:rPr>
        <w:t xml:space="preserve">.  </w:t>
      </w:r>
      <w:r w:rsidR="005C41C8" w:rsidRPr="001133CE">
        <w:rPr>
          <w:rFonts w:cs="Arial"/>
          <w:szCs w:val="24"/>
          <w:lang w:val="es-MX"/>
        </w:rPr>
        <w:t xml:space="preserve">El motivo DEP en </w:t>
      </w:r>
      <w:r w:rsidR="005C41C8" w:rsidRPr="001133CE">
        <w:rPr>
          <w:rFonts w:cs="Arial"/>
          <w:i/>
          <w:szCs w:val="24"/>
          <w:lang w:val="es-MX"/>
        </w:rPr>
        <w:t>S. cerevisiae</w:t>
      </w:r>
      <w:r w:rsidR="005C41C8" w:rsidRPr="001133CE">
        <w:rPr>
          <w:rFonts w:cs="Arial"/>
          <w:szCs w:val="24"/>
          <w:lang w:val="es-MX"/>
        </w:rPr>
        <w:t xml:space="preserve"> se une a Msn2p y Msn4p, proteínas reguladoras del estrés tipo dedo de Zinc C</w:t>
      </w:r>
      <w:r w:rsidR="005C41C8" w:rsidRPr="001133CE">
        <w:rPr>
          <w:rFonts w:cs="Arial"/>
          <w:szCs w:val="24"/>
          <w:vertAlign w:val="subscript"/>
          <w:lang w:val="es-MX"/>
        </w:rPr>
        <w:t>2</w:t>
      </w:r>
      <w:r w:rsidR="005C41C8" w:rsidRPr="001133CE">
        <w:rPr>
          <w:rFonts w:cs="Arial"/>
          <w:szCs w:val="24"/>
          <w:lang w:val="es-MX"/>
        </w:rPr>
        <w:t>H</w:t>
      </w:r>
      <w:r w:rsidR="005C41C8" w:rsidRPr="001133CE">
        <w:rPr>
          <w:rFonts w:cs="Arial"/>
          <w:szCs w:val="24"/>
          <w:vertAlign w:val="subscript"/>
          <w:lang w:val="es-MX"/>
        </w:rPr>
        <w:t xml:space="preserve">2 </w:t>
      </w:r>
      <w:r w:rsidR="005C41C8" w:rsidRPr="001133CE">
        <w:rPr>
          <w:rFonts w:cs="Arial"/>
          <w:szCs w:val="24"/>
          <w:lang w:val="es-MX"/>
        </w:rPr>
        <w:t xml:space="preserve">homólogo a las proteínas dedo de zinc de </w:t>
      </w:r>
      <w:r w:rsidR="005C41C8" w:rsidRPr="001133CE">
        <w:rPr>
          <w:rFonts w:cs="Arial"/>
          <w:i/>
          <w:szCs w:val="24"/>
          <w:lang w:val="es-MX"/>
        </w:rPr>
        <w:t>A. nidulas</w:t>
      </w:r>
      <w:r w:rsidR="005C41C8" w:rsidRPr="001133CE">
        <w:rPr>
          <w:rFonts w:cs="Arial"/>
          <w:szCs w:val="24"/>
          <w:lang w:val="es-MX"/>
        </w:rPr>
        <w:t xml:space="preserve"> registrada AN1652.2 de 575 a.a.</w:t>
      </w:r>
      <w:r w:rsidR="005C41C8" w:rsidRPr="001133CE">
        <w:rPr>
          <w:rFonts w:cs="Arial"/>
          <w:szCs w:val="24"/>
          <w:lang w:val="es-MX"/>
        </w:rPr>
        <w:fldChar w:fldCharType="begin" w:fldLock="1"/>
      </w:r>
      <w:r w:rsidR="008E7700">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p>
    <w:p w14:paraId="3AFB843A" w14:textId="4B763697" w:rsidR="00066A98" w:rsidRPr="001133CE" w:rsidRDefault="00066A98" w:rsidP="002323D7">
      <w:pPr>
        <w:spacing w:after="0" w:line="360" w:lineRule="auto"/>
        <w:rPr>
          <w:rFonts w:cs="Arial"/>
          <w:szCs w:val="24"/>
          <w:lang w:val="es-MX"/>
        </w:rPr>
      </w:pPr>
    </w:p>
    <w:p w14:paraId="006A0B80" w14:textId="6319946F" w:rsidR="00170429" w:rsidRPr="001133CE" w:rsidRDefault="00170429" w:rsidP="002323D7">
      <w:pPr>
        <w:spacing w:after="0" w:line="360" w:lineRule="auto"/>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2323D7">
      <w:pPr>
        <w:spacing w:after="0" w:line="360" w:lineRule="auto"/>
        <w:rPr>
          <w:rFonts w:cs="Arial"/>
          <w:szCs w:val="24"/>
          <w:lang w:val="es-MX"/>
        </w:rPr>
      </w:pPr>
    </w:p>
    <w:p w14:paraId="5905043C" w14:textId="4A00E48C" w:rsidR="00773774" w:rsidRPr="001133CE" w:rsidRDefault="008D1AB2" w:rsidP="002323D7">
      <w:pPr>
        <w:spacing w:after="0" w:line="360" w:lineRule="auto"/>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8A125F" w:rsidRPr="00096D42">
                <w:rPr>
                  <w:lang w:val="es-MX"/>
                </w:rPr>
                <w:t>‬</w:t>
              </w:r>
              <w:r w:rsidR="008A125F" w:rsidRPr="00096D42">
                <w:rPr>
                  <w:lang w:val="es-MX"/>
                </w:rPr>
                <w:t>‬</w:t>
              </w:r>
              <w:r w:rsidR="008A125F" w:rsidRPr="00096D42">
                <w:rPr>
                  <w:lang w:val="es-MX"/>
                </w:rPr>
                <w:t>‬</w:t>
              </w:r>
              <w:r w:rsidR="008A125F" w:rsidRPr="00096D42">
                <w:rPr>
                  <w:lang w:val="es-MX"/>
                </w:rPr>
                <w:t>‬</w:t>
              </w:r>
              <w:r w:rsidR="008E7700" w:rsidRPr="009B5FEF">
                <w:rPr>
                  <w:lang w:val="es-MX"/>
                </w:rPr>
                <w:t>‬</w:t>
              </w:r>
              <w:r w:rsidR="008E7700" w:rsidRPr="009B5FEF">
                <w:rPr>
                  <w:lang w:val="es-MX"/>
                </w:rPr>
                <w:t>‬</w:t>
              </w:r>
              <w:r w:rsidR="008E7700" w:rsidRPr="009B5FEF">
                <w:rPr>
                  <w:lang w:val="es-MX"/>
                </w:rPr>
                <w:t>‬</w:t>
              </w:r>
              <w:r w:rsidR="008E7700" w:rsidRPr="009B5FEF">
                <w:rPr>
                  <w:lang w:val="es-MX"/>
                </w:rPr>
                <w:t>‬</w:t>
              </w:r>
              <w:r w:rsidR="00427CB0" w:rsidRPr="000975FA">
                <w:rPr>
                  <w:lang w:val="es-MX"/>
                </w:rPr>
                <w:t>‬</w:t>
              </w:r>
              <w:r w:rsidR="00427CB0" w:rsidRPr="000975FA">
                <w:rPr>
                  <w:lang w:val="es-MX"/>
                </w:rPr>
                <w:t>‬</w:t>
              </w:r>
              <w:r w:rsidR="00427CB0" w:rsidRPr="000975FA">
                <w:rPr>
                  <w:lang w:val="es-MX"/>
                </w:rPr>
                <w:t>‬</w:t>
              </w:r>
              <w:r w:rsidR="00427CB0" w:rsidRPr="000975FA">
                <w:rPr>
                  <w:lang w:val="es-MX"/>
                </w:rPr>
                <w:t>‬</w:t>
              </w:r>
              <w:r w:rsidR="006A7A15">
                <w:t>‬</w:t>
              </w:r>
              <w:r w:rsidR="006A7A15">
                <w:t>‬</w:t>
              </w:r>
              <w:r w:rsidR="006A7A15">
                <w:t>‬</w:t>
              </w:r>
              <w:r w:rsidR="006A7A15">
                <w:t>‬</w:t>
              </w:r>
            </w:dir>
          </w:dir>
        </w:dir>
      </w:dir>
    </w:p>
    <w:p w14:paraId="1F4CA255" w14:textId="31C6F14D" w:rsidR="00773774" w:rsidRPr="001133CE" w:rsidRDefault="00773774" w:rsidP="002323D7">
      <w:pPr>
        <w:spacing w:after="0" w:line="360" w:lineRule="auto"/>
        <w:rPr>
          <w:rFonts w:cs="Arial"/>
          <w:szCs w:val="24"/>
          <w:lang w:val="es-MX"/>
        </w:rPr>
      </w:pPr>
    </w:p>
    <w:p w14:paraId="6BCB3D2E" w14:textId="7D15855D" w:rsidR="00FA4723" w:rsidRPr="001133CE" w:rsidRDefault="00773774" w:rsidP="002323D7">
      <w:pPr>
        <w:spacing w:after="0" w:line="360" w:lineRule="auto"/>
        <w:rPr>
          <w:rFonts w:eastAsiaTheme="majorEastAsia"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r w:rsidR="004A7D39">
        <w:rPr>
          <w:rFonts w:cs="Arial"/>
          <w:szCs w:val="24"/>
          <w:lang w:val="es-MX"/>
        </w:rPr>
        <w:t xml:space="preserve"> </w:t>
      </w:r>
      <w:r w:rsidR="004A7D39" w:rsidRPr="001133CE">
        <w:rPr>
          <w:rFonts w:eastAsia="Times New Roman" w:cs="Arial"/>
          <w:szCs w:val="24"/>
          <w:lang w:val="es-ES" w:eastAsia="es-MX"/>
        </w:rPr>
        <w:t xml:space="preserve">Aunque no se ha observado un patrón de comportamiento en la respuesta a estrés, </w:t>
      </w:r>
      <w:r w:rsidR="004A7D39">
        <w:rPr>
          <w:rFonts w:eastAsia="Times New Roman" w:cs="Arial"/>
          <w:szCs w:val="24"/>
          <w:lang w:val="es-ES" w:eastAsia="es-MX"/>
        </w:rPr>
        <w:t xml:space="preserve">los hongos </w:t>
      </w:r>
      <w:r w:rsidR="008B6FC9">
        <w:rPr>
          <w:rFonts w:eastAsia="Times New Roman" w:cs="Arial"/>
          <w:szCs w:val="24"/>
          <w:lang w:val="es-ES" w:eastAsia="es-MX"/>
        </w:rPr>
        <w:t xml:space="preserve">filamentosos </w:t>
      </w:r>
      <w:r w:rsidR="004A7D39" w:rsidRPr="001133CE">
        <w:rPr>
          <w:rFonts w:eastAsia="Times New Roman" w:cs="Arial"/>
          <w:szCs w:val="24"/>
          <w:lang w:val="es-ES" w:eastAsia="es-MX"/>
        </w:rPr>
        <w:t xml:space="preserve">comparten varios </w:t>
      </w:r>
      <w:r w:rsidR="004A7D39">
        <w:rPr>
          <w:rFonts w:eastAsia="Times New Roman" w:cs="Arial"/>
          <w:szCs w:val="24"/>
          <w:lang w:val="es-ES" w:eastAsia="es-MX"/>
        </w:rPr>
        <w:t>intermediarios en las rutas de respuesta a estrés</w:t>
      </w:r>
      <w:r w:rsidR="008B6FC9">
        <w:rPr>
          <w:rFonts w:eastAsia="Times New Roman" w:cs="Arial"/>
          <w:szCs w:val="24"/>
          <w:lang w:val="es-ES" w:eastAsia="es-MX"/>
        </w:rPr>
        <w:t xml:space="preserve"> (algunos participan en más de una ruta)</w:t>
      </w:r>
      <w:r w:rsidR="004A7D39">
        <w:rPr>
          <w:rFonts w:eastAsia="Times New Roman" w:cs="Arial"/>
          <w:szCs w:val="24"/>
          <w:lang w:val="es-ES" w:eastAsia="es-MX"/>
        </w:rPr>
        <w:t xml:space="preserve"> </w:t>
      </w:r>
      <w:r w:rsidR="008B6FC9">
        <w:rPr>
          <w:rFonts w:eastAsia="Times New Roman" w:cs="Arial"/>
          <w:szCs w:val="24"/>
          <w:lang w:val="es-ES" w:eastAsia="es-MX"/>
        </w:rPr>
        <w:t xml:space="preserve">los cuales </w:t>
      </w:r>
      <w:r w:rsidR="004A7D39">
        <w:rPr>
          <w:rFonts w:eastAsia="Times New Roman" w:cs="Arial"/>
          <w:szCs w:val="24"/>
          <w:lang w:val="es-ES" w:eastAsia="es-MX"/>
        </w:rPr>
        <w:t>han sido representados mediante mapas de calor (heatmaps) para cada uno de los tipos de estrés analizados a continuación</w:t>
      </w:r>
      <w:r w:rsidR="00FA4723" w:rsidRPr="001133CE">
        <w:rPr>
          <w:rFonts w:cs="Arial"/>
          <w:szCs w:val="24"/>
          <w:lang w:val="es-MX"/>
        </w:rPr>
        <w:br w:type="page"/>
      </w:r>
    </w:p>
    <w:p w14:paraId="72911659" w14:textId="3B09388D" w:rsidR="00B934EF" w:rsidRPr="001133CE" w:rsidRDefault="00760321" w:rsidP="002323D7">
      <w:pPr>
        <w:pStyle w:val="Ttulo1"/>
        <w:spacing w:before="0" w:line="360" w:lineRule="auto"/>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2323D7">
      <w:pPr>
        <w:spacing w:after="0" w:line="360" w:lineRule="auto"/>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2323D7">
      <w:pPr>
        <w:spacing w:after="0" w:line="360" w:lineRule="auto"/>
        <w:rPr>
          <w:rFonts w:cs="Arial"/>
          <w:szCs w:val="24"/>
          <w:lang w:val="es-MX"/>
        </w:rPr>
      </w:pPr>
    </w:p>
    <w:p w14:paraId="57A17EE6" w14:textId="7D6CEC30" w:rsidR="00F10F64" w:rsidRPr="001133CE" w:rsidRDefault="003743FC" w:rsidP="002323D7">
      <w:pPr>
        <w:spacing w:after="0" w:line="360" w:lineRule="auto"/>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2323D7">
      <w:pPr>
        <w:spacing w:after="0" w:line="360" w:lineRule="auto"/>
        <w:rPr>
          <w:rFonts w:cs="Arial"/>
          <w:szCs w:val="24"/>
          <w:lang w:val="es-ES"/>
        </w:rPr>
      </w:pPr>
    </w:p>
    <w:p w14:paraId="05003711" w14:textId="36C6F45C" w:rsidR="00F10F64" w:rsidRPr="001133CE" w:rsidRDefault="00DA24AA" w:rsidP="002323D7">
      <w:pPr>
        <w:spacing w:after="0" w:line="360" w:lineRule="auto"/>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5177419D" w:rsidR="00F10F64" w:rsidRPr="001133CE" w:rsidRDefault="00F10F64" w:rsidP="002323D7">
      <w:pPr>
        <w:spacing w:after="0" w:line="360" w:lineRule="auto"/>
        <w:rPr>
          <w:rFonts w:cs="Arial"/>
          <w:szCs w:val="24"/>
          <w:lang w:val="es-MX"/>
        </w:rPr>
      </w:pPr>
    </w:p>
    <w:p w14:paraId="43134ACB" w14:textId="3DEA05F9" w:rsidR="009500A6" w:rsidRDefault="004A4399" w:rsidP="002323D7">
      <w:pPr>
        <w:spacing w:after="0" w:line="360" w:lineRule="auto"/>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63523E9F" w14:textId="77777777" w:rsidR="000975FA" w:rsidRPr="001133CE" w:rsidRDefault="000975FA" w:rsidP="000975FA">
      <w:pPr>
        <w:spacing w:after="0" w:line="360" w:lineRule="auto"/>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Pr="001133CE">
        <w:rPr>
          <w:rFonts w:eastAsia="Times New Roman" w:cs="Arial"/>
          <w:i/>
          <w:szCs w:val="24"/>
          <w:lang w:val="es-ES" w:eastAsia="es-MX"/>
        </w:rPr>
        <w:t xml:space="preserve">N. crassa </w:t>
      </w:r>
      <w:r w:rsidRPr="001133CE">
        <w:rPr>
          <w:rFonts w:eastAsia="Times New Roman" w:cs="Arial"/>
          <w:szCs w:val="24"/>
          <w:lang w:val="es-ES" w:eastAsia="es-MX"/>
        </w:rPr>
        <w:t>expuestos a paraquat</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E7700">
        <w:rPr>
          <w:rFonts w:eastAsia="Times New Roman" w:cs="Arial"/>
          <w:noProof/>
          <w:szCs w:val="24"/>
          <w:lang w:val="es-ES" w:eastAsia="es-MX"/>
        </w:rPr>
        <w:t>[40]</w:t>
      </w:r>
      <w:r>
        <w:rPr>
          <w:rFonts w:eastAsia="Times New Roman" w:cs="Arial"/>
          <w:szCs w:val="24"/>
          <w:lang w:val="es-ES" w:eastAsia="es-MX"/>
        </w:rPr>
        <w:fldChar w:fldCharType="end"/>
      </w:r>
      <w:r w:rsidRPr="001133CE">
        <w:rPr>
          <w:rFonts w:eastAsia="Times New Roman" w:cs="Arial"/>
          <w:szCs w:val="24"/>
          <w:lang w:val="es-ES" w:eastAsia="es-MX"/>
        </w:rPr>
        <w:t xml:space="preserve">,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w:t>
      </w:r>
      <w:r>
        <w:rPr>
          <w:rFonts w:eastAsia="Times New Roman" w:cs="Arial"/>
          <w:szCs w:val="24"/>
          <w:lang w:val="es-ES" w:eastAsia="es-MX"/>
        </w:rPr>
        <w:t xml:space="preserve">aquellas con </w:t>
      </w:r>
      <w:r w:rsidRPr="001133CE">
        <w:rPr>
          <w:rFonts w:eastAsia="Times New Roman" w:cs="Arial"/>
          <w:szCs w:val="24"/>
          <w:lang w:val="es-ES" w:eastAsia="es-MX"/>
        </w:rPr>
        <w:t xml:space="preserve">el alelo gna-1Q204L </w:t>
      </w:r>
      <w:r>
        <w:rPr>
          <w:rFonts w:eastAsia="Times New Roman" w:cs="Arial"/>
          <w:szCs w:val="24"/>
          <w:lang w:val="es-ES" w:eastAsia="es-MX"/>
        </w:rPr>
        <w:t xml:space="preserve">de señal constitutivamente activa de la subunidad Gα, </w:t>
      </w:r>
      <w:r w:rsidRPr="001133CE">
        <w:rPr>
          <w:rFonts w:eastAsia="Times New Roman" w:cs="Arial"/>
          <w:szCs w:val="24"/>
          <w:lang w:val="es-ES" w:eastAsia="es-MX"/>
        </w:rPr>
        <w:t>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6539347F" w14:textId="77777777" w:rsidR="000975FA" w:rsidRDefault="000975FA" w:rsidP="000975FA">
      <w:pPr>
        <w:spacing w:after="0" w:line="360" w:lineRule="auto"/>
        <w:rPr>
          <w:rFonts w:eastAsia="Times New Roman" w:cs="Arial"/>
          <w:szCs w:val="24"/>
          <w:lang w:val="es-ES" w:eastAsia="es-MX"/>
        </w:rPr>
      </w:pPr>
      <w:r>
        <w:rPr>
          <w:rFonts w:eastAsia="Times New Roman" w:cs="Arial"/>
          <w:szCs w:val="24"/>
          <w:lang w:val="es-ES" w:eastAsia="es-MX"/>
        </w:rPr>
        <w:t xml:space="preserve">La luz interviene en la biosíntesis de pigmentos que actúan como antioxidantes, como en el caso de los carotenos cuya biosíntesis es inducida por luz azul en N. crassa, donde este pigmento proporciona resistencia a estrés oxidativo, la acumulación de éste pigmento, así como la producción de conidios se ha encontrado relacionada a niveles bajos de cAMP, lo que explica porque las cepas con deleción gna-1 tienen un mayor crecimiento vegetativo que las de señal Gα activa, es de aclarar que el desarrollo del micelio aéreo es mayor cuando los niveles de cAMP son altos, por lo que las mutaciones constitutivamente activas gna1R178c y gna1Q204L aumenta cAMP respecto a la cepa silvestre. </w:t>
      </w:r>
    </w:p>
    <w:p w14:paraId="5E9FEB10" w14:textId="77777777" w:rsidR="000975FA" w:rsidRDefault="000975FA" w:rsidP="000975FA">
      <w:pPr>
        <w:spacing w:after="0" w:line="360" w:lineRule="auto"/>
        <w:rPr>
          <w:rFonts w:eastAsia="Times New Roman" w:cs="Arial"/>
          <w:szCs w:val="24"/>
          <w:lang w:val="es-ES" w:eastAsia="es-MX"/>
        </w:rPr>
      </w:pPr>
      <w:r>
        <w:rPr>
          <w:rFonts w:eastAsia="Times New Roman" w:cs="Arial"/>
          <w:szCs w:val="24"/>
          <w:lang w:val="es-ES" w:eastAsia="es-MX"/>
        </w:rPr>
        <w:t>Frente a agentes oxidativos fuertes como el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las ausencia de actividad Gα proporcionó mayor resistencia a cepas Δgna-1 de N crassa y se correspondió con una mayor sensibilidad en cepas gna-1Q204L y gna-1R178L, por lo que se propone que Gα puede regular la ruta de respuesta contra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6189A">
        <w:rPr>
          <w:rFonts w:eastAsia="Times New Roman" w:cs="Arial"/>
          <w:noProof/>
          <w:szCs w:val="24"/>
          <w:lang w:val="es-ES" w:eastAsia="es-MX"/>
        </w:rPr>
        <w:t>[40]</w:t>
      </w:r>
      <w:r>
        <w:rPr>
          <w:rFonts w:eastAsia="Times New Roman" w:cs="Arial"/>
          <w:szCs w:val="24"/>
          <w:lang w:val="es-ES" w:eastAsia="es-MX"/>
        </w:rPr>
        <w:fldChar w:fldCharType="end"/>
      </w:r>
      <w:r>
        <w:rPr>
          <w:rFonts w:eastAsia="Times New Roman" w:cs="Arial"/>
          <w:szCs w:val="24"/>
          <w:lang w:val="es-ES" w:eastAsia="es-MX"/>
        </w:rPr>
        <w:t xml:space="preserve">.  En N crassa se han encontrado enzimas que degradan las especies ROS como </w:t>
      </w:r>
      <w:r>
        <w:rPr>
          <w:rFonts w:cs="Arial"/>
          <w:szCs w:val="24"/>
          <w:lang w:val="es-MX"/>
        </w:rPr>
        <w:t>SOD-CuZn codificada por el gen dos-1, enzima que al estar ausente, aumenta la sensibilidad a paraquat.</w:t>
      </w:r>
    </w:p>
    <w:p w14:paraId="55D6156F" w14:textId="4EEA2042" w:rsidR="00096D42" w:rsidRDefault="00096D42" w:rsidP="002323D7">
      <w:pPr>
        <w:spacing w:after="0" w:line="240" w:lineRule="auto"/>
        <w:rPr>
          <w:rFonts w:eastAsia="Times New Roman" w:cs="Arial"/>
          <w:szCs w:val="24"/>
          <w:lang w:val="es-MX" w:eastAsia="es-MX"/>
        </w:rPr>
      </w:pPr>
      <w:r w:rsidRPr="001133CE">
        <w:rPr>
          <w:rFonts w:eastAsia="Times New Roman" w:cs="Arial"/>
          <w:noProof/>
          <w:szCs w:val="24"/>
          <w:lang w:val="es-MX" w:eastAsia="es-MX"/>
        </w:rPr>
        <w:drawing>
          <wp:inline distT="0" distB="0" distL="0" distR="0" wp14:anchorId="17183BEF" wp14:editId="4767C192">
            <wp:extent cx="5612130" cy="7458075"/>
            <wp:effectExtent l="0" t="0" r="7620" b="952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7458075"/>
                    </a:xfrm>
                    <a:prstGeom prst="rect">
                      <a:avLst/>
                    </a:prstGeom>
                    <a:noFill/>
                    <a:ln>
                      <a:noFill/>
                    </a:ln>
                  </pic:spPr>
                </pic:pic>
              </a:graphicData>
            </a:graphic>
          </wp:inline>
        </w:drawing>
      </w:r>
      <w:r w:rsidRPr="00096D42">
        <w:rPr>
          <w:rFonts w:cs="Arial"/>
          <w:sz w:val="18"/>
          <w:szCs w:val="24"/>
          <w:lang w:val="es-MX"/>
        </w:rPr>
        <w:t xml:space="preserve">Figura </w:t>
      </w:r>
      <w:r w:rsidRPr="00096D42">
        <w:rPr>
          <w:rFonts w:cs="Arial"/>
          <w:sz w:val="18"/>
          <w:szCs w:val="24"/>
        </w:rPr>
        <w:fldChar w:fldCharType="begin"/>
      </w:r>
      <w:r w:rsidRPr="00096D42">
        <w:rPr>
          <w:rFonts w:cs="Arial"/>
          <w:sz w:val="18"/>
          <w:szCs w:val="24"/>
          <w:lang w:val="es-MX"/>
        </w:rPr>
        <w:instrText xml:space="preserve"> SEQ Figura \* ARABIC </w:instrText>
      </w:r>
      <w:r w:rsidRPr="00096D42">
        <w:rPr>
          <w:rFonts w:cs="Arial"/>
          <w:sz w:val="18"/>
          <w:szCs w:val="24"/>
        </w:rPr>
        <w:fldChar w:fldCharType="separate"/>
      </w:r>
      <w:r w:rsidRPr="00096D42">
        <w:rPr>
          <w:rFonts w:cs="Arial"/>
          <w:noProof/>
          <w:sz w:val="18"/>
          <w:szCs w:val="24"/>
          <w:lang w:val="es-MX"/>
        </w:rPr>
        <w:t>2</w:t>
      </w:r>
      <w:r w:rsidRPr="00096D42">
        <w:rPr>
          <w:rFonts w:cs="Arial"/>
          <w:sz w:val="18"/>
          <w:szCs w:val="24"/>
        </w:rPr>
        <w:fldChar w:fldCharType="end"/>
      </w:r>
      <w:r w:rsidRPr="00096D42">
        <w:rPr>
          <w:rFonts w:cs="Arial"/>
          <w:sz w:val="18"/>
          <w:szCs w:val="24"/>
          <w:lang w:val="es-MX"/>
        </w:rPr>
        <w:t xml:space="preserve">.  Proteínas ortólogas de varios hongos filamentosos identificadas a partir de proteínas asociadas a </w:t>
      </w:r>
      <w:r w:rsidRPr="00096D42">
        <w:rPr>
          <w:rFonts w:cs="Arial"/>
          <w:b/>
          <w:sz w:val="18"/>
          <w:szCs w:val="24"/>
          <w:lang w:val="es-MX"/>
        </w:rPr>
        <w:t>estrés oxidativo</w:t>
      </w:r>
      <w:r w:rsidRPr="00096D42">
        <w:rPr>
          <w:rFonts w:cs="Arial"/>
          <w:sz w:val="18"/>
          <w:szCs w:val="24"/>
          <w:lang w:val="es-MX"/>
        </w:rPr>
        <w:t xml:space="preserve"> (response to oxidative stress: GO:0006979) en </w:t>
      </w:r>
      <w:r w:rsidRPr="00096D42">
        <w:rPr>
          <w:rFonts w:cs="Arial"/>
          <w:i/>
          <w:sz w:val="18"/>
          <w:szCs w:val="24"/>
          <w:lang w:val="es-MX"/>
        </w:rPr>
        <w:t>Saccharomyces cerevisiae</w:t>
      </w:r>
      <w:r w:rsidRPr="00096D42">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oxidativo en </w:t>
      </w:r>
      <w:r w:rsidRPr="00096D42">
        <w:rPr>
          <w:rFonts w:cs="Arial"/>
          <w:i/>
          <w:sz w:val="18"/>
          <w:szCs w:val="24"/>
          <w:lang w:val="es-MX"/>
        </w:rPr>
        <w:t>S. cerevisiae.</w:t>
      </w:r>
      <w:r>
        <w:rPr>
          <w:rFonts w:cs="Arial"/>
          <w:i/>
          <w:sz w:val="18"/>
          <w:szCs w:val="24"/>
          <w:lang w:val="es-MX"/>
        </w:rPr>
        <w:br w:type="page"/>
      </w:r>
    </w:p>
    <w:p w14:paraId="0FFE8E4C" w14:textId="6FD39460" w:rsidR="001426F1" w:rsidRDefault="0086189A" w:rsidP="002323D7">
      <w:pPr>
        <w:spacing w:after="0" w:line="360" w:lineRule="auto"/>
        <w:rPr>
          <w:rFonts w:cs="Arial"/>
          <w:szCs w:val="24"/>
          <w:lang w:val="es-MX"/>
        </w:rPr>
      </w:pPr>
      <w:r>
        <w:rPr>
          <w:rFonts w:eastAsia="Times New Roman" w:cs="Arial"/>
          <w:szCs w:val="24"/>
          <w:lang w:val="es-ES" w:eastAsia="es-MX"/>
        </w:rPr>
        <w:t xml:space="preserve">La participación de Gα en la respuesta a agentes superoxido, podría estar relacionada no al mecanismo de acción de la superoxido dismutasa, más si con la </w:t>
      </w:r>
      <w:r w:rsidR="006B75DC">
        <w:rPr>
          <w:rFonts w:eastAsia="Times New Roman" w:cs="Arial"/>
          <w:szCs w:val="24"/>
          <w:lang w:val="es-ES" w:eastAsia="es-MX"/>
        </w:rPr>
        <w:t>con</w:t>
      </w:r>
      <w:r>
        <w:rPr>
          <w:rFonts w:eastAsia="Times New Roman" w:cs="Arial"/>
          <w:szCs w:val="24"/>
          <w:lang w:val="es-ES" w:eastAsia="es-MX"/>
        </w:rPr>
        <w:t xml:space="preserve">formación </w:t>
      </w:r>
      <w:r w:rsidR="006B75DC">
        <w:rPr>
          <w:rFonts w:eastAsia="Times New Roman" w:cs="Arial"/>
          <w:szCs w:val="24"/>
          <w:lang w:val="es-ES" w:eastAsia="es-MX"/>
        </w:rPr>
        <w:t xml:space="preserve">estructural </w:t>
      </w:r>
      <w:r>
        <w:rPr>
          <w:rFonts w:eastAsia="Times New Roman" w:cs="Arial"/>
          <w:szCs w:val="24"/>
          <w:lang w:val="es-ES" w:eastAsia="es-MX"/>
        </w:rPr>
        <w:t xml:space="preserve">de esta enzima como fue descrito para </w:t>
      </w:r>
      <w:r w:rsidR="006B75DC">
        <w:rPr>
          <w:rFonts w:cs="Arial"/>
          <w:i/>
          <w:szCs w:val="24"/>
          <w:lang w:val="es-MX"/>
        </w:rPr>
        <w:t>Sporothrix schenckii,</w:t>
      </w:r>
      <w:r w:rsidR="006B75DC">
        <w:rPr>
          <w:rFonts w:cs="Arial"/>
          <w:szCs w:val="24"/>
          <w:lang w:val="es-MX"/>
        </w:rPr>
        <w:t xml:space="preserve"> a través de análisis de </w:t>
      </w:r>
      <w:r w:rsidRPr="001133CE">
        <w:rPr>
          <w:rFonts w:cs="Arial"/>
          <w:szCs w:val="24"/>
          <w:lang w:val="es-MX"/>
        </w:rPr>
        <w:t xml:space="preserve">interacciones proteína-proteína, </w:t>
      </w:r>
      <w:r w:rsidR="00043A31">
        <w:rPr>
          <w:rFonts w:cs="Arial"/>
          <w:szCs w:val="24"/>
          <w:lang w:val="es-MX"/>
        </w:rPr>
        <w:t xml:space="preserve">la </w:t>
      </w:r>
      <w:r w:rsidRPr="001133CE">
        <w:rPr>
          <w:rFonts w:cs="Arial"/>
          <w:szCs w:val="24"/>
          <w:lang w:val="es-MX"/>
        </w:rPr>
        <w:t>proteína Gα interactúa con la super-óxido dismutasa (SOD), no solo a nivel del citosol sino</w:t>
      </w:r>
      <w:r w:rsidR="00043A31">
        <w:rPr>
          <w:rFonts w:cs="Arial"/>
          <w:szCs w:val="24"/>
          <w:lang w:val="es-MX"/>
        </w:rPr>
        <w:t xml:space="preserve"> a nivel</w:t>
      </w:r>
      <w:r w:rsidRPr="001133CE">
        <w:rPr>
          <w:rFonts w:cs="Arial"/>
          <w:szCs w:val="24"/>
          <w:lang w:val="es-MX"/>
        </w:rPr>
        <w:t xml:space="preserve">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externa,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r w:rsidR="001426F1">
        <w:rPr>
          <w:rFonts w:cs="Arial"/>
          <w:szCs w:val="24"/>
          <w:lang w:val="es-MX"/>
        </w:rPr>
        <w:t>.</w:t>
      </w:r>
    </w:p>
    <w:p w14:paraId="22F022CF" w14:textId="77777777" w:rsidR="000975FA" w:rsidRPr="006B75DC" w:rsidRDefault="000975FA" w:rsidP="002323D7">
      <w:pPr>
        <w:spacing w:after="0" w:line="360" w:lineRule="auto"/>
        <w:rPr>
          <w:rFonts w:cs="Arial"/>
          <w:i/>
          <w:szCs w:val="24"/>
          <w:lang w:val="es-MX"/>
        </w:rPr>
      </w:pPr>
    </w:p>
    <w:p w14:paraId="7FA1AC7C" w14:textId="616C66A1" w:rsidR="005564BF" w:rsidRDefault="005564BF" w:rsidP="002323D7">
      <w:pPr>
        <w:spacing w:after="0" w:line="360" w:lineRule="auto"/>
        <w:rPr>
          <w:rFonts w:eastAsia="Times New Roman" w:cs="Arial"/>
          <w:szCs w:val="24"/>
          <w:lang w:val="es-ES" w:eastAsia="es-MX"/>
        </w:rPr>
      </w:pPr>
      <w:r>
        <w:rPr>
          <w:rFonts w:eastAsia="Times New Roman" w:cs="Arial"/>
          <w:szCs w:val="24"/>
          <w:lang w:val="es-ES" w:eastAsia="es-MX"/>
        </w:rPr>
        <w:t>STRE dependientes de cAMP aparecen durante el estrés pero se desconoce como regulan los genes de respuesta a estrés, no explican la expresión de todos los genes de respuesta a estrés</w:t>
      </w:r>
    </w:p>
    <w:p w14:paraId="61DA7234" w14:textId="77777777" w:rsidR="005564BF" w:rsidRDefault="005564BF" w:rsidP="002323D7">
      <w:pPr>
        <w:spacing w:after="0" w:line="360" w:lineRule="auto"/>
        <w:rPr>
          <w:rFonts w:eastAsia="Times New Roman" w:cs="Arial"/>
          <w:szCs w:val="24"/>
          <w:lang w:val="es-ES" w:eastAsia="es-MX"/>
        </w:rPr>
      </w:pPr>
    </w:p>
    <w:p w14:paraId="4150EBAE" w14:textId="75AA6907" w:rsidR="0050653E" w:rsidRDefault="00F94969" w:rsidP="002323D7">
      <w:pPr>
        <w:spacing w:after="0" w:line="360" w:lineRule="auto"/>
        <w:rPr>
          <w:rFonts w:eastAsia="Times New Roman" w:cs="Arial"/>
          <w:szCs w:val="24"/>
          <w:lang w:val="es-MX" w:eastAsia="es-MX"/>
        </w:rPr>
      </w:pPr>
      <w:r w:rsidRPr="001133CE">
        <w:rPr>
          <w:rFonts w:eastAsia="Times New Roman" w:cs="Arial"/>
          <w:szCs w:val="24"/>
          <w:lang w:val="es-MX" w:eastAsia="es-MX"/>
        </w:rPr>
        <w:t>.</w:t>
      </w:r>
      <w:r w:rsidR="004B1511" w:rsidRPr="001133CE">
        <w:rPr>
          <w:rFonts w:eastAsia="Times New Roman" w:cs="Arial"/>
          <w:szCs w:val="24"/>
          <w:lang w:val="es-MX" w:eastAsia="es-MX"/>
        </w:rPr>
        <w:t xml:space="preserve"> </w:t>
      </w:r>
    </w:p>
    <w:p w14:paraId="6FAAE984" w14:textId="77777777" w:rsidR="006B75DC" w:rsidRPr="001133CE" w:rsidRDefault="006B75DC" w:rsidP="002323D7">
      <w:pPr>
        <w:spacing w:after="0" w:line="360" w:lineRule="auto"/>
        <w:rPr>
          <w:rFonts w:eastAsia="Times New Roman" w:cs="Arial"/>
          <w:szCs w:val="24"/>
          <w:lang w:val="es-MX" w:eastAsia="es-MX"/>
        </w:rPr>
      </w:pPr>
    </w:p>
    <w:p w14:paraId="5A4CD467" w14:textId="00FE3DA2" w:rsidR="005A2F2D"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7DA809F0" w:rsidR="003607B4" w:rsidRPr="001133CE" w:rsidRDefault="003607B4" w:rsidP="002323D7">
      <w:pPr>
        <w:spacing w:after="0" w:line="360" w:lineRule="auto"/>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9B5FEF">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[47]","plainTextFormattedCitation":"[47]","previouslyFormattedCitation":"[48]"},"properties":{"noteIndex":0},"schema":"https://github.com/citation-style-language/schema/raw/master/csl-citation.json"}</w:instrText>
      </w:r>
      <w:r w:rsidRPr="001133CE">
        <w:rPr>
          <w:rFonts w:cs="Arial"/>
          <w:szCs w:val="24"/>
          <w:lang w:val="es-MX"/>
        </w:rPr>
        <w:fldChar w:fldCharType="separate"/>
      </w:r>
      <w:r w:rsidR="009B5FEF" w:rsidRPr="009B5FEF">
        <w:rPr>
          <w:rFonts w:cs="Arial"/>
          <w:noProof/>
          <w:szCs w:val="24"/>
          <w:lang w:val="es-MX"/>
        </w:rPr>
        <w:t>[47]</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1426F1">
        <w:rPr>
          <w:rFonts w:cs="Arial"/>
          <w:szCs w:val="24"/>
          <w:lang w:val="es-MX"/>
        </w:rPr>
        <w:t>la a</w:t>
      </w:r>
      <w:r w:rsidR="001426F1">
        <w:rPr>
          <w:rFonts w:eastAsia="Times New Roman" w:cs="Arial"/>
          <w:szCs w:val="24"/>
          <w:lang w:val="es-ES" w:eastAsia="es-MX"/>
        </w:rPr>
        <w:t xml:space="preserve">usencia de Gα,  Δgna1 son más sensibles a medios hiperosmóticos, cuando la señal de Gα es constitutivamente activa no son más osmotolerantes que la cepa silvestre, por lo que </w:t>
      </w:r>
      <w:r w:rsidR="00620D3E" w:rsidRPr="001133CE">
        <w:rPr>
          <w:rFonts w:cs="Arial"/>
          <w:szCs w:val="24"/>
          <w:lang w:val="es-MX"/>
        </w:rPr>
        <w:t>GNA-1 regula positivamente la respuesta a estrés hyperosmótico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931A6C" w:rsidRPr="001133CE">
        <w:rPr>
          <w:rFonts w:cs="Arial"/>
          <w:szCs w:val="24"/>
          <w:lang w:val="es-MX"/>
        </w:rPr>
        <w:t xml:space="preserve"> condiciones hypero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9B5FEF">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[48]","plainTextFormattedCitation":"[48]","previouslyFormattedCitation":"[49]"},"properties":{"noteIndex":0},"schema":"https://github.com/citation-style-language/schema/raw/master/csl-citation.json"}</w:instrText>
      </w:r>
      <w:r w:rsidR="00B634A1" w:rsidRPr="001133CE">
        <w:rPr>
          <w:rFonts w:cs="Arial"/>
          <w:szCs w:val="24"/>
          <w:lang w:val="es-ES"/>
        </w:rPr>
        <w:fldChar w:fldCharType="separate"/>
      </w:r>
      <w:r w:rsidR="009B5FEF" w:rsidRPr="009B5FEF">
        <w:rPr>
          <w:rFonts w:cs="Arial"/>
          <w:noProof/>
          <w:szCs w:val="24"/>
          <w:lang w:val="es-ES"/>
        </w:rPr>
        <w:t>[48]</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9B5FEF">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[49]","plainTextFormattedCitation":"[49]","previouslyFormattedCitation":"[50]"},"properties":{"noteIndex":0},"schema":"https://github.com/citation-style-language/schema/raw/master/csl-citation.json"}</w:instrText>
      </w:r>
      <w:r w:rsidR="005D4591" w:rsidRPr="001133CE">
        <w:rPr>
          <w:rFonts w:cs="Arial"/>
          <w:szCs w:val="24"/>
          <w:lang w:val="es-MX"/>
        </w:rPr>
        <w:fldChar w:fldCharType="separate"/>
      </w:r>
      <w:r w:rsidR="009B5FEF" w:rsidRPr="009B5FEF">
        <w:rPr>
          <w:rFonts w:cs="Arial"/>
          <w:noProof/>
          <w:szCs w:val="24"/>
          <w:lang w:val="es-MX"/>
        </w:rPr>
        <w:t>[49]</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7343008D" w14:textId="68D07EB9" w:rsidR="002323D7" w:rsidRDefault="000A2E22" w:rsidP="002323D7">
      <w:pPr>
        <w:spacing w:after="0" w:line="360" w:lineRule="auto"/>
        <w:rPr>
          <w:rFonts w:cs="Arial"/>
          <w:szCs w:val="24"/>
          <w:highlight w:val="yellow"/>
          <w:lang w:val="es-MX"/>
        </w:rPr>
      </w:pPr>
      <w:r w:rsidRPr="001133CE">
        <w:rPr>
          <w:rFonts w:cs="Arial"/>
          <w:szCs w:val="24"/>
          <w:highlight w:val="yellow"/>
          <w:lang w:val="es-MX"/>
        </w:rPr>
        <w:t>Se ha observado que, bajo estrés osmótico, los hongos filamentosos expresan las chaperonas x y z.</w:t>
      </w:r>
    </w:p>
    <w:p w14:paraId="219A651D" w14:textId="77777777" w:rsidR="002323D7" w:rsidRDefault="002323D7">
      <w:pPr>
        <w:rPr>
          <w:rFonts w:cs="Arial"/>
          <w:szCs w:val="24"/>
          <w:highlight w:val="yellow"/>
          <w:lang w:val="es-MX"/>
        </w:rPr>
      </w:pPr>
      <w:r>
        <w:rPr>
          <w:rFonts w:cs="Arial"/>
          <w:szCs w:val="24"/>
          <w:highlight w:val="yellow"/>
          <w:lang w:val="es-MX"/>
        </w:rPr>
        <w:br w:type="page"/>
      </w:r>
    </w:p>
    <w:p w14:paraId="5B0F23A2" w14:textId="13FC5736" w:rsidR="009636BC" w:rsidRPr="001133CE" w:rsidRDefault="00EE1E62" w:rsidP="002323D7">
      <w:pPr>
        <w:spacing w:after="0" w:line="240" w:lineRule="auto"/>
        <w:rPr>
          <w:rFonts w:cs="Arial"/>
          <w:szCs w:val="24"/>
          <w:lang w:val="es-MX"/>
        </w:rPr>
      </w:pPr>
      <w:r w:rsidRPr="001133CE">
        <w:rPr>
          <w:rFonts w:cs="Arial"/>
          <w:noProof/>
          <w:szCs w:val="24"/>
          <w:lang w:val="es-MX" w:eastAsia="es-MX"/>
        </w:rPr>
        <w:drawing>
          <wp:inline distT="0" distB="0" distL="0" distR="0" wp14:anchorId="643D948C" wp14:editId="427B53A8">
            <wp:extent cx="5612130" cy="7467600"/>
            <wp:effectExtent l="0" t="0" r="7620" b="0"/>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467600"/>
                    </a:xfrm>
                    <a:prstGeom prst="rect">
                      <a:avLst/>
                    </a:prstGeom>
                    <a:noFill/>
                    <a:ln>
                      <a:noFill/>
                    </a:ln>
                  </pic:spPr>
                </pic:pic>
              </a:graphicData>
            </a:graphic>
          </wp:inline>
        </w:drawing>
      </w:r>
      <w:r w:rsidR="00C41E1D" w:rsidRPr="00096D42">
        <w:rPr>
          <w:rFonts w:cs="Arial"/>
          <w:sz w:val="18"/>
          <w:szCs w:val="24"/>
          <w:lang w:val="es-MX"/>
        </w:rPr>
        <w:t xml:space="preserve">Figura </w:t>
      </w:r>
      <w:r w:rsidR="00C41E1D" w:rsidRPr="00096D42">
        <w:rPr>
          <w:rFonts w:cs="Arial"/>
          <w:sz w:val="18"/>
          <w:szCs w:val="24"/>
        </w:rPr>
        <w:fldChar w:fldCharType="begin"/>
      </w:r>
      <w:r w:rsidR="00C41E1D" w:rsidRPr="00096D42">
        <w:rPr>
          <w:rFonts w:cs="Arial"/>
          <w:sz w:val="18"/>
          <w:szCs w:val="24"/>
          <w:lang w:val="es-MX"/>
        </w:rPr>
        <w:instrText xml:space="preserve"> SEQ Figura \* ARABIC </w:instrText>
      </w:r>
      <w:r w:rsidR="00C41E1D" w:rsidRPr="00096D42">
        <w:rPr>
          <w:rFonts w:cs="Arial"/>
          <w:sz w:val="18"/>
          <w:szCs w:val="24"/>
        </w:rPr>
        <w:fldChar w:fldCharType="separate"/>
      </w:r>
      <w:r w:rsidR="00B700A9" w:rsidRPr="00096D42">
        <w:rPr>
          <w:rFonts w:cs="Arial"/>
          <w:noProof/>
          <w:sz w:val="18"/>
          <w:szCs w:val="24"/>
          <w:lang w:val="es-MX"/>
        </w:rPr>
        <w:t>3</w:t>
      </w:r>
      <w:r w:rsidR="00C41E1D" w:rsidRPr="00096D42">
        <w:rPr>
          <w:rFonts w:cs="Arial"/>
          <w:sz w:val="18"/>
          <w:szCs w:val="24"/>
        </w:rPr>
        <w:fldChar w:fldCharType="end"/>
      </w:r>
      <w:r w:rsidR="00C41E1D" w:rsidRPr="00096D42">
        <w:rPr>
          <w:rFonts w:cs="Arial"/>
          <w:sz w:val="18"/>
          <w:szCs w:val="24"/>
          <w:lang w:val="es-MX"/>
        </w:rPr>
        <w:t xml:space="preserve">.  Proteínas ortólogas de varios hongos filamentosos identificadas a partir de proteínas asociadas a la respuesta a estrés osmótico (response to osmotic stress: GO:0006970) en </w:t>
      </w:r>
      <w:r w:rsidR="00C41E1D" w:rsidRPr="00096D42">
        <w:rPr>
          <w:rFonts w:cs="Arial"/>
          <w:i/>
          <w:sz w:val="18"/>
          <w:szCs w:val="24"/>
          <w:lang w:val="es-MX"/>
        </w:rPr>
        <w:t>Saccharomyces cerevisiae</w:t>
      </w:r>
      <w:r w:rsidR="00C41E1D" w:rsidRPr="00096D42">
        <w:rPr>
          <w:rFonts w:cs="Arial"/>
          <w:sz w:val="18"/>
          <w:szCs w:val="24"/>
          <w:lang w:val="es-MX"/>
        </w:rPr>
        <w:t>. Superior)</w:t>
      </w:r>
      <w:r w:rsidR="00B700A9" w:rsidRPr="00096D42">
        <w:rPr>
          <w:rFonts w:cs="Arial"/>
          <w:sz w:val="18"/>
          <w:szCs w:val="24"/>
          <w:lang w:val="es-MX"/>
        </w:rPr>
        <w:t xml:space="preserve">.  </w:t>
      </w:r>
      <w:r w:rsidR="001133CE" w:rsidRPr="00096D42">
        <w:rPr>
          <w:rFonts w:cs="Arial"/>
          <w:sz w:val="18"/>
          <w:szCs w:val="24"/>
          <w:lang w:val="es-MX"/>
        </w:rPr>
        <w:t xml:space="preserve">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 </w:t>
      </w:r>
      <w:r w:rsidR="001133CE" w:rsidRPr="00096D42">
        <w:rPr>
          <w:rFonts w:cs="Arial"/>
          <w:i/>
          <w:sz w:val="18"/>
          <w:szCs w:val="24"/>
          <w:lang w:val="es-MX"/>
        </w:rPr>
        <w:t>S. cerevisiae</w:t>
      </w:r>
      <w:r w:rsidR="00C41E1D" w:rsidRPr="00096D42">
        <w:rPr>
          <w:rFonts w:cs="Arial"/>
          <w:sz w:val="18"/>
          <w:szCs w:val="24"/>
          <w:lang w:val="es-MX"/>
        </w:rPr>
        <w:t>.</w:t>
      </w:r>
      <w:r w:rsidR="002E0FA9" w:rsidRPr="001133CE">
        <w:rPr>
          <w:rFonts w:cs="Arial"/>
          <w:szCs w:val="24"/>
          <w:lang w:val="es-MX"/>
        </w:rPr>
        <w:br w:type="page"/>
      </w:r>
    </w:p>
    <w:p w14:paraId="6ED6EEB1" w14:textId="77777777" w:rsidR="00B54899"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468FEB45" w14:textId="08207FFC" w:rsidR="00F6028E" w:rsidRPr="001133CE" w:rsidRDefault="003607B4" w:rsidP="002323D7">
      <w:pPr>
        <w:spacing w:after="0" w:line="360" w:lineRule="auto"/>
        <w:rPr>
          <w:rFonts w:cs="Arial"/>
          <w:szCs w:val="24"/>
          <w:lang w:val="es-MX"/>
        </w:rPr>
      </w:pPr>
      <w:r w:rsidRPr="001133CE">
        <w:rPr>
          <w:rFonts w:cs="Arial"/>
          <w:szCs w:val="24"/>
          <w:lang w:val="es-MX"/>
        </w:rPr>
        <w:t xml:space="preserve">Aunque todos los organismos no son </w:t>
      </w:r>
      <w:r w:rsidR="00995C0B">
        <w:rPr>
          <w:rFonts w:cs="Arial"/>
          <w:szCs w:val="24"/>
          <w:lang w:val="es-MX"/>
        </w:rPr>
        <w:t>foto</w:t>
      </w:r>
      <w:r w:rsidR="00995C0B" w:rsidRPr="001133CE">
        <w:rPr>
          <w:rFonts w:cs="Arial"/>
          <w:szCs w:val="24"/>
          <w:lang w:val="es-MX"/>
        </w:rPr>
        <w:t>sintet</w:t>
      </w:r>
      <w:r w:rsidR="00995C0B">
        <w:rPr>
          <w:rFonts w:cs="Arial"/>
          <w:szCs w:val="24"/>
          <w:lang w:val="es-MX"/>
        </w:rPr>
        <w:t>izadores</w:t>
      </w:r>
      <w:r w:rsidRPr="001133CE">
        <w:rPr>
          <w:rFonts w:cs="Arial"/>
          <w:szCs w:val="24"/>
          <w:lang w:val="es-MX"/>
        </w:rPr>
        <w:t>,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1133CE">
        <w:rPr>
          <w:rFonts w:cs="Arial"/>
          <w:szCs w:val="24"/>
          <w:lang w:val="es-MX"/>
        </w:rPr>
        <w:t xml:space="preserve"> </w:t>
      </w:r>
      <w:r w:rsidR="00911184" w:rsidRPr="001133CE">
        <w:rPr>
          <w:rFonts w:cs="Arial"/>
          <w:szCs w:val="24"/>
          <w:lang w:val="es-MX"/>
        </w:rPr>
        <w:t>Los estudios entre</w:t>
      </w:r>
      <w:r w:rsidR="000B1C88" w:rsidRPr="001133CE">
        <w:rPr>
          <w:rFonts w:cs="Arial"/>
          <w:szCs w:val="24"/>
          <w:lang w:val="es-MX"/>
        </w:rPr>
        <w:t xml:space="preserve"> la relación </w:t>
      </w:r>
      <w:r w:rsidR="00911184" w:rsidRPr="001133CE">
        <w:rPr>
          <w:rFonts w:cs="Arial"/>
          <w:szCs w:val="24"/>
          <w:lang w:val="es-MX"/>
        </w:rPr>
        <w:t>d</w:t>
      </w:r>
      <w:r w:rsidR="000B1C88" w:rsidRPr="001133CE">
        <w:rPr>
          <w:rFonts w:cs="Arial"/>
          <w:szCs w:val="24"/>
          <w:lang w:val="es-MX"/>
        </w:rPr>
        <w:t>e las proteínas G y la respuesta al estrés lumínico</w:t>
      </w:r>
      <w:r w:rsidR="00911184" w:rsidRPr="001133CE">
        <w:rPr>
          <w:rFonts w:cs="Arial"/>
          <w:szCs w:val="24"/>
          <w:lang w:val="es-MX"/>
        </w:rPr>
        <w:t xml:space="preserve"> en hongos filamentosos</w:t>
      </w:r>
      <w:r w:rsidR="000B1C88" w:rsidRPr="001133CE">
        <w:rPr>
          <w:rFonts w:cs="Arial"/>
          <w:szCs w:val="24"/>
          <w:lang w:val="es-MX"/>
        </w:rPr>
        <w:t xml:space="preserve"> </w:t>
      </w:r>
      <w:r w:rsidR="00911184" w:rsidRPr="001133CE">
        <w:rPr>
          <w:rFonts w:cs="Arial"/>
          <w:szCs w:val="24"/>
          <w:lang w:val="es-MX"/>
        </w:rPr>
        <w:t>son escasos.</w:t>
      </w:r>
      <w:r w:rsidR="00F6028E" w:rsidRPr="001133CE">
        <w:rPr>
          <w:rFonts w:cs="Arial"/>
          <w:szCs w:val="24"/>
          <w:lang w:val="es-MX"/>
        </w:rPr>
        <w:t xml:space="preserve"> 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00F6028E"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00F6028E"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00F6028E"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2323D7">
      <w:pPr>
        <w:spacing w:after="0" w:line="360" w:lineRule="auto"/>
        <w:rPr>
          <w:rFonts w:cs="Arial"/>
          <w:szCs w:val="24"/>
          <w:lang w:val="es-MX"/>
        </w:rPr>
      </w:pPr>
    </w:p>
    <w:p w14:paraId="604BC82D" w14:textId="567C6DD2" w:rsidR="00F6028E" w:rsidRPr="001133CE" w:rsidRDefault="000A1A66" w:rsidP="002323D7">
      <w:pPr>
        <w:spacing w:after="0" w:line="360" w:lineRule="auto"/>
        <w:rPr>
          <w:rFonts w:cs="Arial"/>
          <w:szCs w:val="24"/>
          <w:lang w:val="es-MX"/>
        </w:rPr>
      </w:pPr>
      <w:r w:rsidRPr="001133CE">
        <w:rPr>
          <w:rFonts w:cs="Arial"/>
          <w:szCs w:val="24"/>
          <w:lang w:val="es-MX"/>
        </w:rPr>
        <w:t>El</w:t>
      </w:r>
      <w:r w:rsidR="00995C0B">
        <w:rPr>
          <w:rFonts w:cs="Arial"/>
          <w:szCs w:val="24"/>
          <w:lang w:val="es-MX"/>
        </w:rPr>
        <w:t xml:space="preserve"> </w:t>
      </w:r>
      <w:r w:rsidRPr="001133CE">
        <w:rPr>
          <w:rFonts w:cs="Arial"/>
          <w:szCs w:val="24"/>
          <w:lang w:val="es-MX"/>
        </w:rPr>
        <w:t>gen pks-1 codifican</w:t>
      </w:r>
      <w:r w:rsidR="00995C0B">
        <w:rPr>
          <w:rFonts w:cs="Arial"/>
          <w:szCs w:val="24"/>
          <w:lang w:val="es-MX"/>
        </w:rPr>
        <w:t>t</w:t>
      </w:r>
      <w:r w:rsidRPr="001133CE">
        <w:rPr>
          <w:rFonts w:cs="Arial"/>
          <w:szCs w:val="24"/>
          <w:lang w:val="es-MX"/>
        </w:rPr>
        <w:t>e de la poliquetido sintasa, es esencial en la biosíntesis de 1,8 di</w:t>
      </w:r>
      <w:r w:rsidR="00995C0B">
        <w:rPr>
          <w:rFonts w:cs="Arial"/>
          <w:szCs w:val="24"/>
          <w:lang w:val="es-MX"/>
        </w:rPr>
        <w:t>hidroxinaftaleno o melanina en Chateium</w:t>
      </w:r>
      <w:r w:rsidRPr="001133CE">
        <w:rPr>
          <w:rFonts w:cs="Arial"/>
          <w:szCs w:val="24"/>
          <w:lang w:val="es-MX"/>
        </w:rPr>
        <w:t xml:space="preserve"> globosum cuando el gna-1 de la proteína Gα del subgrupo 1 es interrumpido, disminuye la acción de pks-1 afectando la producción de melanina, asi como afecta el normal desarrollo de peritecios o inhibe totalmente su formación</w:t>
      </w:r>
      <w:r w:rsidR="00995C0B">
        <w:rPr>
          <w:rFonts w:cs="Arial"/>
          <w:szCs w:val="24"/>
          <w:lang w:val="es-MX"/>
        </w:rPr>
        <w:t>.</w:t>
      </w:r>
      <w:r w:rsidRPr="001133CE">
        <w:rPr>
          <w:rFonts w:cs="Arial"/>
          <w:szCs w:val="24"/>
          <w:lang w:val="es-MX"/>
        </w:rPr>
        <w:t xml:space="preserve">  </w:t>
      </w:r>
    </w:p>
    <w:p w14:paraId="564B4D5F" w14:textId="415988FC" w:rsidR="00F6028E" w:rsidRPr="001133CE" w:rsidRDefault="00F6028E" w:rsidP="002323D7">
      <w:pPr>
        <w:spacing w:after="0" w:line="360" w:lineRule="auto"/>
        <w:rPr>
          <w:rFonts w:cs="Arial"/>
          <w:szCs w:val="24"/>
          <w:lang w:val="es-MX"/>
        </w:rPr>
      </w:pPr>
    </w:p>
    <w:p w14:paraId="76210579" w14:textId="77777777" w:rsidR="00C41E1D" w:rsidRPr="001133CE" w:rsidRDefault="00C41E1D" w:rsidP="002323D7">
      <w:pPr>
        <w:spacing w:after="0" w:line="240" w:lineRule="auto"/>
        <w:rPr>
          <w:rFonts w:cs="Arial"/>
          <w:szCs w:val="24"/>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2323D7" w:rsidRDefault="00C41E1D" w:rsidP="002323D7">
      <w:pPr>
        <w:spacing w:after="0" w:line="240" w:lineRule="auto"/>
        <w:rPr>
          <w:rFonts w:cs="Arial"/>
          <w:sz w:val="18"/>
          <w:szCs w:val="24"/>
          <w:lang w:val="es-MX"/>
        </w:rPr>
      </w:pPr>
      <w:r w:rsidRPr="002323D7">
        <w:rPr>
          <w:rFonts w:cs="Arial"/>
          <w:sz w:val="18"/>
          <w:szCs w:val="24"/>
          <w:lang w:val="es-MX"/>
        </w:rPr>
        <w:t xml:space="preserve">Figura </w:t>
      </w:r>
      <w:r w:rsidRPr="002323D7">
        <w:rPr>
          <w:rFonts w:cs="Arial"/>
          <w:sz w:val="18"/>
          <w:szCs w:val="24"/>
        </w:rPr>
        <w:fldChar w:fldCharType="begin"/>
      </w:r>
      <w:r w:rsidRPr="002323D7">
        <w:rPr>
          <w:rFonts w:cs="Arial"/>
          <w:sz w:val="18"/>
          <w:szCs w:val="24"/>
          <w:lang w:val="es-MX"/>
        </w:rPr>
        <w:instrText xml:space="preserve"> SEQ Figura \* ARABIC </w:instrText>
      </w:r>
      <w:r w:rsidRPr="002323D7">
        <w:rPr>
          <w:rFonts w:cs="Arial"/>
          <w:sz w:val="18"/>
          <w:szCs w:val="24"/>
        </w:rPr>
        <w:fldChar w:fldCharType="separate"/>
      </w:r>
      <w:r w:rsidR="00B700A9" w:rsidRPr="002323D7">
        <w:rPr>
          <w:rFonts w:cs="Arial"/>
          <w:noProof/>
          <w:sz w:val="18"/>
          <w:szCs w:val="24"/>
          <w:lang w:val="es-MX"/>
        </w:rPr>
        <w:t>4</w:t>
      </w:r>
      <w:r w:rsidRPr="002323D7">
        <w:rPr>
          <w:rFonts w:cs="Arial"/>
          <w:sz w:val="18"/>
          <w:szCs w:val="24"/>
        </w:rPr>
        <w:fldChar w:fldCharType="end"/>
      </w:r>
      <w:r w:rsidR="001133CE" w:rsidRPr="002323D7">
        <w:rPr>
          <w:rFonts w:cs="Arial"/>
          <w:sz w:val="18"/>
          <w:szCs w:val="24"/>
          <w:lang w:val="es-MX"/>
        </w:rPr>
        <w:t xml:space="preserve">.  </w:t>
      </w:r>
      <w:r w:rsidRPr="002323D7">
        <w:rPr>
          <w:rFonts w:cs="Arial"/>
          <w:sz w:val="18"/>
          <w:szCs w:val="24"/>
          <w:lang w:val="es-MX"/>
        </w:rPr>
        <w:t xml:space="preserve">Proteínas ortólogas de varios hongos filamentosos identificadas a partir de proteínas asociadas a la respuesta a estrés </w:t>
      </w:r>
      <w:r w:rsidR="001133CE" w:rsidRPr="002323D7">
        <w:rPr>
          <w:rFonts w:cs="Arial"/>
          <w:sz w:val="18"/>
          <w:szCs w:val="24"/>
          <w:lang w:val="es-MX"/>
        </w:rPr>
        <w:t>lumínico</w:t>
      </w:r>
      <w:r w:rsidRPr="002323D7">
        <w:rPr>
          <w:rFonts w:cs="Arial"/>
          <w:sz w:val="18"/>
          <w:szCs w:val="24"/>
          <w:lang w:val="es-MX"/>
        </w:rPr>
        <w:t xml:space="preserve"> (response to </w:t>
      </w:r>
      <w:r w:rsidR="001133CE" w:rsidRPr="002323D7">
        <w:rPr>
          <w:rFonts w:cs="Arial"/>
          <w:sz w:val="18"/>
          <w:szCs w:val="24"/>
          <w:lang w:val="es-MX"/>
        </w:rPr>
        <w:t>light</w:t>
      </w:r>
      <w:r w:rsidRPr="002323D7">
        <w:rPr>
          <w:rFonts w:cs="Arial"/>
          <w:sz w:val="18"/>
          <w:szCs w:val="24"/>
          <w:lang w:val="es-MX"/>
        </w:rPr>
        <w:t xml:space="preserve"> stress: </w:t>
      </w:r>
      <w:r w:rsidR="007458E0" w:rsidRPr="002323D7">
        <w:rPr>
          <w:rFonts w:cs="Arial"/>
          <w:sz w:val="18"/>
          <w:szCs w:val="24"/>
          <w:lang w:val="es-MX"/>
        </w:rPr>
        <w:t>GO: 0009416</w:t>
      </w:r>
      <w:r w:rsidRPr="002323D7">
        <w:rPr>
          <w:rFonts w:cs="Arial"/>
          <w:sz w:val="18"/>
          <w:szCs w:val="24"/>
          <w:lang w:val="es-MX"/>
        </w:rPr>
        <w:t xml:space="preserve">) </w:t>
      </w:r>
      <w:r w:rsidR="007458E0" w:rsidRPr="002323D7">
        <w:rPr>
          <w:rFonts w:cs="Arial"/>
          <w:sz w:val="18"/>
          <w:szCs w:val="24"/>
          <w:lang w:val="es-MX"/>
        </w:rPr>
        <w:t xml:space="preserve">en </w:t>
      </w:r>
      <w:r w:rsidR="001133CE" w:rsidRPr="002323D7">
        <w:rPr>
          <w:rFonts w:cs="Arial"/>
          <w:i/>
          <w:sz w:val="18"/>
          <w:szCs w:val="24"/>
          <w:lang w:val="es-MX"/>
        </w:rPr>
        <w:t>Saccharomyces cerevisiae</w:t>
      </w:r>
      <w:r w:rsidR="001133CE" w:rsidRPr="002323D7">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por luz en </w:t>
      </w:r>
      <w:r w:rsidR="001133CE" w:rsidRPr="002323D7">
        <w:rPr>
          <w:rFonts w:cs="Arial"/>
          <w:i/>
          <w:sz w:val="18"/>
          <w:szCs w:val="24"/>
          <w:lang w:val="es-MX"/>
        </w:rPr>
        <w:t>S. cerevisiae</w:t>
      </w:r>
      <w:r w:rsidR="007458E0" w:rsidRPr="002323D7">
        <w:rPr>
          <w:rFonts w:cs="Arial"/>
          <w:sz w:val="18"/>
          <w:szCs w:val="24"/>
          <w:lang w:val="es-MX"/>
        </w:rPr>
        <w:t>.</w:t>
      </w:r>
    </w:p>
    <w:p w14:paraId="17317F5C" w14:textId="77777777" w:rsidR="007458E0" w:rsidRPr="001133CE" w:rsidRDefault="007458E0" w:rsidP="002323D7">
      <w:pPr>
        <w:spacing w:after="0" w:line="360" w:lineRule="auto"/>
        <w:rPr>
          <w:rFonts w:cs="Arial"/>
          <w:szCs w:val="24"/>
          <w:lang w:val="es-MX"/>
        </w:rPr>
      </w:pPr>
    </w:p>
    <w:p w14:paraId="3BD2203A" w14:textId="77777777" w:rsidR="00DA718D" w:rsidRPr="001133CE" w:rsidRDefault="00475D17" w:rsidP="002323D7">
      <w:pPr>
        <w:spacing w:after="0" w:line="360" w:lineRule="auto"/>
        <w:rPr>
          <w:rFonts w:cs="Arial"/>
          <w:szCs w:val="24"/>
          <w:lang w:val="es-MX"/>
        </w:rPr>
      </w:pPr>
      <w:r w:rsidRPr="001133CE">
        <w:rPr>
          <w:rFonts w:cs="Arial"/>
          <w:szCs w:val="24"/>
          <w:lang w:val="es-MX"/>
        </w:rPr>
        <w:t>La relación entre las proteínas G y la luz fue demostrado en Hypocrea jecorina. Con luz y oscuridad.</w:t>
      </w:r>
    </w:p>
    <w:p w14:paraId="072B16D5" w14:textId="19ED99AC" w:rsidR="00475D17" w:rsidRPr="001133CE" w:rsidRDefault="00475D17" w:rsidP="002323D7">
      <w:pPr>
        <w:spacing w:after="0" w:line="360" w:lineRule="auto"/>
        <w:rPr>
          <w:rFonts w:cs="Arial"/>
          <w:szCs w:val="24"/>
          <w:lang w:val="es-MX"/>
        </w:rPr>
      </w:pPr>
    </w:p>
    <w:p w14:paraId="1B17A0FA" w14:textId="77777777" w:rsidR="00475D17" w:rsidRPr="001133CE" w:rsidRDefault="00475D17" w:rsidP="002323D7">
      <w:pPr>
        <w:spacing w:after="0" w:line="360" w:lineRule="auto"/>
        <w:rPr>
          <w:rFonts w:cs="Arial"/>
          <w:szCs w:val="24"/>
          <w:lang w:val="es-MX"/>
        </w:rPr>
      </w:pPr>
    </w:p>
    <w:p w14:paraId="18E46A16" w14:textId="77777777" w:rsidR="00074372" w:rsidRPr="001133CE" w:rsidRDefault="00074372" w:rsidP="002323D7">
      <w:pPr>
        <w:spacing w:after="0" w:line="360" w:lineRule="auto"/>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2323D7">
      <w:pPr>
        <w:pStyle w:val="Ttulo1"/>
        <w:spacing w:before="0" w:line="360" w:lineRule="auto"/>
        <w:rPr>
          <w:rFonts w:cs="Arial"/>
          <w:szCs w:val="24"/>
          <w:lang w:val="es-MX"/>
        </w:rPr>
      </w:pPr>
      <w:r w:rsidRPr="001133CE">
        <w:rPr>
          <w:rFonts w:cs="Arial"/>
          <w:szCs w:val="24"/>
          <w:lang w:val="es-MX"/>
        </w:rPr>
        <w:t>PAPEL DE LAS PROTEÍNAS G EN EL ESTRÉS TÉRMICO EN HONGOS FILAMENTOSOS</w:t>
      </w:r>
    </w:p>
    <w:p w14:paraId="5AC3B2BE" w14:textId="159CE93A" w:rsidR="00B0543E" w:rsidRDefault="00E26ECC" w:rsidP="002323D7">
      <w:pPr>
        <w:spacing w:after="0" w:line="360" w:lineRule="auto"/>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9B5FEF">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[50]","plainTextFormattedCitation":"[50]","previouslyFormattedCitation":"[51]"},"properties":{"noteIndex":0},"schema":"https://github.com/citation-style-language/schema/raw/master/csl-citation.json"}</w:instrText>
      </w:r>
      <w:r w:rsidR="007D5144" w:rsidRPr="001133CE">
        <w:rPr>
          <w:rFonts w:cs="Arial"/>
          <w:szCs w:val="24"/>
          <w:lang w:val="es-MX"/>
        </w:rPr>
        <w:fldChar w:fldCharType="separate"/>
      </w:r>
      <w:r w:rsidR="009B5FEF" w:rsidRPr="009B5FEF">
        <w:rPr>
          <w:rFonts w:cs="Arial"/>
          <w:noProof/>
          <w:szCs w:val="24"/>
          <w:lang w:val="es-MX"/>
        </w:rPr>
        <w:t>[50]</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w:t>
      </w:r>
      <w:r w:rsidR="00B0543E">
        <w:rPr>
          <w:rFonts w:cs="Arial"/>
          <w:szCs w:val="24"/>
          <w:lang w:val="es-MX"/>
        </w:rPr>
        <w:t xml:space="preserve">En hongos una remperatura de 50°C) se considera letal, sin embargo, cuando existe un aumento paulatino de la temperatura y el hongo crece a una temperatura alta no letal (subletal de 40-47°C) expresa proteínas de choque térmico que aumenta su resistencia a temperaturas letales lo que se conoce como termo-tolerancia inducida, en ambos casos las proteínas G se relacionan con esta respuesta mediante los RGS que presentan domino DEP, a los cuales se unen los factores de transcipción tipo dedos de Zinc </w:t>
      </w:r>
      <w:r w:rsidR="00B0543E" w:rsidRPr="001133CE">
        <w:rPr>
          <w:rFonts w:cs="Arial"/>
          <w:szCs w:val="24"/>
          <w:lang w:val="es-MX"/>
        </w:rPr>
        <w:t>C2H2</w:t>
      </w:r>
      <w:r w:rsidR="00B0543E">
        <w:rPr>
          <w:rFonts w:cs="Arial"/>
          <w:szCs w:val="24"/>
          <w:lang w:val="es-MX"/>
        </w:rPr>
        <w:t>.</w:t>
      </w:r>
    </w:p>
    <w:p w14:paraId="4BFE8B3D" w14:textId="77FF9AAC" w:rsidR="00DB4865" w:rsidRDefault="00F96040" w:rsidP="002323D7">
      <w:pPr>
        <w:spacing w:after="0" w:line="360" w:lineRule="auto"/>
        <w:rPr>
          <w:rFonts w:cs="Arial"/>
          <w:szCs w:val="24"/>
          <w:lang w:val="es-MX"/>
        </w:rPr>
      </w:pPr>
      <w:r w:rsidRPr="001133CE">
        <w:rPr>
          <w:rFonts w:cs="Arial"/>
          <w:szCs w:val="24"/>
          <w:lang w:val="es-MX"/>
        </w:rPr>
        <w:t>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9B5FEF">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[51]","plainTextFormattedCitation":"[51]","previouslyFormattedCitation":"[52]"},"properties":{"noteIndex":0},"schema":"https://github.com/citation-style-language/schema/raw/master/csl-citation.json"}</w:instrText>
      </w:r>
      <w:r w:rsidR="000F254B" w:rsidRPr="001133CE">
        <w:rPr>
          <w:rFonts w:cs="Arial"/>
          <w:szCs w:val="24"/>
          <w:lang w:val="es-MX"/>
        </w:rPr>
        <w:fldChar w:fldCharType="separate"/>
      </w:r>
      <w:r w:rsidR="009B5FEF" w:rsidRPr="009B5FEF">
        <w:rPr>
          <w:rFonts w:cs="Arial"/>
          <w:noProof/>
          <w:szCs w:val="24"/>
          <w:lang w:val="es-MX"/>
        </w:rPr>
        <w:t>[51]</w:t>
      </w:r>
      <w:r w:rsidR="000F254B" w:rsidRPr="001133CE">
        <w:rPr>
          <w:rFonts w:cs="Arial"/>
          <w:szCs w:val="24"/>
          <w:lang w:val="es-MX"/>
        </w:rPr>
        <w:fldChar w:fldCharType="end"/>
      </w:r>
      <w:r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9B5FEF">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Fungi","type":"article-journal","volume":"2015"},"uris":["http://www.mendeley.com/documents/?uuid=fd2fbf7c-b624-31a5-8cbf-f8e02efd1533"]}],"mendeley":{"formattedCitation":"[52], [53]","plainTextFormattedCitation":"[52], [53]","previouslyFormattedCitation":"[53], [54]"},"properties":{"noteIndex":0},"schema":"https://github.com/citation-style-language/schema/raw/master/csl-citation.json"}</w:instrText>
      </w:r>
      <w:r w:rsidR="003648A3" w:rsidRPr="001133CE">
        <w:rPr>
          <w:rFonts w:cs="Arial"/>
          <w:szCs w:val="24"/>
          <w:lang w:val="es-MX"/>
        </w:rPr>
        <w:fldChar w:fldCharType="separate"/>
      </w:r>
      <w:r w:rsidR="009B5FEF" w:rsidRPr="009B5FEF">
        <w:rPr>
          <w:rFonts w:cs="Arial"/>
          <w:noProof/>
          <w:szCs w:val="24"/>
          <w:lang w:val="es-MX"/>
        </w:rPr>
        <w:t>[52], [53]</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9B5FEF">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[54]","plainTextFormattedCitation":"[54]","previouslyFormattedCitation":"[55]"},"properties":{"noteIndex":0},"schema":"https://github.com/citation-style-language/schema/raw/master/csl-citation.json"}</w:instrText>
      </w:r>
      <w:r w:rsidR="00401EC1" w:rsidRPr="001133CE">
        <w:rPr>
          <w:rFonts w:cs="Arial"/>
          <w:szCs w:val="24"/>
          <w:lang w:val="es-MX"/>
        </w:rPr>
        <w:fldChar w:fldCharType="separate"/>
      </w:r>
      <w:r w:rsidR="009B5FEF" w:rsidRPr="009B5FEF">
        <w:rPr>
          <w:rFonts w:cs="Arial"/>
          <w:noProof/>
          <w:szCs w:val="24"/>
          <w:lang w:val="es-MX"/>
        </w:rPr>
        <w:t>[54]</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9B5FEF">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[54]","plainTextFormattedCitation":"[54]","previouslyFormattedCitation":"[55]"},"properties":{"noteIndex":0},"schema":"https://github.com/citation-style-language/schema/raw/master/csl-citation.json"}</w:instrText>
      </w:r>
      <w:r w:rsidR="00401EC1" w:rsidRPr="001133CE">
        <w:rPr>
          <w:rFonts w:cs="Arial"/>
          <w:szCs w:val="24"/>
          <w:lang w:val="es-MX"/>
        </w:rPr>
        <w:fldChar w:fldCharType="separate"/>
      </w:r>
      <w:r w:rsidR="009B5FEF" w:rsidRPr="009B5FEF">
        <w:rPr>
          <w:rFonts w:cs="Arial"/>
          <w:noProof/>
          <w:szCs w:val="24"/>
          <w:lang w:val="es-MX"/>
        </w:rPr>
        <w:t>[54]</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9B5FEF">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[55]","plainTextFormattedCitation":"[55]","previouslyFormattedCitation":"[56]"},"properties":{"noteIndex":0},"schema":"https://github.com/citation-style-language/schema/raw/master/csl-citation.json"}</w:instrText>
      </w:r>
      <w:r w:rsidR="00E8098B" w:rsidRPr="001133CE">
        <w:rPr>
          <w:rFonts w:cs="Arial"/>
          <w:szCs w:val="24"/>
          <w:lang w:val="es-MX"/>
        </w:rPr>
        <w:fldChar w:fldCharType="separate"/>
      </w:r>
      <w:r w:rsidR="009B5FEF" w:rsidRPr="009B5FEF">
        <w:rPr>
          <w:rFonts w:cs="Arial"/>
          <w:noProof/>
          <w:szCs w:val="24"/>
          <w:lang w:val="es-MX"/>
        </w:rPr>
        <w:t>[55]</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9B5FEF">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[56]","plainTextFormattedCitation":"[56]","previouslyFormattedCitation":"[57]"},"properties":{"noteIndex":0},"schema":"https://github.com/citation-style-language/schema/raw/master/csl-citation.json"}</w:instrText>
      </w:r>
      <w:r w:rsidR="004B3499" w:rsidRPr="001133CE">
        <w:rPr>
          <w:rFonts w:cs="Arial"/>
          <w:szCs w:val="24"/>
          <w:lang w:val="es-MX"/>
        </w:rPr>
        <w:fldChar w:fldCharType="separate"/>
      </w:r>
      <w:r w:rsidR="009B5FEF" w:rsidRPr="009B5FEF">
        <w:rPr>
          <w:rFonts w:cs="Arial"/>
          <w:noProof/>
          <w:szCs w:val="24"/>
          <w:lang w:val="es-MX"/>
        </w:rPr>
        <w:t>[56]</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9B5FEF">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[57]","plainTextFormattedCitation":"[57]","previouslyFormattedCitation":"[58]"},"properties":{"noteIndex":0},"schema":"https://github.com/citation-style-language/schema/raw/master/csl-citation.json"}</w:instrText>
      </w:r>
      <w:r w:rsidR="00E8098B" w:rsidRPr="001133CE">
        <w:rPr>
          <w:rFonts w:cs="Arial"/>
          <w:szCs w:val="24"/>
          <w:lang w:val="es-MX"/>
        </w:rPr>
        <w:fldChar w:fldCharType="separate"/>
      </w:r>
      <w:r w:rsidR="009B5FEF" w:rsidRPr="009B5FEF">
        <w:rPr>
          <w:rFonts w:cs="Arial"/>
          <w:noProof/>
          <w:szCs w:val="24"/>
          <w:lang w:val="es-MX"/>
        </w:rPr>
        <w:t>[57]</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9B5FEF">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[58]–[60]","plainTextFormattedCitation":"[58]–[60]","previouslyFormattedCitation":"[59]–[61]"},"properties":{"noteIndex":0},"schema":"https://github.com/citation-style-language/schema/raw/master/csl-citation.json"}</w:instrText>
      </w:r>
      <w:r w:rsidR="006209A6" w:rsidRPr="001133CE">
        <w:rPr>
          <w:rFonts w:cs="Arial"/>
          <w:szCs w:val="24"/>
          <w:lang w:val="es-MX"/>
        </w:rPr>
        <w:fldChar w:fldCharType="separate"/>
      </w:r>
      <w:r w:rsidR="009B5FEF" w:rsidRPr="009B5FEF">
        <w:rPr>
          <w:rFonts w:cs="Arial"/>
          <w:noProof/>
          <w:szCs w:val="24"/>
          <w:lang w:val="es-MX"/>
        </w:rPr>
        <w:t>[58]–[60]</w:t>
      </w:r>
      <w:r w:rsidR="006209A6" w:rsidRPr="001133CE">
        <w:rPr>
          <w:rFonts w:cs="Arial"/>
          <w:szCs w:val="24"/>
          <w:lang w:val="es-MX"/>
        </w:rPr>
        <w:fldChar w:fldCharType="end"/>
      </w:r>
      <w:r w:rsidR="00B0543E">
        <w:rPr>
          <w:rFonts w:cs="Arial"/>
          <w:szCs w:val="24"/>
          <w:lang w:val="es-MX"/>
        </w:rPr>
        <w:t xml:space="preserve"> q</w:t>
      </w:r>
      <w:r w:rsidR="005C41C8" w:rsidRPr="001133CE">
        <w:rPr>
          <w:rFonts w:cs="Arial"/>
          <w:szCs w:val="24"/>
          <w:lang w:val="es-MX"/>
        </w:rPr>
        <w:t xml:space="preserve">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F4E7575" w14:textId="0DBA5813" w:rsidR="00D26529" w:rsidRPr="001133CE" w:rsidRDefault="00D26529" w:rsidP="002323D7">
      <w:pPr>
        <w:spacing w:after="0" w:line="360" w:lineRule="auto"/>
        <w:rPr>
          <w:rFonts w:cs="Arial"/>
          <w:szCs w:val="24"/>
          <w:lang w:val="es-MX"/>
        </w:rPr>
      </w:pPr>
    </w:p>
    <w:p w14:paraId="27959555" w14:textId="66FE8CDE" w:rsidR="00205909" w:rsidRPr="001133CE" w:rsidRDefault="00604894" w:rsidP="002323D7">
      <w:pPr>
        <w:spacing w:after="0" w:line="360" w:lineRule="auto"/>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B0543E">
        <w:rPr>
          <w:rFonts w:cs="Arial"/>
          <w:szCs w:val="24"/>
          <w:lang w:val="es-MX"/>
        </w:rPr>
        <w:t xml:space="preserve"> (Figura 5</w:t>
      </w:r>
      <w:r w:rsidR="001A69F8" w:rsidRPr="001133CE">
        <w:rPr>
          <w:rFonts w:cs="Arial"/>
          <w:szCs w:val="24"/>
          <w:lang w:val="es-MX"/>
        </w:rPr>
        <w:t>)</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9B5FEF">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pathway","type":"report","volume":"17"},"uris":["http://www.mendeley.com/documents/?uuid=df094feb-b8ab-399c-afd3-1cb67dd943d3"]}],"mendeley":{"formattedCitation":"[61], [62]","plainTextFormattedCitation":"[61], [62]","previouslyFormattedCitation":"[62], [63]"},"properties":{"noteIndex":0},"schema":"https://github.com/citation-style-language/schema/raw/master/csl-citation.json"}</w:instrText>
      </w:r>
      <w:r w:rsidR="007C4766" w:rsidRPr="001133CE">
        <w:rPr>
          <w:rFonts w:cs="Arial"/>
          <w:szCs w:val="24"/>
          <w:lang w:val="es-MX"/>
        </w:rPr>
        <w:fldChar w:fldCharType="separate"/>
      </w:r>
      <w:r w:rsidR="009B5FEF" w:rsidRPr="009B5FEF">
        <w:rPr>
          <w:rFonts w:cs="Arial"/>
          <w:noProof/>
          <w:szCs w:val="24"/>
          <w:lang w:val="es-MX"/>
        </w:rPr>
        <w:t>[61], [62]</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9B5FEF">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[63]","plainTextFormattedCitation":"[63]","previouslyFormattedCitation":"[64]"},"properties":{"noteIndex":0},"schema":"https://github.com/citation-style-language/schema/raw/master/csl-citation.json"}</w:instrText>
      </w:r>
      <w:r w:rsidR="00B462FF" w:rsidRPr="001133CE">
        <w:rPr>
          <w:rFonts w:cs="Arial"/>
          <w:szCs w:val="24"/>
          <w:lang w:val="es-MX"/>
        </w:rPr>
        <w:fldChar w:fldCharType="separate"/>
      </w:r>
      <w:r w:rsidR="009B5FEF" w:rsidRPr="009B5FEF">
        <w:rPr>
          <w:rFonts w:cs="Arial"/>
          <w:noProof/>
          <w:szCs w:val="24"/>
          <w:lang w:val="es-MX"/>
        </w:rPr>
        <w:t>[63]</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w:t>
      </w:r>
      <w:r w:rsidR="00B0543E">
        <w:rPr>
          <w:rFonts w:cs="Arial"/>
          <w:szCs w:val="24"/>
          <w:lang w:val="es-MX"/>
        </w:rPr>
        <w:t>tio consenso para la toxina pertusis</w:t>
      </w:r>
      <w:r w:rsidR="00B97DE3" w:rsidRPr="001133CE">
        <w:rPr>
          <w:rFonts w:cs="Arial"/>
          <w:szCs w:val="24"/>
          <w:lang w:val="es-MX"/>
        </w:rPr>
        <w:t>,</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9B5FEF">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[64]","plainTextFormattedCitation":"[64]","previouslyFormattedCitation":"[65]"},"properties":{"noteIndex":0},"schema":"https://github.com/citation-style-language/schema/raw/master/csl-citation.json"}</w:instrText>
      </w:r>
      <w:r w:rsidR="00DB1184" w:rsidRPr="001133CE">
        <w:rPr>
          <w:rFonts w:cs="Arial"/>
          <w:szCs w:val="24"/>
          <w:lang w:val="es-MX"/>
        </w:rPr>
        <w:fldChar w:fldCharType="separate"/>
      </w:r>
      <w:r w:rsidR="009B5FEF" w:rsidRPr="009B5FEF">
        <w:rPr>
          <w:rFonts w:cs="Arial"/>
          <w:noProof/>
          <w:szCs w:val="24"/>
          <w:lang w:val="es-MX"/>
        </w:rPr>
        <w:t>[64]</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9B5FEF">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[62]","plainTextFormattedCitation":"[62]","previouslyFormattedCitation":"[63]"},"properties":{"noteIndex":0},"schema":"https://github.com/citation-style-language/schema/raw/master/csl-citation.json"}</w:instrText>
      </w:r>
      <w:r w:rsidR="00D36E0B" w:rsidRPr="001133CE">
        <w:rPr>
          <w:rFonts w:cs="Arial"/>
          <w:szCs w:val="24"/>
          <w:lang w:val="es-MX"/>
        </w:rPr>
        <w:fldChar w:fldCharType="separate"/>
      </w:r>
      <w:r w:rsidR="009B5FEF" w:rsidRPr="009B5FEF">
        <w:rPr>
          <w:rFonts w:cs="Arial"/>
          <w:noProof/>
          <w:szCs w:val="24"/>
          <w:lang w:val="es-MX"/>
        </w:rPr>
        <w:t>[62]</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4A7D39">
        <w:rPr>
          <w:rFonts w:cs="Arial"/>
          <w:i/>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xml:space="preserve">, </w:t>
      </w:r>
      <w:r w:rsidR="00686192" w:rsidRPr="004A7D39">
        <w:rPr>
          <w:rFonts w:cs="Arial"/>
          <w:i/>
          <w:szCs w:val="24"/>
          <w:lang w:val="es-MX"/>
        </w:rPr>
        <w:t>P. roqueforti</w:t>
      </w:r>
      <w:r w:rsidR="00565978" w:rsidRPr="001133CE">
        <w:rPr>
          <w:rFonts w:cs="Arial"/>
          <w:szCs w:val="24"/>
          <w:lang w:val="es-MX"/>
        </w:rPr>
        <w:t xml:space="preserve"> </w:t>
      </w:r>
      <w:r w:rsidR="00686192" w:rsidRPr="001133CE">
        <w:rPr>
          <w:rFonts w:cs="Arial"/>
          <w:szCs w:val="24"/>
          <w:lang w:val="es-MX"/>
        </w:rPr>
        <w:fldChar w:fldCharType="begin" w:fldLock="1"/>
      </w:r>
      <w:r w:rsidR="009B5FEF">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[65]","plainTextFormattedCitation":"[65]","previouslyFormattedCitation":"[66]"},"properties":{"noteIndex":0},"schema":"https://github.com/citation-style-language/schema/raw/master/csl-citation.json"}</w:instrText>
      </w:r>
      <w:r w:rsidR="00686192" w:rsidRPr="001133CE">
        <w:rPr>
          <w:rFonts w:cs="Arial"/>
          <w:szCs w:val="24"/>
          <w:lang w:val="es-MX"/>
        </w:rPr>
        <w:fldChar w:fldCharType="separate"/>
      </w:r>
      <w:r w:rsidR="009B5FEF" w:rsidRPr="009B5FEF">
        <w:rPr>
          <w:rFonts w:cs="Arial"/>
          <w:noProof/>
          <w:szCs w:val="24"/>
          <w:lang w:val="es-MX"/>
        </w:rPr>
        <w:t>[65]</w:t>
      </w:r>
      <w:r w:rsidR="00686192" w:rsidRPr="001133CE">
        <w:rPr>
          <w:rFonts w:cs="Arial"/>
          <w:szCs w:val="24"/>
          <w:lang w:val="es-MX"/>
        </w:rPr>
        <w:fldChar w:fldCharType="end"/>
      </w:r>
      <w:r w:rsidR="00393CA3" w:rsidRPr="001133CE">
        <w:rPr>
          <w:rFonts w:cs="Arial"/>
          <w:szCs w:val="24"/>
          <w:lang w:val="es-MX"/>
        </w:rPr>
        <w:t xml:space="preserve">, </w:t>
      </w:r>
      <w:r w:rsidR="00393CA3" w:rsidRPr="004A7D39">
        <w:rPr>
          <w:rFonts w:cs="Arial"/>
          <w:i/>
          <w:szCs w:val="24"/>
          <w:lang w:val="es-MX"/>
        </w:rPr>
        <w:t>P. chrysogenum</w:t>
      </w:r>
      <w:r w:rsidR="00393CA3" w:rsidRPr="001133CE">
        <w:rPr>
          <w:rFonts w:cs="Arial"/>
          <w:szCs w:val="24"/>
          <w:lang w:val="es-MX"/>
        </w:rPr>
        <w:t xml:space="preserve">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xml:space="preserve">, </w:t>
      </w:r>
      <w:r w:rsidR="00D85026" w:rsidRPr="004A7D39">
        <w:rPr>
          <w:rFonts w:cs="Arial"/>
          <w:i/>
          <w:szCs w:val="24"/>
          <w:lang w:val="es-MX"/>
        </w:rPr>
        <w:t>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1133CE">
        <w:rPr>
          <w:rFonts w:cs="Arial"/>
          <w:noProof/>
          <w:szCs w:val="24"/>
        </w:rPr>
        <w:t>[22], [29], [40]</w:t>
      </w:r>
      <w:r w:rsidR="0030023B" w:rsidRPr="001133CE">
        <w:rPr>
          <w:rFonts w:cs="Arial"/>
          <w:szCs w:val="24"/>
          <w:lang w:val="es-MX"/>
        </w:rPr>
        <w:fldChar w:fldCharType="end"/>
      </w:r>
      <w:r w:rsidR="00D85026" w:rsidRPr="001133CE">
        <w:rPr>
          <w:rFonts w:cs="Arial"/>
          <w:szCs w:val="24"/>
        </w:rPr>
        <w:t xml:space="preserve">, </w:t>
      </w:r>
      <w:r w:rsidR="00393CA3" w:rsidRPr="004A7D39">
        <w:rPr>
          <w:rFonts w:cs="Arial"/>
          <w:i/>
          <w:szCs w:val="24"/>
        </w:rPr>
        <w:t>F. oxysporum</w:t>
      </w:r>
      <w:r w:rsidR="00393CA3" w:rsidRPr="001133CE">
        <w:rPr>
          <w:rFonts w:cs="Arial"/>
          <w:szCs w:val="24"/>
        </w:rPr>
        <w:t xml:space="preserve"> </w:t>
      </w:r>
      <w:r w:rsidR="00393CA3" w:rsidRPr="001133CE">
        <w:rPr>
          <w:rFonts w:cs="Arial"/>
          <w:szCs w:val="24"/>
          <w:lang w:val="es-MX"/>
        </w:rPr>
        <w:fldChar w:fldCharType="begin" w:fldLock="1"/>
      </w:r>
      <w:r w:rsidR="009B5FEF">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[64]","plainTextFormattedCitation":"[64]","previouslyFormattedCitation":"[65]"},"properties":{"noteIndex":0},"schema":"https://github.com/citation-style-language/schema/raw/master/csl-citation.json"}</w:instrText>
      </w:r>
      <w:r w:rsidR="00393CA3" w:rsidRPr="001133CE">
        <w:rPr>
          <w:rFonts w:cs="Arial"/>
          <w:szCs w:val="24"/>
          <w:lang w:val="es-MX"/>
        </w:rPr>
        <w:fldChar w:fldCharType="separate"/>
      </w:r>
      <w:r w:rsidR="009B5FEF" w:rsidRPr="009B5FEF">
        <w:rPr>
          <w:rFonts w:cs="Arial"/>
          <w:noProof/>
          <w:szCs w:val="24"/>
        </w:rPr>
        <w:t>[64]</w:t>
      </w:r>
      <w:r w:rsidR="00393CA3" w:rsidRPr="001133CE">
        <w:rPr>
          <w:rFonts w:cs="Arial"/>
          <w:szCs w:val="24"/>
          <w:lang w:val="es-MX"/>
        </w:rPr>
        <w:fldChar w:fldCharType="end"/>
      </w:r>
      <w:r w:rsidR="004A7D39">
        <w:rPr>
          <w:rFonts w:cs="Arial"/>
          <w:szCs w:val="24"/>
        </w:rPr>
        <w:t xml:space="preserve"> </w:t>
      </w:r>
      <w:r w:rsidR="004A7D39" w:rsidRPr="004A7D39">
        <w:rPr>
          <w:rFonts w:cs="Arial"/>
          <w:color w:val="FF0000"/>
          <w:szCs w:val="24"/>
        </w:rPr>
        <w:t>entre otros</w:t>
      </w:r>
      <w:r w:rsidR="00E568C8" w:rsidRPr="001133CE">
        <w:rPr>
          <w:rFonts w:cs="Arial"/>
          <w:szCs w:val="24"/>
        </w:rPr>
        <w:t>.</w:t>
      </w:r>
      <w:r w:rsidR="00223DF4" w:rsidRPr="001133CE">
        <w:rPr>
          <w:rFonts w:cs="Arial"/>
          <w:szCs w:val="24"/>
        </w:rPr>
        <w:t xml:space="preserve"> </w:t>
      </w:r>
      <w:r w:rsidR="00223DF4" w:rsidRPr="009B5FEF">
        <w:rPr>
          <w:rFonts w:cs="Arial"/>
          <w:szCs w:val="24"/>
        </w:rPr>
        <w:t xml:space="preserve">Los estudios realizados en las </w:t>
      </w:r>
      <w:r w:rsidR="003A62DA" w:rsidRPr="009B5FEF">
        <w:rPr>
          <w:rFonts w:cs="Arial"/>
          <w:szCs w:val="24"/>
        </w:rPr>
        <w:t xml:space="preserve">tres especies del </w:t>
      </w:r>
      <w:r w:rsidR="003675BE" w:rsidRPr="009B5FEF">
        <w:rPr>
          <w:rFonts w:cs="Arial"/>
          <w:szCs w:val="24"/>
        </w:rPr>
        <w:t xml:space="preserve">género </w:t>
      </w:r>
      <w:r w:rsidR="003675BE" w:rsidRPr="009B5FEF">
        <w:rPr>
          <w:rFonts w:cs="Arial"/>
          <w:i/>
          <w:szCs w:val="24"/>
        </w:rPr>
        <w:t>Penicillium</w:t>
      </w:r>
      <w:r w:rsidR="004A7D39" w:rsidRPr="009B5FEF">
        <w:rPr>
          <w:rFonts w:cs="Arial"/>
          <w:szCs w:val="24"/>
        </w:rPr>
        <w:t xml:space="preserve"> </w:t>
      </w:r>
      <w:r w:rsidR="004A7D39" w:rsidRPr="009B5FEF">
        <w:rPr>
          <w:rFonts w:cs="Arial"/>
          <w:i/>
          <w:szCs w:val="24"/>
        </w:rPr>
        <w:t>sp</w:t>
      </w:r>
      <w:r w:rsidR="003675BE" w:rsidRPr="009B5FEF">
        <w:rPr>
          <w:rFonts w:cs="Arial"/>
          <w:szCs w:val="24"/>
        </w:rPr>
        <w:t>,</w:t>
      </w:r>
      <w:r w:rsidR="003A62DA" w:rsidRPr="009B5FEF">
        <w:rPr>
          <w:rFonts w:cs="Arial"/>
          <w:szCs w:val="24"/>
        </w:rPr>
        <w:t xml:space="preserve"> </w:t>
      </w:r>
      <w:r w:rsidR="00223DF4" w:rsidRPr="009B5FEF">
        <w:rPr>
          <w:rFonts w:cs="Arial"/>
          <w:szCs w:val="24"/>
        </w:rPr>
        <w:t xml:space="preserve">han revelado </w:t>
      </w:r>
      <w:r w:rsidR="00835AEF" w:rsidRPr="009B5FEF">
        <w:rPr>
          <w:rFonts w:cs="Arial"/>
          <w:szCs w:val="24"/>
        </w:rPr>
        <w:t>respuestas</w:t>
      </w:r>
      <w:r w:rsidR="003675BE" w:rsidRPr="009B5FEF">
        <w:rPr>
          <w:rFonts w:cs="Arial"/>
          <w:szCs w:val="24"/>
        </w:rPr>
        <w:t xml:space="preserve"> </w:t>
      </w:r>
      <w:r w:rsidR="00835AEF" w:rsidRPr="009B5FEF">
        <w:rPr>
          <w:rFonts w:cs="Arial"/>
          <w:szCs w:val="24"/>
        </w:rPr>
        <w:t xml:space="preserve">idénticas </w:t>
      </w:r>
      <w:r w:rsidR="003675BE" w:rsidRPr="009B5FEF">
        <w:rPr>
          <w:rFonts w:cs="Arial"/>
          <w:szCs w:val="24"/>
        </w:rPr>
        <w:t>a</w:t>
      </w:r>
      <w:r w:rsidR="008D77EA" w:rsidRPr="009B5FEF">
        <w:rPr>
          <w:rFonts w:cs="Arial"/>
          <w:szCs w:val="24"/>
        </w:rPr>
        <w:t>l</w:t>
      </w:r>
      <w:r w:rsidR="003675BE" w:rsidRPr="009B5FEF">
        <w:rPr>
          <w:rFonts w:cs="Arial"/>
          <w:szCs w:val="24"/>
        </w:rPr>
        <w:t xml:space="preserve"> estrés térmico. </w:t>
      </w:r>
      <w:r w:rsidR="00E568C8" w:rsidRPr="004A7D39">
        <w:rPr>
          <w:rFonts w:cs="Arial"/>
          <w:i/>
          <w:szCs w:val="24"/>
          <w:lang w:val="es-MX"/>
        </w:rPr>
        <w:t xml:space="preserve">En P. </w:t>
      </w:r>
      <w:r w:rsidR="002509C3" w:rsidRPr="004A7D39">
        <w:rPr>
          <w:rFonts w:cs="Arial"/>
          <w:i/>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w:t>
      </w:r>
      <w:r w:rsidR="00205909" w:rsidRPr="004A7D39">
        <w:rPr>
          <w:rFonts w:cs="Arial"/>
          <w:i/>
          <w:szCs w:val="24"/>
          <w:lang w:val="es-MX"/>
        </w:rPr>
        <w:t>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9B5FEF">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[66]","plainTextFormattedCitation":"[66]","previouslyFormattedCitation":"[67]"},"properties":{"noteIndex":0},"schema":"https://github.com/citation-style-language/schema/raw/master/csl-citation.json"}</w:instrText>
      </w:r>
      <w:r w:rsidR="008D77EA" w:rsidRPr="001133CE">
        <w:rPr>
          <w:rFonts w:cs="Arial"/>
          <w:szCs w:val="24"/>
          <w:lang w:val="es-MX"/>
        </w:rPr>
        <w:fldChar w:fldCharType="separate"/>
      </w:r>
      <w:r w:rsidR="009B5FEF" w:rsidRPr="009B5FEF">
        <w:rPr>
          <w:rFonts w:cs="Arial"/>
          <w:noProof/>
          <w:szCs w:val="24"/>
          <w:lang w:val="es-MX"/>
        </w:rPr>
        <w:t>[66]</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r w:rsidR="004A7D39">
        <w:rPr>
          <w:rFonts w:cs="Arial"/>
          <w:szCs w:val="24"/>
          <w:lang w:val="es-MX"/>
        </w:rPr>
        <w:t xml:space="preserve"> </w:t>
      </w:r>
      <w:r w:rsidR="004A7D39" w:rsidRPr="004A7D39">
        <w:rPr>
          <w:rFonts w:cs="Arial"/>
          <w:i/>
          <w:szCs w:val="24"/>
          <w:lang w:val="es-MX"/>
        </w:rPr>
        <w:t>N crassa</w:t>
      </w:r>
      <w:r w:rsidR="004A7D39">
        <w:rPr>
          <w:rFonts w:cs="Arial"/>
          <w:szCs w:val="24"/>
          <w:lang w:val="es-MX"/>
        </w:rPr>
        <w:t>, donde la activación constitutiva de las señal de GNA-1 influyó negativativamente sobre la sensibilidad a temperaturas mayores a 50°C</w:t>
      </w:r>
      <w:r w:rsidR="004A7D39">
        <w:rPr>
          <w:rFonts w:cs="Arial"/>
          <w:szCs w:val="24"/>
          <w:lang w:val="es-MX"/>
        </w:rPr>
        <w:fldChar w:fldCharType="begin" w:fldLock="1"/>
      </w:r>
      <w:r w:rsidR="0086189A">
        <w:rPr>
          <w:rFonts w:cs="Arial"/>
          <w:szCs w:val="24"/>
          <w:lang w:val="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A7D39">
        <w:rPr>
          <w:rFonts w:cs="Arial"/>
          <w:szCs w:val="24"/>
          <w:lang w:val="es-MX"/>
        </w:rPr>
        <w:fldChar w:fldCharType="separate"/>
      </w:r>
      <w:r w:rsidR="004A7D39" w:rsidRPr="004A7D39">
        <w:rPr>
          <w:rFonts w:cs="Arial"/>
          <w:noProof/>
          <w:szCs w:val="24"/>
          <w:lang w:val="es-MX"/>
        </w:rPr>
        <w:t>[40]</w:t>
      </w:r>
      <w:r w:rsidR="004A7D39">
        <w:rPr>
          <w:rFonts w:cs="Arial"/>
          <w:szCs w:val="24"/>
          <w:lang w:val="es-MX"/>
        </w:rPr>
        <w:fldChar w:fldCharType="end"/>
      </w:r>
      <w:r w:rsidR="004A7D39">
        <w:rPr>
          <w:rFonts w:cs="Arial"/>
          <w:szCs w:val="24"/>
          <w:lang w:val="es-MX"/>
        </w:rPr>
        <w:t>.</w:t>
      </w:r>
    </w:p>
    <w:p w14:paraId="49AB3003" w14:textId="594ABB8A" w:rsidR="00DA5853" w:rsidRPr="001133CE" w:rsidRDefault="00383E49" w:rsidP="002323D7">
      <w:pPr>
        <w:spacing w:after="0" w:line="360" w:lineRule="auto"/>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4A7D39">
        <w:rPr>
          <w:rFonts w:cs="Arial"/>
          <w:i/>
          <w:szCs w:val="24"/>
          <w:lang w:val="es-ES"/>
        </w:rPr>
        <w:t xml:space="preserve">P. </w:t>
      </w:r>
      <w:r w:rsidR="002509C3" w:rsidRPr="004A7D39">
        <w:rPr>
          <w:rFonts w:cs="Arial"/>
          <w:i/>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9B5FEF">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9B5FEF" w:rsidRPr="000975FA">
        <w:rPr>
          <w:rFonts w:cs="Arial"/>
          <w:szCs w:val="24"/>
        </w:rPr>
        <w:instrText>he proper activation signal. We speculate that</w:instrText>
      </w:r>
      <w:r w:rsidR="009B5FEF" w:rsidRPr="009B5FEF">
        <w:rPr>
          <w:rFonts w:cs="Arial"/>
          <w:szCs w:val="24"/>
        </w:rPr>
        <w:instrText xml:space="preserve">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[67]","plainTextFormattedCitation":"[67]","previouslyFormattedCitation":"[68]"},"properties":{"noteIndex":0},"schema":"https://github.com/citation-style-language/schema/raw/master/csl-citation.json"}</w:instrText>
      </w:r>
      <w:r w:rsidR="0036291D" w:rsidRPr="001133CE">
        <w:rPr>
          <w:rFonts w:cs="Arial"/>
          <w:szCs w:val="24"/>
          <w:lang w:val="es-ES"/>
        </w:rPr>
        <w:fldChar w:fldCharType="separate"/>
      </w:r>
      <w:r w:rsidR="009B5FEF" w:rsidRPr="009B5FEF">
        <w:rPr>
          <w:rFonts w:cs="Arial"/>
          <w:noProof/>
          <w:szCs w:val="24"/>
        </w:rPr>
        <w:t>[67]</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9B5FEF">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[68]","plainTextFormattedCitation":"[68]","previouslyFormattedCitation":"[69]"},"properties":{"noteIndex":0},"schema":"https://github.com/citation-style-language/schema/raw/master/csl-citation.json"}</w:instrText>
      </w:r>
      <w:r w:rsidR="0036291D" w:rsidRPr="001133CE">
        <w:rPr>
          <w:rFonts w:cs="Arial"/>
          <w:szCs w:val="24"/>
          <w:lang w:val="es-ES"/>
        </w:rPr>
        <w:fldChar w:fldCharType="separate"/>
      </w:r>
      <w:r w:rsidR="009B5FEF" w:rsidRPr="009B5FEF">
        <w:rPr>
          <w:rFonts w:cs="Arial"/>
          <w:noProof/>
          <w:szCs w:val="24"/>
        </w:rPr>
        <w:t>[68]</w:t>
      </w:r>
      <w:r w:rsidR="0036291D" w:rsidRPr="001133CE">
        <w:rPr>
          <w:rFonts w:cs="Arial"/>
          <w:szCs w:val="24"/>
          <w:lang w:val="es-ES"/>
        </w:rPr>
        <w:fldChar w:fldCharType="end"/>
      </w:r>
      <w:r w:rsidR="00F47170" w:rsidRPr="009B5FEF">
        <w:rPr>
          <w:rFonts w:cs="Arial"/>
          <w:szCs w:val="24"/>
        </w:rPr>
        <w:t xml:space="preserve">), respectivamente, de </w:t>
      </w:r>
      <w:r w:rsidR="00F47170" w:rsidRPr="009B5FEF">
        <w:rPr>
          <w:rFonts w:cs="Arial"/>
          <w:i/>
          <w:szCs w:val="24"/>
        </w:rPr>
        <w:t>S. cerevisiae</w:t>
      </w:r>
      <w:r w:rsidR="00E42FFF" w:rsidRPr="009B5FEF">
        <w:rPr>
          <w:rFonts w:cs="Arial"/>
          <w:szCs w:val="24"/>
        </w:rPr>
        <w:t>, mostrando más del 70% de identidad</w:t>
      </w:r>
      <w:r w:rsidR="0096048C" w:rsidRPr="009B5FEF">
        <w:rPr>
          <w:rFonts w:cs="Arial"/>
          <w:szCs w:val="24"/>
        </w:rPr>
        <w:t xml:space="preserve"> en sus secuencias</w:t>
      </w:r>
      <w:r w:rsidR="007D0ADA" w:rsidRPr="009B5FEF">
        <w:rPr>
          <w:rFonts w:cs="Arial"/>
          <w:szCs w:val="24"/>
        </w:rPr>
        <w:t xml:space="preserve"> (Figura </w:t>
      </w:r>
      <w:r w:rsidR="00B713D3" w:rsidRPr="009B5FEF">
        <w:rPr>
          <w:rFonts w:cs="Arial"/>
          <w:szCs w:val="24"/>
        </w:rPr>
        <w:t>4</w:t>
      </w:r>
      <w:r w:rsidR="007D0ADA" w:rsidRPr="009B5FEF">
        <w:rPr>
          <w:rFonts w:cs="Arial"/>
          <w:szCs w:val="24"/>
        </w:rPr>
        <w:t>)</w:t>
      </w:r>
      <w:r w:rsidR="00E82704" w:rsidRPr="009B5FEF">
        <w:rPr>
          <w:rFonts w:cs="Arial"/>
          <w:szCs w:val="24"/>
        </w:rPr>
        <w:t xml:space="preserve">. </w:t>
      </w:r>
      <w:r w:rsidR="00E82704" w:rsidRPr="001133CE">
        <w:rPr>
          <w:rFonts w:cs="Arial"/>
          <w:szCs w:val="24"/>
          <w:lang w:val="es-MX"/>
        </w:rPr>
        <w:t>Por otro lado, en se observa un efecto opuesto cuando la subunidad Gα Pga1 se encuentra constitutivamente activa, provocando sensibilidad</w:t>
      </w:r>
    </w:p>
    <w:p w14:paraId="572096E4" w14:textId="00BE2BA6" w:rsidR="00DA5853" w:rsidRPr="001133CE" w:rsidRDefault="009B5FEF" w:rsidP="002323D7">
      <w:pPr>
        <w:spacing w:after="0" w:line="360" w:lineRule="auto"/>
        <w:rPr>
          <w:rFonts w:cs="Arial"/>
          <w:szCs w:val="24"/>
          <w:lang w:val="es-MX"/>
        </w:rPr>
      </w:pPr>
      <w:r>
        <w:rPr>
          <w:rFonts w:cs="Arial"/>
          <w:szCs w:val="24"/>
          <w:lang w:val="es-ES"/>
        </w:rPr>
        <w:t>En N.</w:t>
      </w:r>
      <w:r w:rsidRPr="001133CE">
        <w:rPr>
          <w:rFonts w:cs="Arial"/>
          <w:szCs w:val="24"/>
          <w:lang w:val="es-ES"/>
        </w:rPr>
        <w:t xml:space="preserve"> crassa, otro fenómeno fisiológico asociado a las proteínas G es la respuesta a choque térmico </w:t>
      </w:r>
      <w:r w:rsidRPr="001133CE">
        <w:rPr>
          <w:rFonts w:cs="Arial"/>
          <w:szCs w:val="24"/>
          <w:lang w:val="es-ES"/>
        </w:rPr>
        <w:fldChar w:fldCharType="begin" w:fldLock="1"/>
      </w:r>
      <w:r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Pr>
          <w:rFonts w:cs="Arial"/>
          <w:szCs w:val="24"/>
          <w:lang w:val="es-ES"/>
        </w:rPr>
        <w:t xml:space="preserve"> La subunidad Gα,</w:t>
      </w:r>
      <w:r w:rsidRPr="001133CE">
        <w:rPr>
          <w:rFonts w:cs="Arial"/>
          <w:szCs w:val="24"/>
          <w:lang w:val="es-ES"/>
        </w:rPr>
        <w:t xml:space="preserve"> GNA-1 influye negativamente en la resistencia a estrés térmico, posiblemente por modulación de los niveles de cAMP </w:t>
      </w:r>
      <w:r w:rsidRPr="001133CE">
        <w:rPr>
          <w:rFonts w:cs="Arial"/>
          <w:szCs w:val="24"/>
          <w:lang w:val="es-ES"/>
        </w:rPr>
        <w:fldChar w:fldCharType="begin" w:fldLock="1"/>
      </w:r>
      <w:r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[22], [40]</w:t>
      </w:r>
      <w:r w:rsidRPr="001133CE">
        <w:rPr>
          <w:rFonts w:cs="Arial"/>
          <w:szCs w:val="24"/>
          <w:lang w:val="es-ES"/>
        </w:rPr>
        <w:fldChar w:fldCharType="end"/>
      </w:r>
      <w:r>
        <w:rPr>
          <w:rFonts w:cs="Arial"/>
          <w:szCs w:val="24"/>
          <w:lang w:val="es-ES"/>
        </w:rPr>
        <w:t xml:space="preserve">, los </w:t>
      </w:r>
      <w:r w:rsidR="004F3734">
        <w:rPr>
          <w:rFonts w:eastAsia="Times New Roman" w:cs="Arial"/>
          <w:szCs w:val="24"/>
          <w:lang w:val="es-ES" w:eastAsia="es-MX"/>
        </w:rPr>
        <w:t>niveles</w:t>
      </w:r>
      <w:r>
        <w:rPr>
          <w:rFonts w:eastAsia="Times New Roman" w:cs="Arial"/>
          <w:szCs w:val="24"/>
          <w:lang w:val="es-ES" w:eastAsia="es-MX"/>
        </w:rPr>
        <w:t xml:space="preserve"> bajos</w:t>
      </w:r>
      <w:r w:rsidR="004F3734">
        <w:rPr>
          <w:rFonts w:eastAsia="Times New Roman" w:cs="Arial"/>
          <w:szCs w:val="24"/>
          <w:lang w:val="es-ES" w:eastAsia="es-MX"/>
        </w:rPr>
        <w:t xml:space="preserve"> de cAMP y subsecuente baja actividad de la PKA da resistencia a temperaturas letales </w:t>
      </w:r>
      <w:r>
        <w:rPr>
          <w:rFonts w:eastAsia="Times New Roman" w:cs="Arial"/>
          <w:szCs w:val="24"/>
          <w:lang w:val="es-ES" w:eastAsia="es-MX"/>
        </w:rPr>
        <w:t xml:space="preserve">(&gt;50°C) </w:t>
      </w:r>
      <w:r w:rsidR="004F3734">
        <w:rPr>
          <w:rFonts w:eastAsia="Times New Roman" w:cs="Arial"/>
          <w:szCs w:val="24"/>
          <w:lang w:val="es-ES" w:eastAsia="es-MX"/>
        </w:rPr>
        <w:t>en N</w:t>
      </w:r>
      <w:r>
        <w:rPr>
          <w:rFonts w:eastAsia="Times New Roman" w:cs="Arial"/>
          <w:szCs w:val="24"/>
          <w:lang w:val="es-ES" w:eastAsia="es-MX"/>
        </w:rPr>
        <w:t>.</w:t>
      </w:r>
      <w:r w:rsidR="004F3734">
        <w:rPr>
          <w:rFonts w:eastAsia="Times New Roman" w:cs="Arial"/>
          <w:szCs w:val="24"/>
          <w:lang w:val="es-ES" w:eastAsia="es-MX"/>
        </w:rPr>
        <w:t xml:space="preserve"> </w:t>
      </w:r>
      <w:r w:rsidR="004F3734" w:rsidRPr="009B5FEF">
        <w:rPr>
          <w:rFonts w:eastAsia="Times New Roman" w:cs="Arial"/>
          <w:i/>
          <w:szCs w:val="24"/>
          <w:lang w:val="es-ES" w:eastAsia="es-MX"/>
        </w:rPr>
        <w:t>cras</w:t>
      </w:r>
      <w:r w:rsidRPr="009B5FEF">
        <w:rPr>
          <w:rFonts w:eastAsia="Times New Roman" w:cs="Arial"/>
          <w:i/>
          <w:szCs w:val="24"/>
          <w:lang w:val="es-ES" w:eastAsia="es-MX"/>
        </w:rPr>
        <w:t>sa y S</w:t>
      </w:r>
      <w:r w:rsidR="004F3734" w:rsidRPr="009B5FEF">
        <w:rPr>
          <w:rFonts w:eastAsia="Times New Roman" w:cs="Arial"/>
          <w:i/>
          <w:szCs w:val="24"/>
          <w:lang w:val="es-ES" w:eastAsia="es-MX"/>
        </w:rPr>
        <w:t xml:space="preserve"> cerevisiae</w:t>
      </w:r>
      <w:r w:rsidR="004F3734">
        <w:rPr>
          <w:rFonts w:eastAsia="Times New Roman" w:cs="Arial"/>
          <w:szCs w:val="24"/>
          <w:lang w:val="es-ES" w:eastAsia="es-MX"/>
        </w:rPr>
        <w:t xml:space="preserve"> </w:t>
      </w:r>
      <w:r>
        <w:rPr>
          <w:rFonts w:eastAsia="Times New Roman" w:cs="Arial"/>
          <w:szCs w:val="24"/>
          <w:lang w:val="es-ES" w:eastAsia="es-MX"/>
        </w:rPr>
        <w:t>mientras que la PKA activa constitutivamente los hace más sensible a altas temperaturas</w:t>
      </w:r>
      <w:r w:rsidRPr="001133CE">
        <w:rPr>
          <w:rFonts w:cs="Arial"/>
          <w:szCs w:val="24"/>
          <w:lang w:val="es-ES"/>
        </w:rPr>
        <w:t xml:space="preserve"> </w:t>
      </w:r>
      <w:r w:rsidR="004F3734">
        <w:rPr>
          <w:rFonts w:eastAsia="Times New Roman" w:cs="Arial"/>
          <w:szCs w:val="24"/>
          <w:lang w:val="es-ES" w:eastAsia="es-MX"/>
        </w:rPr>
        <w:fldChar w:fldCharType="begin" w:fldLock="1"/>
      </w:r>
      <w:r w:rsidR="004F3734">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F3734">
        <w:rPr>
          <w:rFonts w:eastAsia="Times New Roman" w:cs="Arial"/>
          <w:szCs w:val="24"/>
          <w:lang w:val="es-ES" w:eastAsia="es-MX"/>
        </w:rPr>
        <w:fldChar w:fldCharType="separate"/>
      </w:r>
      <w:r w:rsidR="004F3734" w:rsidRPr="008E7700">
        <w:rPr>
          <w:rFonts w:eastAsia="Times New Roman" w:cs="Arial"/>
          <w:noProof/>
          <w:szCs w:val="24"/>
          <w:lang w:val="es-ES" w:eastAsia="es-MX"/>
        </w:rPr>
        <w:t>[40]</w:t>
      </w:r>
      <w:r w:rsidR="004F3734">
        <w:rPr>
          <w:rFonts w:eastAsia="Times New Roman" w:cs="Arial"/>
          <w:szCs w:val="24"/>
          <w:lang w:val="es-ES" w:eastAsia="es-MX"/>
        </w:rPr>
        <w:fldChar w:fldCharType="end"/>
      </w:r>
      <w:r w:rsidR="004F3734">
        <w:rPr>
          <w:rFonts w:eastAsia="Times New Roman" w:cs="Arial"/>
          <w:szCs w:val="24"/>
          <w:lang w:val="es-ES" w:eastAsia="es-MX"/>
        </w:rPr>
        <w:t xml:space="preserve"> </w:t>
      </w:r>
      <w:r>
        <w:rPr>
          <w:rFonts w:eastAsia="Times New Roman" w:cs="Arial"/>
          <w:szCs w:val="24"/>
          <w:lang w:val="es-ES" w:eastAsia="es-MX"/>
        </w:rPr>
        <w:t xml:space="preserve"> Por </w:t>
      </w:r>
      <w:r w:rsidRPr="001133CE">
        <w:rPr>
          <w:rFonts w:cs="Arial"/>
          <w:szCs w:val="24"/>
          <w:lang w:val="es-ES"/>
        </w:rPr>
        <w:t xml:space="preserve">otro lado, se ha asociado la producción de carotenoides con la resistencia a estrés oxidativo, la cual es a menudo, relacionada </w:t>
      </w:r>
      <w:r>
        <w:rPr>
          <w:rFonts w:cs="Arial"/>
          <w:szCs w:val="24"/>
          <w:lang w:val="es-ES"/>
        </w:rPr>
        <w:t xml:space="preserve">con tolerancia a estrés térmico; </w:t>
      </w:r>
      <w:r w:rsidR="004F3734">
        <w:rPr>
          <w:rFonts w:eastAsia="Times New Roman" w:cs="Arial"/>
          <w:szCs w:val="24"/>
          <w:lang w:val="es-ES" w:eastAsia="es-MX"/>
        </w:rPr>
        <w:t xml:space="preserve"> ruta independiente de los elementos promotores de choque térmico HSEs y del factor de transcripción de choque térmico Hsf1p</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operties":{"noteIndex":0},"schema":"https://github.com/citation-style-language/schema/raw/master/csl-citation.json"}</w:instrText>
      </w:r>
      <w:r>
        <w:rPr>
          <w:rFonts w:eastAsia="Times New Roman" w:cs="Arial"/>
          <w:szCs w:val="24"/>
          <w:lang w:val="es-ES" w:eastAsia="es-MX"/>
        </w:rPr>
        <w:fldChar w:fldCharType="separate"/>
      </w:r>
      <w:r w:rsidRPr="009B5FEF">
        <w:rPr>
          <w:rFonts w:eastAsia="Times New Roman" w:cs="Arial"/>
          <w:noProof/>
          <w:szCs w:val="24"/>
          <w:lang w:val="es-ES" w:eastAsia="es-MX"/>
        </w:rPr>
        <w:t>[40]</w:t>
      </w:r>
      <w:r>
        <w:rPr>
          <w:rFonts w:eastAsia="Times New Roman" w:cs="Arial"/>
          <w:szCs w:val="24"/>
          <w:lang w:val="es-ES" w:eastAsia="es-MX"/>
        </w:rPr>
        <w:fldChar w:fldCharType="end"/>
      </w:r>
    </w:p>
    <w:p w14:paraId="0724C47C" w14:textId="77777777" w:rsidR="00DA5853" w:rsidRPr="001133CE" w:rsidRDefault="00DA5853" w:rsidP="002323D7">
      <w:pPr>
        <w:spacing w:after="0" w:line="360" w:lineRule="auto"/>
        <w:rPr>
          <w:rFonts w:cs="Arial"/>
          <w:szCs w:val="24"/>
          <w:lang w:val="es-MX"/>
        </w:rPr>
      </w:pPr>
    </w:p>
    <w:p w14:paraId="26E3968E" w14:textId="5725C59C" w:rsidR="000713E6" w:rsidRPr="001133CE" w:rsidRDefault="007458E0" w:rsidP="002323D7">
      <w:pPr>
        <w:keepNext/>
        <w:spacing w:after="0" w:line="240" w:lineRule="auto"/>
        <w:rPr>
          <w:rFonts w:cs="Arial"/>
          <w:szCs w:val="24"/>
          <w:lang w:val="es-MX"/>
        </w:rPr>
      </w:pPr>
      <w:r w:rsidRPr="001133CE">
        <w:rPr>
          <w:rFonts w:cs="Arial"/>
          <w:noProof/>
          <w:szCs w:val="24"/>
          <w:lang w:val="es-MX" w:eastAsia="es-MX"/>
        </w:rPr>
        <w:drawing>
          <wp:inline distT="0" distB="0" distL="0" distR="0" wp14:anchorId="31B29248" wp14:editId="79370837">
            <wp:extent cx="5612130" cy="7239000"/>
            <wp:effectExtent l="0" t="0" r="7620" b="0"/>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39000"/>
                    </a:xfrm>
                    <a:prstGeom prst="rect">
                      <a:avLst/>
                    </a:prstGeom>
                    <a:noFill/>
                    <a:ln>
                      <a:noFill/>
                    </a:ln>
                  </pic:spPr>
                </pic:pic>
              </a:graphicData>
            </a:graphic>
          </wp:inline>
        </w:drawing>
      </w:r>
      <w:r w:rsidR="00B700A9" w:rsidRPr="009B5FEF">
        <w:rPr>
          <w:rFonts w:cs="Arial"/>
          <w:sz w:val="18"/>
          <w:szCs w:val="24"/>
          <w:lang w:val="es-MX"/>
        </w:rPr>
        <w:t xml:space="preserve">Figura </w:t>
      </w:r>
      <w:r w:rsidR="00B700A9" w:rsidRPr="009B5FEF">
        <w:rPr>
          <w:rFonts w:cs="Arial"/>
          <w:sz w:val="18"/>
          <w:szCs w:val="24"/>
        </w:rPr>
        <w:fldChar w:fldCharType="begin"/>
      </w:r>
      <w:r w:rsidR="00B700A9" w:rsidRPr="009B5FEF">
        <w:rPr>
          <w:rFonts w:cs="Arial"/>
          <w:sz w:val="18"/>
          <w:szCs w:val="24"/>
          <w:lang w:val="es-MX"/>
        </w:rPr>
        <w:instrText xml:space="preserve"> SEQ Figura \* ARABIC </w:instrText>
      </w:r>
      <w:r w:rsidR="00B700A9" w:rsidRPr="009B5FEF">
        <w:rPr>
          <w:rFonts w:cs="Arial"/>
          <w:sz w:val="18"/>
          <w:szCs w:val="24"/>
        </w:rPr>
        <w:fldChar w:fldCharType="separate"/>
      </w:r>
      <w:r w:rsidR="00B700A9" w:rsidRPr="009B5FEF">
        <w:rPr>
          <w:rFonts w:cs="Arial"/>
          <w:noProof/>
          <w:sz w:val="18"/>
          <w:szCs w:val="24"/>
          <w:lang w:val="es-MX"/>
        </w:rPr>
        <w:t>5</w:t>
      </w:r>
      <w:r w:rsidR="00B700A9" w:rsidRPr="009B5FEF">
        <w:rPr>
          <w:rFonts w:cs="Arial"/>
          <w:sz w:val="18"/>
          <w:szCs w:val="24"/>
        </w:rPr>
        <w:fldChar w:fldCharType="end"/>
      </w:r>
      <w:r w:rsidR="001133CE" w:rsidRPr="009B5FEF">
        <w:rPr>
          <w:rFonts w:cs="Arial"/>
          <w:sz w:val="18"/>
          <w:szCs w:val="24"/>
          <w:lang w:val="es-MX"/>
        </w:rPr>
        <w:t xml:space="preserve">.  </w:t>
      </w:r>
      <w:r w:rsidR="00B700A9" w:rsidRPr="009B5FEF">
        <w:rPr>
          <w:rFonts w:cs="Arial"/>
          <w:i/>
          <w:sz w:val="18"/>
          <w:szCs w:val="24"/>
          <w:lang w:val="es-MX"/>
        </w:rPr>
        <w:t xml:space="preserve">Proteínas ortólogas de varios hongos filamentosos identificadas a partir de proteínas asociadas a estrés </w:t>
      </w:r>
      <w:r w:rsidR="001133CE" w:rsidRPr="009B5FEF">
        <w:rPr>
          <w:rFonts w:cs="Arial"/>
          <w:i/>
          <w:sz w:val="18"/>
          <w:szCs w:val="24"/>
          <w:lang w:val="es-MX"/>
        </w:rPr>
        <w:t>Té</w:t>
      </w:r>
      <w:r w:rsidR="00B700A9" w:rsidRPr="009B5FEF">
        <w:rPr>
          <w:rFonts w:cs="Arial"/>
          <w:i/>
          <w:sz w:val="18"/>
          <w:szCs w:val="24"/>
          <w:lang w:val="es-MX"/>
        </w:rPr>
        <w:t>rmico (response to thermal stress: GO: 0009266)</w:t>
      </w:r>
      <w:r w:rsidR="001133CE" w:rsidRPr="009B5FEF">
        <w:rPr>
          <w:rFonts w:cs="Arial"/>
          <w:i/>
          <w:sz w:val="18"/>
          <w:szCs w:val="24"/>
          <w:lang w:val="es-MX"/>
        </w:rPr>
        <w:t xml:space="preserve"> en</w:t>
      </w:r>
      <w:r w:rsidR="00B700A9" w:rsidRPr="009B5FEF">
        <w:rPr>
          <w:rFonts w:cs="Arial"/>
          <w:sz w:val="18"/>
          <w:szCs w:val="24"/>
          <w:lang w:val="es-MX"/>
        </w:rPr>
        <w:t xml:space="preserve"> </w:t>
      </w:r>
      <w:r w:rsidR="001133CE" w:rsidRPr="009B5FEF">
        <w:rPr>
          <w:rFonts w:cs="Arial"/>
          <w:i/>
          <w:sz w:val="18"/>
          <w:szCs w:val="24"/>
          <w:lang w:val="es-MX"/>
        </w:rPr>
        <w:t>Saccharomyces cerevisiae</w:t>
      </w:r>
      <w:r w:rsidR="001133CE" w:rsidRPr="009B5FEF">
        <w:rPr>
          <w:rFonts w:cs="Arial"/>
          <w:sz w:val="18"/>
          <w:szCs w:val="24"/>
          <w:lang w:val="es-MX"/>
        </w:rPr>
        <w:t xml:space="preserve">.  </w:t>
      </w:r>
      <w:r w:rsidR="001133CE" w:rsidRPr="009B5FEF">
        <w:rPr>
          <w:rFonts w:cs="Arial"/>
          <w:i/>
          <w:sz w:val="18"/>
          <w:szCs w:val="24"/>
          <w:lang w:val="es-MX"/>
        </w:rPr>
        <w:t xml:space="preserve">Las proteínas fueron extraídas de la base de datos Saccharomyces Genome Database (SGD) manualmente curada e incluye el identificador de UniProtKB.  </w:t>
      </w:r>
      <w:r w:rsidR="001133CE" w:rsidRPr="009B5FEF">
        <w:rPr>
          <w:rFonts w:cs="Arial"/>
          <w:i/>
          <w:sz w:val="18"/>
          <w:szCs w:val="18"/>
          <w:lang w:val="es-MX"/>
        </w:rPr>
        <w:t>En la parte superior se muestran la clasificación taxonómica y las</w:t>
      </w:r>
      <w:r w:rsidR="009B5FEF" w:rsidRPr="009B5FEF">
        <w:rPr>
          <w:rFonts w:cs="Arial"/>
          <w:i/>
          <w:sz w:val="18"/>
          <w:szCs w:val="18"/>
          <w:lang w:val="es-MX"/>
        </w:rPr>
        <w:t xml:space="preserve"> </w:t>
      </w:r>
      <w:r w:rsidR="001133CE" w:rsidRPr="009B5FEF">
        <w:rPr>
          <w:rFonts w:cs="Arial"/>
          <w:i/>
          <w:sz w:val="18"/>
          <w:szCs w:val="18"/>
          <w:lang w:val="es-MX"/>
        </w:rPr>
        <w:t>relaciones filogenéticas entre los 14 hongos filamentosos analizados en función de las proteínas que participan en la respuesta a estrés osmótico en</w:t>
      </w:r>
      <w:r w:rsidR="001133CE" w:rsidRPr="009B5FEF">
        <w:rPr>
          <w:rFonts w:cs="Arial"/>
          <w:sz w:val="18"/>
          <w:szCs w:val="18"/>
          <w:lang w:val="es-MX"/>
        </w:rPr>
        <w:t xml:space="preserve"> S. cerevisiae.</w:t>
      </w:r>
    </w:p>
    <w:p w14:paraId="7F82C039" w14:textId="6B5C5418" w:rsidR="00B700A9" w:rsidRDefault="00B700A9" w:rsidP="002323D7">
      <w:pPr>
        <w:spacing w:after="0" w:line="360" w:lineRule="auto"/>
        <w:rPr>
          <w:rFonts w:cs="Arial"/>
          <w:szCs w:val="24"/>
          <w:lang w:val="es-MX"/>
        </w:rPr>
      </w:pPr>
    </w:p>
    <w:p w14:paraId="0CAF1CCD" w14:textId="77777777" w:rsidR="009B5FEF" w:rsidRPr="001133CE" w:rsidRDefault="009B5FEF" w:rsidP="002323D7">
      <w:pPr>
        <w:spacing w:after="0" w:line="360" w:lineRule="auto"/>
        <w:rPr>
          <w:rFonts w:cs="Arial"/>
          <w:szCs w:val="24"/>
          <w:lang w:val="es-ES"/>
        </w:rPr>
      </w:pPr>
      <w:r w:rsidRPr="001133CE">
        <w:rPr>
          <w:rFonts w:eastAsia="Times New Roman" w:cs="Arial"/>
          <w:szCs w:val="24"/>
          <w:lang w:val="es-MX" w:eastAsia="es-MX"/>
        </w:rPr>
        <w:t xml:space="preserve">Un estudio de microarreglos relizado en </w:t>
      </w:r>
      <w:r w:rsidRPr="001133CE">
        <w:rPr>
          <w:rFonts w:eastAsia="Times New Roman" w:cs="Arial"/>
          <w:i/>
          <w:szCs w:val="24"/>
          <w:lang w:val="es-MX" w:eastAsia="es-MX"/>
        </w:rPr>
        <w:t>Cryphonectria parasítica</w:t>
      </w:r>
      <w:r w:rsidRPr="001133CE">
        <w:rPr>
          <w:rFonts w:eastAsia="Times New Roman" w:cs="Arial"/>
          <w:szCs w:val="24"/>
          <w:lang w:val="es-MX" w:eastAsia="es-MX"/>
        </w:rPr>
        <w:t xml:space="preserve"> demostró que las proteínas de choque térmico (HSP70) y glutation S-transferasa (GST) responden a estrés cuando éste es expuesto al hipovirus CHV1-EP713, y sugieren que esta respuesta es controlada por vías de señalización mediadas por proteínas G </w:t>
      </w:r>
      <w:r w:rsidRPr="001133CE">
        <w:rPr>
          <w:rFonts w:eastAsia="Times New Roman" w:cs="Arial"/>
          <w:szCs w:val="24"/>
          <w:lang w:val="es-MX" w:eastAsia="es-MX"/>
        </w:rPr>
        <w:fldChar w:fldCharType="begin" w:fldLock="1"/>
      </w:r>
      <w:r>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[69]","plainTextFormattedCitation":"[69]","previouslyFormattedCitation":"[47]"},"properties":{"noteIndex":0},"schema":"https://github.com/citation-style-language/schema/raw/master/csl-citation.json"}</w:instrText>
      </w:r>
      <w:r w:rsidRPr="001133CE">
        <w:rPr>
          <w:rFonts w:eastAsia="Times New Roman" w:cs="Arial"/>
          <w:szCs w:val="24"/>
          <w:lang w:val="es-MX" w:eastAsia="es-MX"/>
        </w:rPr>
        <w:fldChar w:fldCharType="separate"/>
      </w:r>
      <w:r w:rsidRPr="009B5FEF">
        <w:rPr>
          <w:rFonts w:eastAsia="Times New Roman" w:cs="Arial"/>
          <w:noProof/>
          <w:szCs w:val="24"/>
          <w:lang w:val="es-MX" w:eastAsia="es-MX"/>
        </w:rPr>
        <w:t>[69]</w:t>
      </w:r>
      <w:r w:rsidRPr="001133CE">
        <w:rPr>
          <w:rFonts w:eastAsia="Times New Roman" w:cs="Arial"/>
          <w:szCs w:val="24"/>
          <w:lang w:val="es-MX" w:eastAsia="es-MX"/>
        </w:rPr>
        <w:fldChar w:fldCharType="end"/>
      </w:r>
    </w:p>
    <w:p w14:paraId="34F09BD8" w14:textId="77777777" w:rsidR="009B5FEF" w:rsidRPr="001133CE" w:rsidRDefault="009B5FEF" w:rsidP="002323D7">
      <w:pPr>
        <w:spacing w:after="0" w:line="360" w:lineRule="auto"/>
        <w:rPr>
          <w:rFonts w:cs="Arial"/>
          <w:szCs w:val="24"/>
          <w:lang w:val="es-MX"/>
        </w:rPr>
      </w:pPr>
      <w:r w:rsidRPr="001133CE">
        <w:rPr>
          <w:rFonts w:cs="Arial"/>
          <w:szCs w:val="24"/>
          <w:lang w:val="es-ES"/>
        </w:rPr>
        <w:t xml:space="preserve">Aunque estas chaperonas no han sido asociadas con las proteínas G en </w:t>
      </w:r>
      <w:r w:rsidRPr="009B5FEF">
        <w:rPr>
          <w:rFonts w:cs="Arial"/>
          <w:i/>
          <w:szCs w:val="24"/>
          <w:lang w:val="es-ES"/>
        </w:rPr>
        <w:t>S. cerevisiae,</w:t>
      </w:r>
      <w:r w:rsidRPr="001133CE">
        <w:rPr>
          <w:rFonts w:cs="Arial"/>
          <w:szCs w:val="24"/>
          <w:lang w:val="es-ES"/>
        </w:rPr>
        <w:t xml:space="preserve"> juegan un papel importante en la respuesta a choque térmico, en el caso de algunos hongos como </w:t>
      </w:r>
      <w:r w:rsidRPr="009B5FEF">
        <w:rPr>
          <w:rFonts w:cs="Arial"/>
          <w:i/>
          <w:szCs w:val="24"/>
          <w:lang w:val="es-ES"/>
        </w:rPr>
        <w:t>P. rubens</w:t>
      </w:r>
      <w:r w:rsidRPr="001133CE">
        <w:rPr>
          <w:rFonts w:cs="Arial"/>
          <w:szCs w:val="24"/>
          <w:lang w:val="es-ES"/>
        </w:rPr>
        <w:t xml:space="preserve"> se observa una relación entre proteínas implicadas en los mecanismos de respuesta a estrés térmico y la subunidad Gα de las proteínas G. </w:t>
      </w:r>
    </w:p>
    <w:p w14:paraId="124D1ED0" w14:textId="77777777" w:rsidR="009B5FEF" w:rsidRPr="001133CE" w:rsidRDefault="009B5FEF" w:rsidP="002323D7">
      <w:pPr>
        <w:spacing w:after="0" w:line="360" w:lineRule="auto"/>
        <w:rPr>
          <w:rFonts w:cs="Arial"/>
          <w:szCs w:val="24"/>
          <w:lang w:val="es-MX"/>
        </w:rPr>
      </w:pPr>
    </w:p>
    <w:p w14:paraId="682E028B" w14:textId="23351EBC" w:rsidR="0038365E" w:rsidRPr="000975FA" w:rsidRDefault="00B934EF" w:rsidP="002323D7">
      <w:pPr>
        <w:spacing w:after="0" w:line="360" w:lineRule="auto"/>
        <w:rPr>
          <w:lang w:val="es-MX"/>
        </w:rPr>
      </w:pPr>
      <w:r w:rsidRPr="000975FA">
        <w:rPr>
          <w:lang w:val="es-MX"/>
        </w:rPr>
        <w:br w:type="page"/>
      </w:r>
    </w:p>
    <w:p w14:paraId="7091AD27" w14:textId="352154FD" w:rsidR="00096D42" w:rsidRPr="004A3FDE" w:rsidRDefault="00096D42" w:rsidP="004A3FDE">
      <w:pPr>
        <w:pStyle w:val="Ttulo1"/>
        <w:spacing w:before="0" w:line="360" w:lineRule="auto"/>
        <w:ind w:left="567"/>
      </w:pPr>
      <w:bookmarkStart w:id="0" w:name="_GoBack"/>
      <w:r w:rsidRPr="004A3FDE">
        <w:t>REFERENCIAS</w:t>
      </w:r>
    </w:p>
    <w:p w14:paraId="455DB38F" w14:textId="0DF2D9F7" w:rsidR="009B5FEF" w:rsidRPr="004A3FDE" w:rsidRDefault="00B934EF" w:rsidP="004A3FDE">
      <w:pPr>
        <w:widowControl w:val="0"/>
        <w:autoSpaceDE w:val="0"/>
        <w:autoSpaceDN w:val="0"/>
        <w:adjustRightInd w:val="0"/>
        <w:spacing w:after="0" w:line="360" w:lineRule="auto"/>
        <w:ind w:left="567" w:hanging="640"/>
        <w:rPr>
          <w:rFonts w:cs="Arial"/>
          <w:noProof/>
          <w:szCs w:val="24"/>
        </w:rPr>
      </w:pPr>
      <w:r w:rsidRPr="001133CE">
        <w:rPr>
          <w:rFonts w:cs="Arial"/>
          <w:szCs w:val="24"/>
          <w:lang w:val="es-MX"/>
        </w:rPr>
        <w:fldChar w:fldCharType="begin" w:fldLock="1"/>
      </w:r>
      <w:r w:rsidRPr="004A3FDE">
        <w:rPr>
          <w:rFonts w:cs="Arial"/>
          <w:szCs w:val="24"/>
        </w:rPr>
        <w:instrText xml:space="preserve">ADDIN Mendeley Bibliography CSL_BIBLIOGRAPHY </w:instrText>
      </w:r>
      <w:r w:rsidRPr="001133CE">
        <w:rPr>
          <w:rFonts w:cs="Arial"/>
          <w:szCs w:val="24"/>
          <w:lang w:val="es-MX"/>
        </w:rPr>
        <w:fldChar w:fldCharType="separate"/>
      </w:r>
      <w:r w:rsidR="009B5FEF" w:rsidRPr="004A3FDE">
        <w:rPr>
          <w:rFonts w:cs="Arial"/>
          <w:noProof/>
          <w:szCs w:val="24"/>
        </w:rPr>
        <w:t>[1]</w:t>
      </w:r>
      <w:r w:rsidR="009B5FEF" w:rsidRPr="004A3FDE">
        <w:rPr>
          <w:rFonts w:cs="Arial"/>
          <w:noProof/>
          <w:szCs w:val="24"/>
        </w:rPr>
        <w:tab/>
        <w:t xml:space="preserve">S. Ghorai, S. P. Banik, D. Verma, S. Chowdhury, S. Mukherjee, and S. Khowala, “Fungal biotechnology in food and feed processing,” </w:t>
      </w:r>
      <w:r w:rsidR="009B5FEF" w:rsidRPr="004A3FDE">
        <w:rPr>
          <w:rFonts w:cs="Arial"/>
          <w:i/>
          <w:iCs/>
          <w:noProof/>
          <w:szCs w:val="24"/>
        </w:rPr>
        <w:t>Food Res. Int.</w:t>
      </w:r>
      <w:r w:rsidR="009B5FEF" w:rsidRPr="004A3FDE">
        <w:rPr>
          <w:rFonts w:cs="Arial"/>
          <w:noProof/>
          <w:szCs w:val="24"/>
        </w:rPr>
        <w:t>, vol. 42, no. 5–6, pp. 577–587, Jun. 2009.</w:t>
      </w:r>
    </w:p>
    <w:p w14:paraId="36BE3BC2" w14:textId="77777777" w:rsidR="009B5FEF" w:rsidRPr="004A3FDE" w:rsidRDefault="009B5FEF" w:rsidP="004A3FDE">
      <w:pPr>
        <w:widowControl w:val="0"/>
        <w:autoSpaceDE w:val="0"/>
        <w:autoSpaceDN w:val="0"/>
        <w:adjustRightInd w:val="0"/>
        <w:spacing w:after="0" w:line="360" w:lineRule="auto"/>
        <w:ind w:left="567" w:hanging="640"/>
        <w:rPr>
          <w:rFonts w:cs="Arial"/>
          <w:noProof/>
          <w:szCs w:val="24"/>
        </w:rPr>
      </w:pPr>
      <w:r w:rsidRPr="004A3FDE">
        <w:rPr>
          <w:rFonts w:cs="Arial"/>
          <w:noProof/>
          <w:szCs w:val="24"/>
        </w:rPr>
        <w:t>[2]</w:t>
      </w:r>
      <w:r w:rsidRPr="004A3FDE">
        <w:rPr>
          <w:rFonts w:cs="Arial"/>
          <w:noProof/>
          <w:szCs w:val="24"/>
        </w:rPr>
        <w:tab/>
        <w:t xml:space="preserve">F. Alberti, G. D. Foster, and A. M. Bailey, “Natural products from filamentous fungi and production by heterologous expression,” </w:t>
      </w:r>
      <w:r w:rsidRPr="004A3FDE">
        <w:rPr>
          <w:rFonts w:cs="Arial"/>
          <w:i/>
          <w:iCs/>
          <w:noProof/>
          <w:szCs w:val="24"/>
        </w:rPr>
        <w:t>Appl. Microbiol. Biotechnol.</w:t>
      </w:r>
    </w:p>
    <w:p w14:paraId="3B074DE7" w14:textId="77777777" w:rsidR="009B5FEF" w:rsidRPr="004A3FDE" w:rsidRDefault="009B5FEF" w:rsidP="004A3FDE">
      <w:pPr>
        <w:widowControl w:val="0"/>
        <w:autoSpaceDE w:val="0"/>
        <w:autoSpaceDN w:val="0"/>
        <w:adjustRightInd w:val="0"/>
        <w:spacing w:after="0" w:line="360" w:lineRule="auto"/>
        <w:ind w:left="567" w:hanging="640"/>
        <w:rPr>
          <w:rFonts w:cs="Arial"/>
          <w:noProof/>
          <w:szCs w:val="24"/>
        </w:rPr>
      </w:pPr>
      <w:r w:rsidRPr="004A3FDE">
        <w:rPr>
          <w:rFonts w:cs="Arial"/>
          <w:noProof/>
          <w:szCs w:val="24"/>
        </w:rPr>
        <w:t>[3]</w:t>
      </w:r>
      <w:r w:rsidRPr="004A3FDE">
        <w:rPr>
          <w:rFonts w:cs="Arial"/>
          <w:noProof/>
          <w:szCs w:val="24"/>
        </w:rPr>
        <w:tab/>
        <w:t xml:space="preserve">V. Meyer </w:t>
      </w:r>
      <w:r w:rsidRPr="004A3FDE">
        <w:rPr>
          <w:rFonts w:cs="Arial"/>
          <w:i/>
          <w:iCs/>
          <w:noProof/>
          <w:szCs w:val="24"/>
        </w:rPr>
        <w:t>et al.</w:t>
      </w:r>
      <w:r w:rsidRPr="004A3FDE">
        <w:rPr>
          <w:rFonts w:cs="Arial"/>
          <w:noProof/>
          <w:szCs w:val="24"/>
        </w:rPr>
        <w:t xml:space="preserve">, “Current challenges of research on filamentous fungi in relation to human welfare and a sustainable bio-economy: a white paper Fungal Biology and Biotechnology,” </w:t>
      </w:r>
      <w:r w:rsidRPr="004A3FDE">
        <w:rPr>
          <w:rFonts w:cs="Arial"/>
          <w:i/>
          <w:iCs/>
          <w:noProof/>
          <w:szCs w:val="24"/>
        </w:rPr>
        <w:t>Fungal Biol. Biotechnol.</w:t>
      </w:r>
      <w:r w:rsidRPr="004A3FDE">
        <w:rPr>
          <w:rFonts w:cs="Arial"/>
          <w:noProof/>
          <w:szCs w:val="24"/>
        </w:rPr>
        <w:t>, vol. 3, p. 6, 2016.</w:t>
      </w:r>
    </w:p>
    <w:p w14:paraId="22447B40" w14:textId="77777777" w:rsidR="009B5FEF" w:rsidRPr="004A3FDE" w:rsidRDefault="009B5FEF" w:rsidP="004A3FDE">
      <w:pPr>
        <w:widowControl w:val="0"/>
        <w:autoSpaceDE w:val="0"/>
        <w:autoSpaceDN w:val="0"/>
        <w:adjustRightInd w:val="0"/>
        <w:spacing w:after="0" w:line="360" w:lineRule="auto"/>
        <w:ind w:left="567" w:hanging="640"/>
        <w:rPr>
          <w:rFonts w:cs="Arial"/>
          <w:noProof/>
          <w:szCs w:val="24"/>
        </w:rPr>
      </w:pPr>
      <w:r w:rsidRPr="004A3FDE">
        <w:rPr>
          <w:rFonts w:cs="Arial"/>
          <w:noProof/>
          <w:szCs w:val="24"/>
        </w:rPr>
        <w:t>[4]</w:t>
      </w:r>
      <w:r w:rsidRPr="004A3FDE">
        <w:rPr>
          <w:rFonts w:cs="Arial"/>
          <w:noProof/>
          <w:szCs w:val="24"/>
        </w:rPr>
        <w:tab/>
        <w:t xml:space="preserve">S. Challa, S. G. Uppin, M. S. Uppin, U. Pamidimukkala, and L. Vemu, “Diagnosis of filamentous fungi on tissue sections by immunohistochemistry using anti-aspergillus antibody,” </w:t>
      </w:r>
      <w:r w:rsidRPr="004A3FDE">
        <w:rPr>
          <w:rFonts w:cs="Arial"/>
          <w:i/>
          <w:iCs/>
          <w:noProof/>
          <w:szCs w:val="24"/>
        </w:rPr>
        <w:t>Med. Mycol.</w:t>
      </w:r>
      <w:r w:rsidRPr="004A3FDE">
        <w:rPr>
          <w:rFonts w:cs="Arial"/>
          <w:noProof/>
          <w:szCs w:val="24"/>
        </w:rPr>
        <w:t>, vol. 53, pp. 470–476, 2015.</w:t>
      </w:r>
    </w:p>
    <w:p w14:paraId="3839020B" w14:textId="77777777" w:rsidR="009B5FEF" w:rsidRPr="004A3FDE" w:rsidRDefault="009B5FEF" w:rsidP="004A3FDE">
      <w:pPr>
        <w:widowControl w:val="0"/>
        <w:autoSpaceDE w:val="0"/>
        <w:autoSpaceDN w:val="0"/>
        <w:adjustRightInd w:val="0"/>
        <w:spacing w:after="0" w:line="360" w:lineRule="auto"/>
        <w:ind w:left="567" w:hanging="640"/>
        <w:rPr>
          <w:rFonts w:cs="Arial"/>
          <w:noProof/>
          <w:szCs w:val="24"/>
        </w:rPr>
      </w:pPr>
      <w:r w:rsidRPr="004A3FDE">
        <w:rPr>
          <w:rFonts w:cs="Arial"/>
          <w:noProof/>
          <w:szCs w:val="24"/>
        </w:rPr>
        <w:t>[5]</w:t>
      </w:r>
      <w:r w:rsidRPr="004A3FDE">
        <w:rPr>
          <w:rFonts w:cs="Arial"/>
          <w:noProof/>
          <w:szCs w:val="24"/>
        </w:rPr>
        <w:tab/>
        <w:t xml:space="preserve">M. R. Islam, G. Tudryn, R. Bucinell, L. Schadler, and R. C. Picu, “Morphology and mechanics of fungal mycelium,” </w:t>
      </w:r>
      <w:r w:rsidRPr="004A3FDE">
        <w:rPr>
          <w:rFonts w:cs="Arial"/>
          <w:i/>
          <w:iCs/>
          <w:noProof/>
          <w:szCs w:val="24"/>
        </w:rPr>
        <w:t>Sci. Rep.</w:t>
      </w:r>
      <w:r w:rsidRPr="004A3FDE">
        <w:rPr>
          <w:rFonts w:cs="Arial"/>
          <w:noProof/>
          <w:szCs w:val="24"/>
        </w:rPr>
        <w:t>, vol. 7, no. 1, p. 13070, Dec. 2017.</w:t>
      </w:r>
    </w:p>
    <w:p w14:paraId="7E1037E2"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4A3FDE">
        <w:rPr>
          <w:rFonts w:cs="Arial"/>
          <w:noProof/>
          <w:szCs w:val="24"/>
        </w:rPr>
        <w:t>[6]</w:t>
      </w:r>
      <w:r w:rsidRPr="004A3FDE">
        <w:rPr>
          <w:rFonts w:cs="Arial"/>
          <w:noProof/>
          <w:szCs w:val="24"/>
        </w:rPr>
        <w:tab/>
        <w:t xml:space="preserve">L. H. Grimm, S. Kelly, R. Krull, and D. C. Hempel, “Morphology and productivity of filamentous fungi,” </w:t>
      </w:r>
      <w:r w:rsidRPr="004A3FDE">
        <w:rPr>
          <w:rFonts w:cs="Arial"/>
          <w:i/>
          <w:iCs/>
          <w:noProof/>
          <w:szCs w:val="24"/>
        </w:rPr>
        <w:t xml:space="preserve">Appl. Microbiol. </w:t>
      </w:r>
      <w:r w:rsidRPr="000975FA">
        <w:rPr>
          <w:rFonts w:cs="Arial"/>
          <w:i/>
          <w:iCs/>
          <w:noProof/>
          <w:szCs w:val="24"/>
        </w:rPr>
        <w:t>Biotechnol.</w:t>
      </w:r>
      <w:r w:rsidRPr="000975FA">
        <w:rPr>
          <w:rFonts w:cs="Arial"/>
          <w:noProof/>
          <w:szCs w:val="24"/>
        </w:rPr>
        <w:t xml:space="preserve">, </w:t>
      </w:r>
      <w:r w:rsidRPr="009B5FEF">
        <w:rPr>
          <w:rFonts w:cs="Arial"/>
          <w:noProof/>
          <w:szCs w:val="24"/>
        </w:rPr>
        <w:t>vol. 69, no. 4, pp. 375–384, Dec. 2005.</w:t>
      </w:r>
    </w:p>
    <w:p w14:paraId="4F3CDBC7"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[7]</w:t>
      </w:r>
      <w:r w:rsidRPr="009B5FEF">
        <w:rPr>
          <w:rFonts w:cs="Arial"/>
          <w:noProof/>
          <w:szCs w:val="24"/>
        </w:rPr>
        <w:tab/>
        <w:t xml:space="preserve">D. S. Hibbett </w:t>
      </w:r>
      <w:r w:rsidRPr="009B5FEF">
        <w:rPr>
          <w:rFonts w:cs="Arial"/>
          <w:i/>
          <w:iCs/>
          <w:noProof/>
          <w:szCs w:val="24"/>
        </w:rPr>
        <w:t>et al.</w:t>
      </w:r>
      <w:r w:rsidRPr="009B5FEF">
        <w:rPr>
          <w:rFonts w:cs="Arial"/>
          <w:noProof/>
          <w:szCs w:val="24"/>
        </w:rPr>
        <w:t xml:space="preserve">, “A higher-level phylogenetic classification of the Fungi,” </w:t>
      </w:r>
      <w:r w:rsidRPr="009B5FEF">
        <w:rPr>
          <w:rFonts w:cs="Arial"/>
          <w:i/>
          <w:iCs/>
          <w:noProof/>
          <w:szCs w:val="24"/>
        </w:rPr>
        <w:t>Mycol. Res.</w:t>
      </w:r>
      <w:r w:rsidRPr="009B5FEF">
        <w:rPr>
          <w:rFonts w:cs="Arial"/>
          <w:noProof/>
          <w:szCs w:val="24"/>
        </w:rPr>
        <w:t>, vol. 111, no. 5, pp. 509–547, May 2007.</w:t>
      </w:r>
    </w:p>
    <w:p w14:paraId="6CC832BD"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[8]</w:t>
      </w:r>
      <w:r w:rsidRPr="009B5FEF">
        <w:rPr>
          <w:rFonts w:cs="Arial"/>
          <w:noProof/>
          <w:szCs w:val="24"/>
        </w:rPr>
        <w:tab/>
        <w:t xml:space="preserve">M. V. Powers-Fletcher, B. A. Kendall, A. T. Griffin, and K. E. Hanson, “Filamentous Fungi,” in </w:t>
      </w:r>
      <w:r w:rsidRPr="009B5FEF">
        <w:rPr>
          <w:rFonts w:cs="Arial"/>
          <w:i/>
          <w:iCs/>
          <w:noProof/>
          <w:szCs w:val="24"/>
        </w:rPr>
        <w:t>Diagnostic Microbiology of the Immunocompromised Host, Second Edition</w:t>
      </w:r>
      <w:r w:rsidRPr="009B5FEF">
        <w:rPr>
          <w:rFonts w:cs="Arial"/>
          <w:noProof/>
          <w:szCs w:val="24"/>
        </w:rPr>
        <w:t>, vol. 4, no. 3, American Society of Microbiology, 2016, pp. 311–341.</w:t>
      </w:r>
    </w:p>
    <w:p w14:paraId="574F6782"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[9]</w:t>
      </w:r>
      <w:r w:rsidRPr="009B5FEF">
        <w:rPr>
          <w:rFonts w:cs="Arial"/>
          <w:noProof/>
          <w:szCs w:val="24"/>
        </w:rPr>
        <w:tab/>
        <w:t>H. Babich and G. Stotzky, “Abiotic Factors Affecting the Toxicity of Lead to Fungi,” 1979.</w:t>
      </w:r>
    </w:p>
    <w:p w14:paraId="1C42C0F8"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[10]</w:t>
      </w:r>
      <w:r w:rsidRPr="009B5FEF">
        <w:rPr>
          <w:rFonts w:cs="Arial"/>
          <w:noProof/>
          <w:szCs w:val="24"/>
        </w:rPr>
        <w:tab/>
        <w:t xml:space="preserve">T. Emri </w:t>
      </w:r>
      <w:r w:rsidRPr="009B5FEF">
        <w:rPr>
          <w:rFonts w:cs="Arial"/>
          <w:i/>
          <w:iCs/>
          <w:noProof/>
          <w:szCs w:val="24"/>
        </w:rPr>
        <w:t>et al.</w:t>
      </w:r>
      <w:r w:rsidRPr="009B5FEF">
        <w:rPr>
          <w:rFonts w:cs="Arial"/>
          <w:noProof/>
          <w:szCs w:val="24"/>
        </w:rPr>
        <w:t xml:space="preserve">, “Core oxidative stress response in Aspergillus nidulans,” </w:t>
      </w:r>
      <w:r w:rsidRPr="009B5FEF">
        <w:rPr>
          <w:rFonts w:cs="Arial"/>
          <w:i/>
          <w:iCs/>
          <w:noProof/>
          <w:szCs w:val="24"/>
        </w:rPr>
        <w:t>BMC Genomics</w:t>
      </w:r>
      <w:r w:rsidRPr="009B5FEF">
        <w:rPr>
          <w:rFonts w:cs="Arial"/>
          <w:noProof/>
          <w:szCs w:val="24"/>
        </w:rPr>
        <w:t>, vol. 16, no. 1, 2015.</w:t>
      </w:r>
    </w:p>
    <w:p w14:paraId="47F19C4C"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[11]</w:t>
      </w:r>
      <w:r w:rsidRPr="009B5FEF">
        <w:rPr>
          <w:rFonts w:cs="Arial"/>
          <w:noProof/>
          <w:szCs w:val="24"/>
        </w:rPr>
        <w:tab/>
        <w:t xml:space="preserve">D. Kültz, “MOLECULAR AND EVOLUTIONARY BASIS OF THE CELLULAR STRESS RESPONSE,” </w:t>
      </w:r>
      <w:r w:rsidRPr="009B5FEF">
        <w:rPr>
          <w:rFonts w:cs="Arial"/>
          <w:i/>
          <w:iCs/>
          <w:noProof/>
          <w:szCs w:val="24"/>
        </w:rPr>
        <w:t>Annu. Rev. Physiol.</w:t>
      </w:r>
      <w:r w:rsidRPr="009B5FEF">
        <w:rPr>
          <w:rFonts w:cs="Arial"/>
          <w:noProof/>
          <w:szCs w:val="24"/>
        </w:rPr>
        <w:t>, vol. 67, no. 1, pp. 225–257, Mar. 2005.</w:t>
      </w:r>
    </w:p>
    <w:p w14:paraId="1B05DDE9"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[12]</w:t>
      </w:r>
      <w:r w:rsidRPr="009B5FEF">
        <w:rPr>
          <w:rFonts w:cs="Arial"/>
          <w:noProof/>
          <w:szCs w:val="24"/>
        </w:rPr>
        <w:tab/>
        <w:t xml:space="preserve">D. Hagiwara, K. Sakamoto, K. Abe, and K. Gomi, “Signaling pathways for stress responses and adaptation in Aspergillus species: Stress biology in the post-genomic era,” </w:t>
      </w:r>
      <w:r w:rsidRPr="009B5FEF">
        <w:rPr>
          <w:rFonts w:cs="Arial"/>
          <w:i/>
          <w:iCs/>
          <w:noProof/>
          <w:szCs w:val="24"/>
        </w:rPr>
        <w:t>Biosci. Biotechnol. Biochem.</w:t>
      </w:r>
      <w:r w:rsidRPr="009B5FEF">
        <w:rPr>
          <w:rFonts w:cs="Arial"/>
          <w:noProof/>
          <w:szCs w:val="24"/>
        </w:rPr>
        <w:t>, vol. 80, no. 9, pp. 1667–1680, 2016.</w:t>
      </w:r>
    </w:p>
    <w:p w14:paraId="4B1F065D"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[13]</w:t>
      </w:r>
      <w:r w:rsidRPr="009B5FEF">
        <w:rPr>
          <w:rFonts w:cs="Arial"/>
          <w:noProof/>
          <w:szCs w:val="24"/>
        </w:rPr>
        <w:tab/>
        <w:t>M. I. Simon, M. P. Strathmann, and N. Gautam, “Diversity of Proteins in Signal Transduction,” vol. 252, no. 5007, pp. 802–808, 1991.</w:t>
      </w:r>
    </w:p>
    <w:p w14:paraId="00440C02"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[14]</w:t>
      </w:r>
      <w:r w:rsidRPr="009B5FEF">
        <w:rPr>
          <w:rFonts w:cs="Arial"/>
          <w:noProof/>
          <w:szCs w:val="24"/>
        </w:rPr>
        <w:tab/>
        <w:t xml:space="preserve">S. Rens-Domiano and H. E. Hamm, “Structural and functional relationships of heterotrimeric G-proteins,” </w:t>
      </w:r>
      <w:r w:rsidRPr="009B5FEF">
        <w:rPr>
          <w:rFonts w:cs="Arial"/>
          <w:i/>
          <w:iCs/>
          <w:noProof/>
          <w:szCs w:val="24"/>
        </w:rPr>
        <w:t>Faseb J</w:t>
      </w:r>
      <w:r w:rsidRPr="009B5FEF">
        <w:rPr>
          <w:rFonts w:cs="Arial"/>
          <w:noProof/>
          <w:szCs w:val="24"/>
        </w:rPr>
        <w:t>, vol. 9, no. 11, pp. 1059–1066, 1995.</w:t>
      </w:r>
    </w:p>
    <w:p w14:paraId="4D8D639F"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[15]</w:t>
      </w:r>
      <w:r w:rsidRPr="009B5FEF">
        <w:rPr>
          <w:rFonts w:cs="Arial"/>
          <w:noProof/>
          <w:szCs w:val="24"/>
        </w:rPr>
        <w:tab/>
        <w:t xml:space="preserve">L. Li, S. J. Wright, S. Krystofova, G. Park, and K. A. Borkovich, “Heterotrimeric G Protein Signaling in Filamentous Fungi,” </w:t>
      </w:r>
      <w:r w:rsidRPr="009B5FEF">
        <w:rPr>
          <w:rFonts w:cs="Arial"/>
          <w:i/>
          <w:iCs/>
          <w:noProof/>
          <w:szCs w:val="24"/>
        </w:rPr>
        <w:t>Annu. Rev. Microbiol.</w:t>
      </w:r>
      <w:r w:rsidRPr="009B5FEF">
        <w:rPr>
          <w:rFonts w:cs="Arial"/>
          <w:noProof/>
          <w:szCs w:val="24"/>
        </w:rPr>
        <w:t>, vol. 61, no. 1, pp. 423–452, 2007.</w:t>
      </w:r>
    </w:p>
    <w:p w14:paraId="44339BC3"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[16]</w:t>
      </w:r>
      <w:r w:rsidRPr="009B5FEF">
        <w:rPr>
          <w:rFonts w:cs="Arial"/>
          <w:noProof/>
          <w:szCs w:val="24"/>
        </w:rPr>
        <w:tab/>
        <w:t xml:space="preserve">S. Liu and R. a Dean, “G protein alpha subunit genes control growth, development, and pathogenicity of Magnaporthe grisea.,” </w:t>
      </w:r>
      <w:r w:rsidRPr="009B5FEF">
        <w:rPr>
          <w:rFonts w:cs="Arial"/>
          <w:i/>
          <w:iCs/>
          <w:noProof/>
          <w:szCs w:val="24"/>
        </w:rPr>
        <w:t>Mol. Plant. Microbe. Interact.</w:t>
      </w:r>
      <w:r w:rsidRPr="009B5FEF">
        <w:rPr>
          <w:rFonts w:cs="Arial"/>
          <w:noProof/>
          <w:szCs w:val="24"/>
        </w:rPr>
        <w:t>, vol. 10, no. 9, pp. 1075–86, 1997.</w:t>
      </w:r>
    </w:p>
    <w:p w14:paraId="0AEB5744"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[17]</w:t>
      </w:r>
      <w:r w:rsidRPr="009B5FEF">
        <w:rPr>
          <w:rFonts w:cs="Arial"/>
          <w:noProof/>
          <w:szCs w:val="24"/>
        </w:rPr>
        <w:tab/>
        <w:t xml:space="preserve">Y. Liu </w:t>
      </w:r>
      <w:r w:rsidRPr="009B5FEF">
        <w:rPr>
          <w:rFonts w:cs="Arial"/>
          <w:i/>
          <w:iCs/>
          <w:noProof/>
          <w:szCs w:val="24"/>
        </w:rPr>
        <w:t>et al.</w:t>
      </w:r>
      <w:r w:rsidRPr="009B5FEF">
        <w:rPr>
          <w:rFonts w:cs="Arial"/>
          <w:noProof/>
          <w:szCs w:val="24"/>
        </w:rPr>
        <w:t xml:space="preserve">, “G Protein α Subunit GpaB is Required for Asexual Development, Aflatoxin Biosynthesis and Pathogenicity by Regulating cAMP Signaling in Aspergillus flavus.,” </w:t>
      </w:r>
      <w:r w:rsidRPr="009B5FEF">
        <w:rPr>
          <w:rFonts w:cs="Arial"/>
          <w:i/>
          <w:iCs/>
          <w:noProof/>
          <w:szCs w:val="24"/>
        </w:rPr>
        <w:t>Toxins (Basel).</w:t>
      </w:r>
      <w:r w:rsidRPr="009B5FEF">
        <w:rPr>
          <w:rFonts w:cs="Arial"/>
          <w:noProof/>
          <w:szCs w:val="24"/>
        </w:rPr>
        <w:t>, vol. 10, no. 3, Mar. 2018.</w:t>
      </w:r>
    </w:p>
    <w:p w14:paraId="017F93DD"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[18]</w:t>
      </w:r>
      <w:r w:rsidRPr="009B5FEF">
        <w:rPr>
          <w:rFonts w:cs="Arial"/>
          <w:noProof/>
          <w:szCs w:val="24"/>
        </w:rPr>
        <w:tab/>
        <w:t xml:space="preserve">M. Bölker, “Sex and crime: Heterotrimeric G proteins in fungal mating and pathogenesis,” </w:t>
      </w:r>
      <w:r w:rsidRPr="009B5FEF">
        <w:rPr>
          <w:rFonts w:cs="Arial"/>
          <w:i/>
          <w:iCs/>
          <w:noProof/>
          <w:szCs w:val="24"/>
        </w:rPr>
        <w:t>Fungal Genet. Biol.</w:t>
      </w:r>
      <w:r w:rsidRPr="009B5FEF">
        <w:rPr>
          <w:rFonts w:cs="Arial"/>
          <w:noProof/>
          <w:szCs w:val="24"/>
        </w:rPr>
        <w:t>, vol. 25, no. 3, pp. 143–156, 1998.</w:t>
      </w:r>
    </w:p>
    <w:p w14:paraId="165835B1"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[19]</w:t>
      </w:r>
      <w:r w:rsidRPr="009B5FEF">
        <w:rPr>
          <w:rFonts w:cs="Arial"/>
          <w:noProof/>
          <w:szCs w:val="24"/>
        </w:rPr>
        <w:tab/>
        <w:t>C. G. Alvaro and J. Thorner, “Heterotrimeric G Protein-coupled Receptor Signaling in Yeast Mating Pheromone Response *,” 2016.</w:t>
      </w:r>
    </w:p>
    <w:p w14:paraId="511087D1"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[20]</w:t>
      </w:r>
      <w:r w:rsidRPr="009B5FEF">
        <w:rPr>
          <w:rFonts w:cs="Arial"/>
          <w:noProof/>
          <w:szCs w:val="24"/>
        </w:rPr>
        <w:tab/>
        <w:t xml:space="preserve">G. M. TRUESDELL, Z. YANG, and M. B. DICKMAN, “A Gα subunit gene from the phytopathogenic fungus Colletotrichum trifolii is required for conidial germination,” </w:t>
      </w:r>
      <w:r w:rsidRPr="009B5FEF">
        <w:rPr>
          <w:rFonts w:cs="Arial"/>
          <w:i/>
          <w:iCs/>
          <w:noProof/>
          <w:szCs w:val="24"/>
        </w:rPr>
        <w:t>Physiol. Mol. Plant Pathol.</w:t>
      </w:r>
      <w:r w:rsidRPr="009B5FEF">
        <w:rPr>
          <w:rFonts w:cs="Arial"/>
          <w:noProof/>
          <w:szCs w:val="24"/>
        </w:rPr>
        <w:t>, vol. 56, no. 3, pp. 131–140, Mar. 2000.</w:t>
      </w:r>
    </w:p>
    <w:p w14:paraId="02372AF8"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[21]</w:t>
      </w:r>
      <w:r w:rsidRPr="009B5FEF">
        <w:rPr>
          <w:rFonts w:cs="Arial"/>
          <w:noProof/>
          <w:szCs w:val="24"/>
        </w:rPr>
        <w:tab/>
        <w:t xml:space="preserve">G. E. Turner and K. A. Borkovich, “Identification of a G protein α subunit from Neurospora crassa that is a member of the G(i) family,” </w:t>
      </w:r>
      <w:r w:rsidRPr="009B5FEF">
        <w:rPr>
          <w:rFonts w:cs="Arial"/>
          <w:i/>
          <w:iCs/>
          <w:noProof/>
          <w:szCs w:val="24"/>
        </w:rPr>
        <w:t>J. Biol. Chem.</w:t>
      </w:r>
      <w:r w:rsidRPr="009B5FEF">
        <w:rPr>
          <w:rFonts w:cs="Arial"/>
          <w:noProof/>
          <w:szCs w:val="24"/>
        </w:rPr>
        <w:t>, vol. 268, no. 20, pp. 14805–14811, 1993.</w:t>
      </w:r>
    </w:p>
    <w:p w14:paraId="19781336"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[22]</w:t>
      </w:r>
      <w:r w:rsidRPr="009B5FEF">
        <w:rPr>
          <w:rFonts w:cs="Arial"/>
          <w:noProof/>
          <w:szCs w:val="24"/>
        </w:rPr>
        <w:tab/>
        <w:t xml:space="preserve">F. D. Ivey, P. N. Hodge, G. E. Turner, and K. A. Borkovich, “The G alpha i homologue gna-1 controls multiple differentiation pathways in Neurospora crassa,” </w:t>
      </w:r>
      <w:r w:rsidRPr="009B5FEF">
        <w:rPr>
          <w:rFonts w:cs="Arial"/>
          <w:i/>
          <w:iCs/>
          <w:noProof/>
          <w:szCs w:val="24"/>
        </w:rPr>
        <w:t>Mol Biol Cell</w:t>
      </w:r>
      <w:r w:rsidRPr="009B5FEF">
        <w:rPr>
          <w:rFonts w:cs="Arial"/>
          <w:noProof/>
          <w:szCs w:val="24"/>
        </w:rPr>
        <w:t>, vol. 7, no. 8, pp. 1283–1297, 1996.</w:t>
      </w:r>
    </w:p>
    <w:p w14:paraId="2E85AB0E"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[23]</w:t>
      </w:r>
      <w:r w:rsidRPr="009B5FEF">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9B5FEF">
        <w:rPr>
          <w:rFonts w:cs="Arial"/>
          <w:i/>
          <w:iCs/>
          <w:noProof/>
          <w:szCs w:val="24"/>
        </w:rPr>
        <w:t>Fungal Genet. Biol.</w:t>
      </w:r>
      <w:r w:rsidRPr="009B5FEF">
        <w:rPr>
          <w:rFonts w:cs="Arial"/>
          <w:noProof/>
          <w:szCs w:val="24"/>
        </w:rPr>
        <w:t>, vol. 48, no. 6, pp. 631–640, 2011.</w:t>
      </w:r>
    </w:p>
    <w:p w14:paraId="58FFF78D"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[24]</w:t>
      </w:r>
      <w:r w:rsidRPr="009B5FEF">
        <w:rPr>
          <w:rFonts w:cs="Arial"/>
          <w:noProof/>
          <w:szCs w:val="24"/>
        </w:rPr>
        <w:tab/>
        <w:t xml:space="preserve">E. Regenfelder, T. Spellig, A. Hartmann, S. Lauenstein, M. Bölker, and R. Kahmann, “G proteins in Ustilago maydis: transmission of multiple signals?,” </w:t>
      </w:r>
      <w:r w:rsidRPr="009B5FEF">
        <w:rPr>
          <w:rFonts w:cs="Arial"/>
          <w:i/>
          <w:iCs/>
          <w:noProof/>
          <w:szCs w:val="24"/>
        </w:rPr>
        <w:t>EMBO J.</w:t>
      </w:r>
      <w:r w:rsidRPr="009B5FEF">
        <w:rPr>
          <w:rFonts w:cs="Arial"/>
          <w:noProof/>
          <w:szCs w:val="24"/>
        </w:rPr>
        <w:t>, vol. 16, no. 8, pp. 1934–1942, Apr. 1997.</w:t>
      </w:r>
    </w:p>
    <w:p w14:paraId="6EC8B04A"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[25]</w:t>
      </w:r>
      <w:r w:rsidRPr="009B5FEF">
        <w:rPr>
          <w:rFonts w:cs="Arial"/>
          <w:noProof/>
          <w:szCs w:val="24"/>
        </w:rPr>
        <w:tab/>
        <w:t xml:space="preserve">H. Liu, A. Suresh, F. S. Willard, D. P. Siderovski, S. Lu, and N. I. Naqvi, “Rgs1 regulates multiple Gα subunits in Magnaporthe pathogenesis, asexual growth and thigmotropism,” </w:t>
      </w:r>
      <w:r w:rsidRPr="009B5FEF">
        <w:rPr>
          <w:rFonts w:cs="Arial"/>
          <w:i/>
          <w:iCs/>
          <w:noProof/>
          <w:szCs w:val="24"/>
        </w:rPr>
        <w:t>EMBO J.</w:t>
      </w:r>
      <w:r w:rsidRPr="009B5FEF">
        <w:rPr>
          <w:rFonts w:cs="Arial"/>
          <w:noProof/>
          <w:szCs w:val="24"/>
        </w:rPr>
        <w:t>, vol. 26, no. 3, pp. 690–700, Feb. 2007.</w:t>
      </w:r>
    </w:p>
    <w:p w14:paraId="241FFF72"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[26]</w:t>
      </w:r>
      <w:r w:rsidRPr="009B5FEF">
        <w:rPr>
          <w:rFonts w:cs="Arial"/>
          <w:noProof/>
          <w:szCs w:val="24"/>
        </w:rPr>
        <w:tab/>
        <w:t xml:space="preserve">D. M. Berman, T. M. Wilkie, and A. G. Gilman, “GAIP and RGS4 are GTPase-activating proteins for the G(i) subfamily of G protein α subunits,” </w:t>
      </w:r>
      <w:r w:rsidRPr="009B5FEF">
        <w:rPr>
          <w:rFonts w:cs="Arial"/>
          <w:i/>
          <w:iCs/>
          <w:noProof/>
          <w:szCs w:val="24"/>
        </w:rPr>
        <w:t>Cell</w:t>
      </w:r>
      <w:r w:rsidRPr="009B5FEF">
        <w:rPr>
          <w:rFonts w:cs="Arial"/>
          <w:noProof/>
          <w:szCs w:val="24"/>
        </w:rPr>
        <w:t>, vol. 86, no. 3, pp. 445–452, 1996.</w:t>
      </w:r>
    </w:p>
    <w:p w14:paraId="7A9775ED"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[27]</w:t>
      </w:r>
      <w:r w:rsidRPr="009B5FEF">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9B5FEF">
        <w:rPr>
          <w:rFonts w:cs="Arial"/>
          <w:i/>
          <w:iCs/>
          <w:noProof/>
          <w:szCs w:val="24"/>
        </w:rPr>
        <w:t>Mol. Microbiol.</w:t>
      </w:r>
      <w:r w:rsidRPr="009B5FEF">
        <w:rPr>
          <w:rFonts w:cs="Arial"/>
          <w:noProof/>
          <w:szCs w:val="24"/>
        </w:rPr>
        <w:t>, vol. 53, no. 2, pp. 529–540, 2004.</w:t>
      </w:r>
    </w:p>
    <w:p w14:paraId="1F940A2C"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[28]</w:t>
      </w:r>
      <w:r w:rsidRPr="009B5FEF">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9B5FEF">
        <w:rPr>
          <w:rFonts w:cs="Arial"/>
          <w:i/>
          <w:iCs/>
          <w:noProof/>
          <w:szCs w:val="24"/>
        </w:rPr>
        <w:t>Eukaryot. Cell</w:t>
      </w:r>
      <w:r w:rsidRPr="009B5FEF">
        <w:rPr>
          <w:rFonts w:cs="Arial"/>
          <w:noProof/>
          <w:szCs w:val="24"/>
        </w:rPr>
        <w:t>, vol. 1, no. 3, pp. 440–447, 2002.</w:t>
      </w:r>
    </w:p>
    <w:p w14:paraId="0D57043E"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[29]</w:t>
      </w:r>
      <w:r w:rsidRPr="009B5FEF">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9B5FEF">
        <w:rPr>
          <w:rFonts w:cs="Arial"/>
          <w:i/>
          <w:iCs/>
          <w:noProof/>
          <w:szCs w:val="24"/>
        </w:rPr>
        <w:t>Eukaryot. Cell</w:t>
      </w:r>
      <w:r w:rsidRPr="009B5FEF">
        <w:rPr>
          <w:rFonts w:cs="Arial"/>
          <w:noProof/>
          <w:szCs w:val="24"/>
        </w:rPr>
        <w:t>, vol. 1, no. 4, pp. 634–642, 2002.</w:t>
      </w:r>
    </w:p>
    <w:p w14:paraId="5E4A7239"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[30]</w:t>
      </w:r>
      <w:r w:rsidRPr="009B5FEF">
        <w:rPr>
          <w:rFonts w:cs="Arial"/>
          <w:noProof/>
          <w:szCs w:val="24"/>
        </w:rPr>
        <w:tab/>
        <w:t xml:space="preserve">S. J. Wright, R. Inchausti, C. J. Eaton, S. Krystofova, K. A. Borkovich </w:t>
      </w:r>
      <w:dir w:val="rtl">
        <w:r w:rsidRPr="009B5FEF">
          <w:rPr>
            <w:rFonts w:cs="Arial"/>
            <w:noProof/>
            <w:szCs w:val="24"/>
          </w:rPr>
          <w:t xml:space="preserve">3, and ٭. </w:t>
        </w:r>
        <w:dir w:val="rtl">
          <w:r w:rsidRPr="009B5FEF">
            <w:rPr>
              <w:rFonts w:cs="Arial"/>
              <w:noProof/>
              <w:szCs w:val="24"/>
            </w:rPr>
            <w:t>٭</w:t>
          </w:r>
          <w:r w:rsidRPr="009B5FEF">
            <w:rPr>
              <w:rFonts w:cs="Arial"/>
              <w:noProof/>
              <w:szCs w:val="24"/>
            </w:rPr>
            <w:t>‬, “RIC8 is a guanine-nucleotide exchange factor for Gα subunits that regulates growth and development in Neurospora crassa.”</w:t>
          </w:r>
          <w:r w:rsidR="00427CB0">
            <w:t>‬</w:t>
          </w:r>
          <w:r w:rsidR="00427CB0">
            <w:t>‬</w:t>
          </w:r>
          <w:r w:rsidR="006A7A15">
            <w:t>‬</w:t>
          </w:r>
          <w:r w:rsidR="006A7A15">
            <w:t>‬</w:t>
          </w:r>
        </w:dir>
      </w:dir>
    </w:p>
    <w:p w14:paraId="690CDB48"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[31]</w:t>
      </w:r>
      <w:r w:rsidRPr="009B5FEF">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9B5FEF">
        <w:rPr>
          <w:rFonts w:cs="Arial"/>
          <w:i/>
          <w:iCs/>
          <w:noProof/>
          <w:szCs w:val="24"/>
        </w:rPr>
        <w:t>PLoS One</w:t>
      </w:r>
      <w:r w:rsidRPr="009B5FEF">
        <w:rPr>
          <w:rFonts w:cs="Arial"/>
          <w:noProof/>
          <w:szCs w:val="24"/>
        </w:rPr>
        <w:t>, vol. 7, no. 10, p. e48026, Oct. 2012.</w:t>
      </w:r>
    </w:p>
    <w:p w14:paraId="2D454C8C"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[32]</w:t>
      </w:r>
      <w:r w:rsidRPr="009B5FEF">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9B5FEF">
        <w:rPr>
          <w:rFonts w:cs="Arial"/>
          <w:i/>
          <w:iCs/>
          <w:noProof/>
          <w:szCs w:val="24"/>
        </w:rPr>
        <w:t>BMC Microbiol.</w:t>
      </w:r>
      <w:r w:rsidRPr="009B5FEF">
        <w:rPr>
          <w:rFonts w:cs="Arial"/>
          <w:noProof/>
          <w:szCs w:val="24"/>
        </w:rPr>
        <w:t>, vol. 10, no. 1, p. 317, 2010.</w:t>
      </w:r>
    </w:p>
    <w:p w14:paraId="56966635"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[33]</w:t>
      </w:r>
      <w:r w:rsidRPr="009B5FEF">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9B5FEF">
        <w:rPr>
          <w:rFonts w:cs="Arial"/>
          <w:i/>
          <w:iCs/>
          <w:noProof/>
          <w:szCs w:val="24"/>
        </w:rPr>
        <w:t>Biomolecules</w:t>
      </w:r>
      <w:r w:rsidRPr="009B5FEF">
        <w:rPr>
          <w:rFonts w:cs="Arial"/>
          <w:noProof/>
          <w:szCs w:val="24"/>
        </w:rPr>
        <w:t>, vol. 5, no. 2, pp. 318–42, Apr. 2015.</w:t>
      </w:r>
    </w:p>
    <w:p w14:paraId="62DBE6CE"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[34]</w:t>
      </w:r>
      <w:r w:rsidRPr="009B5FEF">
        <w:rPr>
          <w:rFonts w:cs="Arial"/>
          <w:noProof/>
          <w:szCs w:val="24"/>
        </w:rPr>
        <w:tab/>
        <w:t xml:space="preserve">E. Birben, U. M. Sahiner, C. Sackesen, S. Erzurum, and O. Kalayci, “Oxidative stress and antioxidant defense.,” </w:t>
      </w:r>
      <w:r w:rsidRPr="009B5FEF">
        <w:rPr>
          <w:rFonts w:cs="Arial"/>
          <w:i/>
          <w:iCs/>
          <w:noProof/>
          <w:szCs w:val="24"/>
        </w:rPr>
        <w:t>World Allergy Organ. J.</w:t>
      </w:r>
      <w:r w:rsidRPr="009B5FEF">
        <w:rPr>
          <w:rFonts w:cs="Arial"/>
          <w:noProof/>
          <w:szCs w:val="24"/>
        </w:rPr>
        <w:t>, vol. 5, no. 1, pp. 9–19, Jan. 2012.</w:t>
      </w:r>
    </w:p>
    <w:p w14:paraId="293247BA"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[35]</w:t>
      </w:r>
      <w:r w:rsidRPr="009B5FEF">
        <w:rPr>
          <w:rFonts w:cs="Arial"/>
          <w:noProof/>
          <w:szCs w:val="24"/>
        </w:rPr>
        <w:tab/>
        <w:t xml:space="preserve">D. Trachootham, W. Lu, M. A. Ogasawara, R.-D. V. Nilsa, and P. Huang, “Redox regulation of cell survival.,” </w:t>
      </w:r>
      <w:r w:rsidRPr="009B5FEF">
        <w:rPr>
          <w:rFonts w:cs="Arial"/>
          <w:i/>
          <w:iCs/>
          <w:noProof/>
          <w:szCs w:val="24"/>
        </w:rPr>
        <w:t>Antioxid. Redox Signal.</w:t>
      </w:r>
      <w:r w:rsidRPr="009B5FEF">
        <w:rPr>
          <w:rFonts w:cs="Arial"/>
          <w:noProof/>
          <w:szCs w:val="24"/>
        </w:rPr>
        <w:t>, vol. 10, no. 8, pp. 1343–74, Aug. 2008.</w:t>
      </w:r>
    </w:p>
    <w:p w14:paraId="08F66AB6"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[36]</w:t>
      </w:r>
      <w:r w:rsidRPr="009B5FEF">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9B5FEF">
        <w:rPr>
          <w:rFonts w:cs="Arial"/>
          <w:i/>
          <w:iCs/>
          <w:noProof/>
          <w:szCs w:val="24"/>
        </w:rPr>
        <w:t>Int. Microbiol.</w:t>
      </w:r>
      <w:r w:rsidRPr="009B5FEF">
        <w:rPr>
          <w:rFonts w:cs="Arial"/>
          <w:noProof/>
          <w:szCs w:val="24"/>
        </w:rPr>
        <w:t>, vol. 12, no. 2, pp. 123–9, Jun. 2009.</w:t>
      </w:r>
    </w:p>
    <w:p w14:paraId="70688E2C"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[37]</w:t>
      </w:r>
      <w:r w:rsidRPr="009B5FEF">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9B5FEF">
        <w:rPr>
          <w:rFonts w:cs="Arial"/>
          <w:i/>
          <w:iCs/>
          <w:noProof/>
          <w:szCs w:val="24"/>
        </w:rPr>
        <w:t>Fungal Genet. Biol.</w:t>
      </w:r>
      <w:r w:rsidRPr="009B5FEF">
        <w:rPr>
          <w:rFonts w:cs="Arial"/>
          <w:noProof/>
          <w:szCs w:val="24"/>
        </w:rPr>
        <w:t>, vol. 48, no. 6, pp. 641–649, 2011.</w:t>
      </w:r>
    </w:p>
    <w:p w14:paraId="762327D1"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[38]</w:t>
      </w:r>
      <w:r w:rsidRPr="009B5FEF">
        <w:rPr>
          <w:rFonts w:cs="Arial"/>
          <w:noProof/>
          <w:szCs w:val="24"/>
        </w:rPr>
        <w:tab/>
        <w:t xml:space="preserve">R. O. García-Rico </w:t>
      </w:r>
      <w:r w:rsidRPr="009B5FEF">
        <w:rPr>
          <w:rFonts w:cs="Arial"/>
          <w:i/>
          <w:iCs/>
          <w:noProof/>
          <w:szCs w:val="24"/>
        </w:rPr>
        <w:t>et al.</w:t>
      </w:r>
      <w:r w:rsidRPr="009B5FEF">
        <w:rPr>
          <w:rFonts w:cs="Arial"/>
          <w:noProof/>
          <w:szCs w:val="24"/>
        </w:rPr>
        <w:t xml:space="preserve">, “Heterotrimeric G protein alpha subunit controls growth, stress response, extracellular protease activity, and cyclopiazonic acid production in Penicillium camemberti,” </w:t>
      </w:r>
      <w:r w:rsidRPr="009B5FEF">
        <w:rPr>
          <w:rFonts w:cs="Arial"/>
          <w:i/>
          <w:iCs/>
          <w:noProof/>
          <w:szCs w:val="24"/>
        </w:rPr>
        <w:t>Fungal Biol.</w:t>
      </w:r>
      <w:r w:rsidRPr="009B5FEF">
        <w:rPr>
          <w:rFonts w:cs="Arial"/>
          <w:noProof/>
          <w:szCs w:val="24"/>
        </w:rPr>
        <w:t>, vol. 121, no. 9, pp. 754–762, Sep. 2017.</w:t>
      </w:r>
    </w:p>
    <w:p w14:paraId="3DBB6441"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[39]</w:t>
      </w:r>
      <w:r w:rsidRPr="009B5FEF">
        <w:rPr>
          <w:rFonts w:cs="Arial"/>
          <w:noProof/>
          <w:szCs w:val="24"/>
        </w:rPr>
        <w:tab/>
        <w:t xml:space="preserve">U. Carrasco-Navarro </w:t>
      </w:r>
      <w:r w:rsidRPr="009B5FEF">
        <w:rPr>
          <w:rFonts w:cs="Arial"/>
          <w:i/>
          <w:iCs/>
          <w:noProof/>
          <w:szCs w:val="24"/>
        </w:rPr>
        <w:t>et al.</w:t>
      </w:r>
      <w:r w:rsidRPr="009B5FEF">
        <w:rPr>
          <w:rFonts w:cs="Arial"/>
          <w:noProof/>
          <w:szCs w:val="24"/>
        </w:rPr>
        <w:t xml:space="preserve">, “Proteomic analysis of the signaling pathway mediated by the heterotrimeric Ga protein Pga1 of Penicillium chrysogenum,” </w:t>
      </w:r>
      <w:r w:rsidRPr="009B5FEF">
        <w:rPr>
          <w:rFonts w:cs="Arial"/>
          <w:i/>
          <w:iCs/>
          <w:noProof/>
          <w:szCs w:val="24"/>
        </w:rPr>
        <w:t>Microb. Cell Fact.</w:t>
      </w:r>
      <w:r w:rsidRPr="009B5FEF">
        <w:rPr>
          <w:rFonts w:cs="Arial"/>
          <w:noProof/>
          <w:szCs w:val="24"/>
        </w:rPr>
        <w:t>, vol. 15, no. 1, pp. 1–17, 2016.</w:t>
      </w:r>
    </w:p>
    <w:p w14:paraId="5901D7AC"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[40]</w:t>
      </w:r>
      <w:r w:rsidRPr="009B5FEF">
        <w:rPr>
          <w:rFonts w:cs="Arial"/>
          <w:noProof/>
          <w:szCs w:val="24"/>
        </w:rPr>
        <w:tab/>
        <w:t xml:space="preserve">Q. Yang and K. A. Borkovich, “Mutational activation of a Gα(i) causes uncontrolled proliferation of aerial hyphae and increased sensitivity to heat and oxidative stress in Neurospora crassa,” </w:t>
      </w:r>
      <w:r w:rsidRPr="009B5FEF">
        <w:rPr>
          <w:rFonts w:cs="Arial"/>
          <w:i/>
          <w:iCs/>
          <w:noProof/>
          <w:szCs w:val="24"/>
        </w:rPr>
        <w:t>Genetics</w:t>
      </w:r>
      <w:r w:rsidRPr="009B5FEF">
        <w:rPr>
          <w:rFonts w:cs="Arial"/>
          <w:noProof/>
          <w:szCs w:val="24"/>
        </w:rPr>
        <w:t>, vol. 151, no. 1, pp. 107–117, 1999.</w:t>
      </w:r>
    </w:p>
    <w:p w14:paraId="36BBB4F5"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[41]</w:t>
      </w:r>
      <w:r w:rsidRPr="009B5FEF">
        <w:rPr>
          <w:rFonts w:cs="Arial"/>
          <w:noProof/>
          <w:szCs w:val="24"/>
        </w:rPr>
        <w:tab/>
        <w:t xml:space="preserve">A. M. Kays, P. S. Rowley, R. A. Baasiri, and K. A. Borkovich, “Regulation of conidiation and adenylyl cyclase levels by the Galpha protein GNA-3 in Neurospora crassa,” </w:t>
      </w:r>
      <w:r w:rsidRPr="009B5FEF">
        <w:rPr>
          <w:rFonts w:cs="Arial"/>
          <w:i/>
          <w:iCs/>
          <w:noProof/>
          <w:szCs w:val="24"/>
        </w:rPr>
        <w:t>Mol Cell Biol</w:t>
      </w:r>
      <w:r w:rsidRPr="009B5FEF">
        <w:rPr>
          <w:rFonts w:cs="Arial"/>
          <w:noProof/>
          <w:szCs w:val="24"/>
        </w:rPr>
        <w:t>, vol. 20, no. 20, pp. 7693–7705, 2000.</w:t>
      </w:r>
    </w:p>
    <w:p w14:paraId="5A19DBD1"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[42]</w:t>
      </w:r>
      <w:r w:rsidRPr="009B5FEF">
        <w:rPr>
          <w:rFonts w:cs="Arial"/>
          <w:noProof/>
          <w:szCs w:val="24"/>
        </w:rPr>
        <w:tab/>
        <w:t xml:space="preserve">F. D. Ivey, Q. Yang, and K. A. Borkovich, “Positive Regulation of Adenylyl Cyclase Activity by a GαiHomolog inNeurospora crassa,” </w:t>
      </w:r>
      <w:r w:rsidRPr="009B5FEF">
        <w:rPr>
          <w:rFonts w:cs="Arial"/>
          <w:i/>
          <w:iCs/>
          <w:noProof/>
          <w:szCs w:val="24"/>
        </w:rPr>
        <w:t>Fungal Genet. Biol.</w:t>
      </w:r>
      <w:r w:rsidRPr="009B5FEF">
        <w:rPr>
          <w:rFonts w:cs="Arial"/>
          <w:noProof/>
          <w:szCs w:val="24"/>
        </w:rPr>
        <w:t>, vol. 26, no. 1, pp. 48–61, Feb. 1999.</w:t>
      </w:r>
    </w:p>
    <w:p w14:paraId="2D12BF56"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[43]</w:t>
      </w:r>
      <w:r w:rsidRPr="009B5FEF">
        <w:rPr>
          <w:rFonts w:cs="Arial"/>
          <w:noProof/>
          <w:szCs w:val="24"/>
        </w:rPr>
        <w:tab/>
        <w:t xml:space="preserve">A. M. Kays and K. A. Borkovich, “Severe Impairment of Growth and Differentiation in a Neurospora crassa Mutant Lacking All Heterotrimeric G?? Proteins,” </w:t>
      </w:r>
      <w:r w:rsidRPr="009B5FEF">
        <w:rPr>
          <w:rFonts w:cs="Arial"/>
          <w:i/>
          <w:iCs/>
          <w:noProof/>
          <w:szCs w:val="24"/>
        </w:rPr>
        <w:t>Genetics</w:t>
      </w:r>
      <w:r w:rsidRPr="009B5FEF">
        <w:rPr>
          <w:rFonts w:cs="Arial"/>
          <w:noProof/>
          <w:szCs w:val="24"/>
        </w:rPr>
        <w:t>, vol. 166, no. 3, pp. 1229–1240, 2004.</w:t>
      </w:r>
    </w:p>
    <w:p w14:paraId="43431AFC"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[44]</w:t>
      </w:r>
      <w:r w:rsidRPr="009B5FEF">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9B5FEF">
        <w:rPr>
          <w:rFonts w:cs="Arial"/>
          <w:i/>
          <w:iCs/>
          <w:noProof/>
          <w:szCs w:val="24"/>
        </w:rPr>
        <w:t>Biochem. Biophys. Res. Commun.</w:t>
      </w:r>
      <w:r w:rsidRPr="009B5FEF">
        <w:rPr>
          <w:rFonts w:cs="Arial"/>
          <w:noProof/>
          <w:szCs w:val="24"/>
        </w:rPr>
        <w:t>, vol. 327, no. 1, pp. 311–319, Feb. 2005.</w:t>
      </w:r>
    </w:p>
    <w:p w14:paraId="006F2019"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[45]</w:t>
      </w:r>
      <w:r w:rsidRPr="009B5FEF">
        <w:rPr>
          <w:rFonts w:cs="Arial"/>
          <w:noProof/>
          <w:szCs w:val="24"/>
        </w:rPr>
        <w:tab/>
        <w:t xml:space="preserve">A. Dantas, A. Day, M. Ikeh, I. Kos, B. Achan, and J. Quinn, “Oxidative Stress Responses in the Human Fungal Pathogen, Candida albicans,” </w:t>
      </w:r>
      <w:r w:rsidRPr="009B5FEF">
        <w:rPr>
          <w:rFonts w:cs="Arial"/>
          <w:i/>
          <w:iCs/>
          <w:noProof/>
          <w:szCs w:val="24"/>
        </w:rPr>
        <w:t>Biomolecules</w:t>
      </w:r>
      <w:r w:rsidRPr="009B5FEF">
        <w:rPr>
          <w:rFonts w:cs="Arial"/>
          <w:noProof/>
          <w:szCs w:val="24"/>
        </w:rPr>
        <w:t>, vol. 5, no. 1, pp. 142–165, Feb. 2015.</w:t>
      </w:r>
    </w:p>
    <w:p w14:paraId="422F1DCC"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[46]</w:t>
      </w:r>
      <w:r w:rsidRPr="009B5FEF">
        <w:rPr>
          <w:rFonts w:cs="Arial"/>
          <w:noProof/>
          <w:szCs w:val="24"/>
        </w:rPr>
        <w:tab/>
        <w:t xml:space="preserve">D. Wilson </w:t>
      </w:r>
      <w:r w:rsidRPr="009B5FEF">
        <w:rPr>
          <w:rFonts w:cs="Arial"/>
          <w:i/>
          <w:iCs/>
          <w:noProof/>
          <w:szCs w:val="24"/>
        </w:rPr>
        <w:t>et al.</w:t>
      </w:r>
      <w:r w:rsidRPr="009B5FEF">
        <w:rPr>
          <w:rFonts w:cs="Arial"/>
          <w:noProof/>
          <w:szCs w:val="24"/>
        </w:rPr>
        <w:t xml:space="preserve">, “Deletion of the high-affinity cAMP phosphodiesterase encoded by PDE2 affects stress responses and virulence in Candida albicans,” </w:t>
      </w:r>
      <w:r w:rsidRPr="009B5FEF">
        <w:rPr>
          <w:rFonts w:cs="Arial"/>
          <w:i/>
          <w:iCs/>
          <w:noProof/>
          <w:szCs w:val="24"/>
        </w:rPr>
        <w:t>Mol. Microbiol.</w:t>
      </w:r>
      <w:r w:rsidRPr="009B5FEF">
        <w:rPr>
          <w:rFonts w:cs="Arial"/>
          <w:noProof/>
          <w:szCs w:val="24"/>
        </w:rPr>
        <w:t>, vol. 65, no. 4, pp. 841–856, Aug. 2007.</w:t>
      </w:r>
    </w:p>
    <w:p w14:paraId="2496F63A"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[47]</w:t>
      </w:r>
      <w:r w:rsidRPr="009B5FEF">
        <w:rPr>
          <w:rFonts w:cs="Arial"/>
          <w:noProof/>
          <w:szCs w:val="24"/>
        </w:rPr>
        <w:tab/>
        <w:t xml:space="preserve">W. H. Mager, A. H. de Boer, M. H. Siderius, and H. P. Voss, “Cellular responses to oxidative and osmotic stress.,” </w:t>
      </w:r>
      <w:r w:rsidRPr="009B5FEF">
        <w:rPr>
          <w:rFonts w:cs="Arial"/>
          <w:i/>
          <w:iCs/>
          <w:noProof/>
          <w:szCs w:val="24"/>
        </w:rPr>
        <w:t>Cell Stress Chaperones</w:t>
      </w:r>
      <w:r w:rsidRPr="009B5FEF">
        <w:rPr>
          <w:rFonts w:cs="Arial"/>
          <w:noProof/>
          <w:szCs w:val="24"/>
        </w:rPr>
        <w:t>, vol. 5, no. 2, pp. 73–5, Apr. 2000.</w:t>
      </w:r>
    </w:p>
    <w:p w14:paraId="4E70C937"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[48]</w:t>
      </w:r>
      <w:r w:rsidRPr="009B5FEF">
        <w:rPr>
          <w:rFonts w:cs="Arial"/>
          <w:noProof/>
          <w:szCs w:val="24"/>
        </w:rPr>
        <w:tab/>
        <w:t xml:space="preserve">R. A. Baasiri, X. Lu, P. S. Rowley, G. E. Turner, and K. A. Borkovich, “Overlapping functions for two G protein alpha subunits in Neurospora crassa.,” </w:t>
      </w:r>
      <w:r w:rsidRPr="009B5FEF">
        <w:rPr>
          <w:rFonts w:cs="Arial"/>
          <w:i/>
          <w:iCs/>
          <w:noProof/>
          <w:szCs w:val="24"/>
        </w:rPr>
        <w:t>Genetics</w:t>
      </w:r>
      <w:r w:rsidRPr="009B5FEF">
        <w:rPr>
          <w:rFonts w:cs="Arial"/>
          <w:noProof/>
          <w:szCs w:val="24"/>
        </w:rPr>
        <w:t>, vol. 147, no. 1, pp. 137–45, 1997.</w:t>
      </w:r>
    </w:p>
    <w:p w14:paraId="57E41B05"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[49]</w:t>
      </w:r>
      <w:r w:rsidRPr="009B5FEF">
        <w:rPr>
          <w:rFonts w:cs="Arial"/>
          <w:noProof/>
          <w:szCs w:val="24"/>
        </w:rPr>
        <w:tab/>
        <w:t xml:space="preserve">S. Zuber, M. J. Hynes, and A. Andrianopoulos, “The G-protein alpha-subunit GasC plays a major role in germination in the dimorphic fungus Penicillium marneffei,” </w:t>
      </w:r>
      <w:r w:rsidRPr="009B5FEF">
        <w:rPr>
          <w:rFonts w:cs="Arial"/>
          <w:i/>
          <w:iCs/>
          <w:noProof/>
          <w:szCs w:val="24"/>
        </w:rPr>
        <w:t>Genetics</w:t>
      </w:r>
      <w:r w:rsidRPr="009B5FEF">
        <w:rPr>
          <w:rFonts w:cs="Arial"/>
          <w:noProof/>
          <w:szCs w:val="24"/>
        </w:rPr>
        <w:t>, vol. 164, no. 2, pp. 487–499, 2003.</w:t>
      </w:r>
    </w:p>
    <w:p w14:paraId="64ED7910"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[50]</w:t>
      </w:r>
      <w:r w:rsidRPr="009B5FEF">
        <w:rPr>
          <w:rFonts w:cs="Arial"/>
          <w:noProof/>
          <w:szCs w:val="24"/>
        </w:rPr>
        <w:tab/>
        <w:t xml:space="preserve">H. H. Kampinga, “Chaperones in Preventing Protein Denaturation in Living Cells and Protecting Against Cellular Stress,” in </w:t>
      </w:r>
      <w:r w:rsidRPr="009B5FEF">
        <w:rPr>
          <w:rFonts w:cs="Arial"/>
          <w:i/>
          <w:iCs/>
          <w:noProof/>
          <w:szCs w:val="24"/>
        </w:rPr>
        <w:t>Molecular Chaperones in Health and Disease</w:t>
      </w:r>
      <w:r w:rsidRPr="009B5FEF">
        <w:rPr>
          <w:rFonts w:cs="Arial"/>
          <w:noProof/>
          <w:szCs w:val="24"/>
        </w:rPr>
        <w:t>, Berlin/Heidelberg: Springer-Verlag, 2006, pp. 1–42.</w:t>
      </w:r>
    </w:p>
    <w:p w14:paraId="054A4A62"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[51]</w:t>
      </w:r>
      <w:r w:rsidRPr="009B5FEF">
        <w:rPr>
          <w:rFonts w:cs="Arial"/>
          <w:noProof/>
          <w:szCs w:val="24"/>
        </w:rPr>
        <w:tab/>
        <w:t xml:space="preserve">V. M. Tereshina, “Thermotolerance in Fungi: The Role of Heat Shock Proteins and Trehalose,” </w:t>
      </w:r>
      <w:r w:rsidRPr="009B5FEF">
        <w:rPr>
          <w:rFonts w:cs="Arial"/>
          <w:i/>
          <w:iCs/>
          <w:noProof/>
          <w:szCs w:val="24"/>
        </w:rPr>
        <w:t>Microbiology</w:t>
      </w:r>
      <w:r w:rsidRPr="009B5FEF">
        <w:rPr>
          <w:rFonts w:cs="Arial"/>
          <w:noProof/>
          <w:szCs w:val="24"/>
        </w:rPr>
        <w:t>, vol. 74, no. 3, pp. 247–257, May 2005.</w:t>
      </w:r>
    </w:p>
    <w:p w14:paraId="0E1456D7"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[52]</w:t>
      </w:r>
      <w:r w:rsidRPr="009B5FEF">
        <w:rPr>
          <w:rFonts w:cs="Arial"/>
          <w:noProof/>
          <w:szCs w:val="24"/>
        </w:rPr>
        <w:tab/>
        <w:t xml:space="preserve">N. B. Gusev, N. V Bogatcheva, and S. B. Marston, “Structure and properties of small heat shock proteins (sHsp) and their interaction with cytoskeleton proteins.,” </w:t>
      </w:r>
      <w:r w:rsidRPr="009B5FEF">
        <w:rPr>
          <w:rFonts w:cs="Arial"/>
          <w:i/>
          <w:iCs/>
          <w:noProof/>
          <w:szCs w:val="24"/>
        </w:rPr>
        <w:t>Biochemistry. (Mosc).</w:t>
      </w:r>
      <w:r w:rsidRPr="009B5FEF">
        <w:rPr>
          <w:rFonts w:cs="Arial"/>
          <w:noProof/>
          <w:szCs w:val="24"/>
        </w:rPr>
        <w:t>, vol. 67, no. 5, pp. 511–9, May 2002.</w:t>
      </w:r>
    </w:p>
    <w:p w14:paraId="3D54234A"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[53]</w:t>
      </w:r>
      <w:r w:rsidRPr="009B5FEF">
        <w:rPr>
          <w:rFonts w:cs="Arial"/>
          <w:noProof/>
          <w:szCs w:val="24"/>
        </w:rPr>
        <w:tab/>
        <w:t xml:space="preserve">S. Tiwari, R. Thakur, and J. Shankar, “Role of Heat-Shock Proteins in Cellular Function and in the Biology of Fungi,” </w:t>
      </w:r>
      <w:r w:rsidRPr="009B5FEF">
        <w:rPr>
          <w:rFonts w:cs="Arial"/>
          <w:i/>
          <w:iCs/>
          <w:noProof/>
          <w:szCs w:val="24"/>
        </w:rPr>
        <w:t>Biotechnol. Res. Int.</w:t>
      </w:r>
      <w:r w:rsidRPr="009B5FEF">
        <w:rPr>
          <w:rFonts w:cs="Arial"/>
          <w:noProof/>
          <w:szCs w:val="24"/>
        </w:rPr>
        <w:t>, vol. 2015, pp. 1–11, Dec. 2015.</w:t>
      </w:r>
    </w:p>
    <w:p w14:paraId="5FDA95AA"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[54]</w:t>
      </w:r>
      <w:r w:rsidRPr="009B5FEF">
        <w:rPr>
          <w:rFonts w:cs="Arial"/>
          <w:noProof/>
          <w:szCs w:val="24"/>
        </w:rPr>
        <w:tab/>
        <w:t xml:space="preserve">J. Wu, M. Wang, L. Zhou, and D. Yu, “Small heat shock proteins, phylogeny in filamentous fungi and expression analyses in Aspergillus nidulans,” </w:t>
      </w:r>
      <w:r w:rsidRPr="009B5FEF">
        <w:rPr>
          <w:rFonts w:cs="Arial"/>
          <w:i/>
          <w:iCs/>
          <w:noProof/>
          <w:szCs w:val="24"/>
        </w:rPr>
        <w:t>Gene</w:t>
      </w:r>
      <w:r w:rsidRPr="009B5FEF">
        <w:rPr>
          <w:rFonts w:cs="Arial"/>
          <w:noProof/>
          <w:szCs w:val="24"/>
        </w:rPr>
        <w:t>, vol. 575, pp. 675–679, 2016.</w:t>
      </w:r>
    </w:p>
    <w:p w14:paraId="5FAC750B"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[55]</w:t>
      </w:r>
      <w:r w:rsidRPr="009B5FEF">
        <w:rPr>
          <w:rFonts w:cs="Arial"/>
          <w:noProof/>
          <w:szCs w:val="24"/>
        </w:rPr>
        <w:tab/>
        <w:t xml:space="preserve">R. B. Raggam, H. J. F. Salzer, E. Marth, B. Heiling, A. H. Paulitsch, and W. Buzina, “Molecular detection and characterisation of fungal heat shock protein 60,” </w:t>
      </w:r>
      <w:r w:rsidRPr="009B5FEF">
        <w:rPr>
          <w:rFonts w:cs="Arial"/>
          <w:i/>
          <w:iCs/>
          <w:noProof/>
          <w:szCs w:val="24"/>
        </w:rPr>
        <w:t>Mycoses</w:t>
      </w:r>
      <w:r w:rsidRPr="009B5FEF">
        <w:rPr>
          <w:rFonts w:cs="Arial"/>
          <w:noProof/>
          <w:szCs w:val="24"/>
        </w:rPr>
        <w:t>, vol. 54, no. 5, pp. e394–e399, Sep. 2011.</w:t>
      </w:r>
    </w:p>
    <w:p w14:paraId="7613227A"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[56]</w:t>
      </w:r>
      <w:r w:rsidRPr="009B5FEF">
        <w:rPr>
          <w:rFonts w:cs="Arial"/>
          <w:noProof/>
          <w:szCs w:val="24"/>
        </w:rPr>
        <w:tab/>
        <w:t xml:space="preserve">M. Kapoor, C. A. Curle, and C. Runham, “The hsp70 gene family of Neurospora crassa: cloning, sequence analysis, expression, and genetic mapping of the major stress-inducible member.,” </w:t>
      </w:r>
      <w:r w:rsidRPr="009B5FEF">
        <w:rPr>
          <w:rFonts w:cs="Arial"/>
          <w:i/>
          <w:iCs/>
          <w:noProof/>
          <w:szCs w:val="24"/>
        </w:rPr>
        <w:t>J. Bacteriol.</w:t>
      </w:r>
      <w:r w:rsidRPr="009B5FEF">
        <w:rPr>
          <w:rFonts w:cs="Arial"/>
          <w:noProof/>
          <w:szCs w:val="24"/>
        </w:rPr>
        <w:t>, vol. 177, no. 1, pp. 212–21, Jan. 1995.</w:t>
      </w:r>
    </w:p>
    <w:p w14:paraId="571E8958"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[57]</w:t>
      </w:r>
      <w:r w:rsidRPr="009B5FEF">
        <w:rPr>
          <w:rFonts w:cs="Arial"/>
          <w:noProof/>
          <w:szCs w:val="24"/>
        </w:rPr>
        <w:tab/>
        <w:t xml:space="preserve">D.-C. Bui </w:t>
      </w:r>
      <w:r w:rsidRPr="009B5FEF">
        <w:rPr>
          <w:rFonts w:cs="Arial"/>
          <w:i/>
          <w:iCs/>
          <w:noProof/>
          <w:szCs w:val="24"/>
        </w:rPr>
        <w:t>et al.</w:t>
      </w:r>
      <w:r w:rsidRPr="009B5FEF">
        <w:rPr>
          <w:rFonts w:cs="Arial"/>
          <w:noProof/>
          <w:szCs w:val="24"/>
        </w:rPr>
        <w:t xml:space="preserve">, “Heat shock protein 90 is required for sexual and asexual development, virulence, and heat shock response in Fusarium graminearum,” </w:t>
      </w:r>
      <w:r w:rsidRPr="009B5FEF">
        <w:rPr>
          <w:rFonts w:cs="Arial"/>
          <w:i/>
          <w:iCs/>
          <w:noProof/>
          <w:szCs w:val="24"/>
        </w:rPr>
        <w:t>Sci. Rep.</w:t>
      </w:r>
      <w:r w:rsidRPr="009B5FEF">
        <w:rPr>
          <w:rFonts w:cs="Arial"/>
          <w:noProof/>
          <w:szCs w:val="24"/>
        </w:rPr>
        <w:t>, vol. 6, no. 1, p. 28154, Sep. 2016.</w:t>
      </w:r>
    </w:p>
    <w:p w14:paraId="4987EBE1"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[58]</w:t>
      </w:r>
      <w:r w:rsidRPr="009B5FEF">
        <w:rPr>
          <w:rFonts w:cs="Arial"/>
          <w:noProof/>
          <w:szCs w:val="24"/>
        </w:rPr>
        <w:tab/>
        <w:t xml:space="preserve">E. Boy-Marcotte </w:t>
      </w:r>
      <w:r w:rsidRPr="009B5FEF">
        <w:rPr>
          <w:rFonts w:cs="Arial"/>
          <w:i/>
          <w:iCs/>
          <w:noProof/>
          <w:szCs w:val="24"/>
        </w:rPr>
        <w:t>et al.</w:t>
      </w:r>
      <w:r w:rsidRPr="009B5FEF">
        <w:rPr>
          <w:rFonts w:cs="Arial"/>
          <w:noProof/>
          <w:szCs w:val="24"/>
        </w:rPr>
        <w:t xml:space="preserve">, “The heat shock response in yeast: differential regulations and contributions of the Msn2p/Msn4p and Hsf1p regulons,” </w:t>
      </w:r>
      <w:r w:rsidRPr="009B5FEF">
        <w:rPr>
          <w:rFonts w:cs="Arial"/>
          <w:i/>
          <w:iCs/>
          <w:noProof/>
          <w:szCs w:val="24"/>
        </w:rPr>
        <w:t>Mol. Microbiol.</w:t>
      </w:r>
      <w:r w:rsidRPr="009B5FEF">
        <w:rPr>
          <w:rFonts w:cs="Arial"/>
          <w:noProof/>
          <w:szCs w:val="24"/>
        </w:rPr>
        <w:t>, vol. 33, no. 2, pp. 274–283, Jul. 1999.</w:t>
      </w:r>
    </w:p>
    <w:p w14:paraId="7E70FAB0"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[59]</w:t>
      </w:r>
      <w:r w:rsidRPr="009B5FEF">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9B5FEF">
        <w:rPr>
          <w:rFonts w:cs="Arial"/>
          <w:i/>
          <w:iCs/>
          <w:noProof/>
          <w:szCs w:val="24"/>
        </w:rPr>
        <w:t>Eukaryot. Cell</w:t>
      </w:r>
      <w:r w:rsidRPr="009B5FEF">
        <w:rPr>
          <w:rFonts w:cs="Arial"/>
          <w:noProof/>
          <w:szCs w:val="24"/>
        </w:rPr>
        <w:t>, vol. 7, no. 9, pp. 1573–81, Sep. 2008.</w:t>
      </w:r>
    </w:p>
    <w:p w14:paraId="4F4E3DFA"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[60]</w:t>
      </w:r>
      <w:r w:rsidRPr="009B5FEF">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9B5FEF">
        <w:rPr>
          <w:rFonts w:cs="Arial"/>
          <w:i/>
          <w:iCs/>
          <w:noProof/>
          <w:szCs w:val="24"/>
        </w:rPr>
        <w:t>EMBO J.</w:t>
      </w:r>
      <w:r w:rsidRPr="009B5FEF">
        <w:rPr>
          <w:rFonts w:cs="Arial"/>
          <w:noProof/>
          <w:szCs w:val="24"/>
        </w:rPr>
        <w:t>, vol. 15, no. 9, pp. 2227–35, May 1996.</w:t>
      </w:r>
    </w:p>
    <w:p w14:paraId="07AC8C65"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[61]</w:t>
      </w:r>
      <w:r w:rsidRPr="009B5FEF">
        <w:rPr>
          <w:rFonts w:cs="Arial"/>
          <w:noProof/>
          <w:szCs w:val="24"/>
        </w:rPr>
        <w:tab/>
        <w:t xml:space="preserve">H. G. Dohlman and J. Thorner, “Regulation of G Protein–Initiated Signal Transduction in Yeast: Paradigms and Principles,” </w:t>
      </w:r>
      <w:r w:rsidRPr="009B5FEF">
        <w:rPr>
          <w:rFonts w:cs="Arial"/>
          <w:i/>
          <w:iCs/>
          <w:noProof/>
          <w:szCs w:val="24"/>
        </w:rPr>
        <w:t>Annu. Rev. Biochem.</w:t>
      </w:r>
      <w:r w:rsidRPr="009B5FEF">
        <w:rPr>
          <w:rFonts w:cs="Arial"/>
          <w:noProof/>
          <w:szCs w:val="24"/>
        </w:rPr>
        <w:t>, vol. 70, no. 1, pp. 703–754, Jun. 2001.</w:t>
      </w:r>
    </w:p>
    <w:p w14:paraId="0192B9BD"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[62]</w:t>
      </w:r>
      <w:r w:rsidRPr="009B5FEF">
        <w:rPr>
          <w:rFonts w:cs="Arial"/>
          <w:noProof/>
          <w:szCs w:val="24"/>
        </w:rPr>
        <w:tab/>
        <w:t>Y. Xue and J. P. Hirsch, “GPR1 encodes a putative G protein-coupled receptor that associates with the Gpa2p G α subunit and functions in a Ras-independent pathway,” 1996.</w:t>
      </w:r>
    </w:p>
    <w:p w14:paraId="74EC403A"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[63]</w:t>
      </w:r>
      <w:r w:rsidRPr="009B5FEF">
        <w:rPr>
          <w:rFonts w:cs="Arial"/>
          <w:noProof/>
          <w:szCs w:val="24"/>
        </w:rPr>
        <w:tab/>
        <w:t xml:space="preserve">M. Whiteway </w:t>
      </w:r>
      <w:r w:rsidRPr="009B5FEF">
        <w:rPr>
          <w:rFonts w:cs="Arial"/>
          <w:i/>
          <w:iCs/>
          <w:noProof/>
          <w:szCs w:val="24"/>
        </w:rPr>
        <w:t>et al.</w:t>
      </w:r>
      <w:r w:rsidRPr="009B5FEF">
        <w:rPr>
          <w:rFonts w:cs="Arial"/>
          <w:noProof/>
          <w:szCs w:val="24"/>
        </w:rPr>
        <w:t xml:space="preserve">, “The STE4 and STE18 genes of yeast encode potential beta and gamma subunits of the mating factor receptor-coupled G protein.,” </w:t>
      </w:r>
      <w:r w:rsidRPr="009B5FEF">
        <w:rPr>
          <w:rFonts w:cs="Arial"/>
          <w:i/>
          <w:iCs/>
          <w:noProof/>
          <w:szCs w:val="24"/>
        </w:rPr>
        <w:t>Cell</w:t>
      </w:r>
      <w:r w:rsidRPr="009B5FEF">
        <w:rPr>
          <w:rFonts w:cs="Arial"/>
          <w:noProof/>
          <w:szCs w:val="24"/>
        </w:rPr>
        <w:t>, vol. 56, no. 3, pp. 467–77, Feb. 1989.</w:t>
      </w:r>
    </w:p>
    <w:p w14:paraId="2668F698"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[64]</w:t>
      </w:r>
      <w:r w:rsidRPr="009B5FEF">
        <w:rPr>
          <w:rFonts w:cs="Arial"/>
          <w:noProof/>
          <w:szCs w:val="24"/>
        </w:rPr>
        <w:tab/>
        <w:t xml:space="preserve">S. Jain, K. Akiyama, R. Takata, and T. Ohguchi, “Signaling via the G protein Î± subunit FGA2 is necessary for pathogenesis in </w:t>
      </w:r>
      <w:r w:rsidRPr="009B5FEF">
        <w:rPr>
          <w:rFonts w:cs="Arial"/>
          <w:i/>
          <w:iCs/>
          <w:noProof/>
          <w:szCs w:val="24"/>
        </w:rPr>
        <w:t>Fusarium oxysporum</w:t>
      </w:r>
      <w:r w:rsidRPr="009B5FEF">
        <w:rPr>
          <w:rFonts w:cs="Arial"/>
          <w:noProof/>
          <w:szCs w:val="24"/>
        </w:rPr>
        <w:t xml:space="preserve">,” </w:t>
      </w:r>
      <w:r w:rsidRPr="009B5FEF">
        <w:rPr>
          <w:rFonts w:cs="Arial"/>
          <w:i/>
          <w:iCs/>
          <w:noProof/>
          <w:szCs w:val="24"/>
        </w:rPr>
        <w:t>FEMS Microbiol. Lett.</w:t>
      </w:r>
      <w:r w:rsidRPr="009B5FEF">
        <w:rPr>
          <w:rFonts w:cs="Arial"/>
          <w:noProof/>
          <w:szCs w:val="24"/>
        </w:rPr>
        <w:t>, vol. 243, no. 1, pp. 165–172, Feb. 2005.</w:t>
      </w:r>
    </w:p>
    <w:p w14:paraId="23C8FE76"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[65]</w:t>
      </w:r>
      <w:r w:rsidRPr="009B5FEF">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9B5FEF">
        <w:rPr>
          <w:rFonts w:cs="Arial"/>
          <w:i/>
          <w:iCs/>
          <w:noProof/>
          <w:szCs w:val="24"/>
        </w:rPr>
        <w:t>Int. Microbiol.</w:t>
      </w:r>
      <w:r w:rsidRPr="009B5FEF">
        <w:rPr>
          <w:rFonts w:cs="Arial"/>
          <w:noProof/>
          <w:szCs w:val="24"/>
        </w:rPr>
        <w:t>, vol. 12, no. 2, pp. 123–129, 2009.</w:t>
      </w:r>
    </w:p>
    <w:p w14:paraId="70D6B527"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[66]</w:t>
      </w:r>
      <w:r w:rsidRPr="009B5FEF">
        <w:rPr>
          <w:rFonts w:cs="Arial"/>
          <w:noProof/>
          <w:szCs w:val="24"/>
        </w:rPr>
        <w:tab/>
        <w:t xml:space="preserve">S. Colombo </w:t>
      </w:r>
      <w:r w:rsidRPr="009B5FEF">
        <w:rPr>
          <w:rFonts w:cs="Arial"/>
          <w:i/>
          <w:iCs/>
          <w:noProof/>
          <w:szCs w:val="24"/>
        </w:rPr>
        <w:t>et al.</w:t>
      </w:r>
      <w:r w:rsidRPr="009B5FEF">
        <w:rPr>
          <w:rFonts w:cs="Arial"/>
          <w:noProof/>
          <w:szCs w:val="24"/>
        </w:rPr>
        <w:t>, “Involvement of distinct G-proteins, Gpa2 and Ras, in glucose-and intracellular acidification-induced cAMP signalling in the yeast Saccharomyces cerevisiae,” 1998.</w:t>
      </w:r>
    </w:p>
    <w:p w14:paraId="77F09386"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[67]</w:t>
      </w:r>
      <w:r w:rsidRPr="009B5FEF">
        <w:rPr>
          <w:rFonts w:cs="Arial"/>
          <w:noProof/>
          <w:szCs w:val="24"/>
        </w:rPr>
        <w:tab/>
        <w:t xml:space="preserve">K. A. Borkovich, F. W. Farrelly, D. B. Finkelstein, J. Taulien, and S. Lindquist, “hsp82 is an essential protein that is required in higher concentrations for growth of cells at higher temperatures.,” </w:t>
      </w:r>
      <w:r w:rsidRPr="009B5FEF">
        <w:rPr>
          <w:rFonts w:cs="Arial"/>
          <w:i/>
          <w:iCs/>
          <w:noProof/>
          <w:szCs w:val="24"/>
        </w:rPr>
        <w:t>Mol. Cell. Biol.</w:t>
      </w:r>
      <w:r w:rsidRPr="009B5FEF">
        <w:rPr>
          <w:rFonts w:cs="Arial"/>
          <w:noProof/>
          <w:szCs w:val="24"/>
        </w:rPr>
        <w:t>, vol. 9, no. 9, pp. 3919–30, Sep. 1989.</w:t>
      </w:r>
    </w:p>
    <w:p w14:paraId="63586D58"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[68]</w:t>
      </w:r>
      <w:r w:rsidRPr="009B5FEF">
        <w:rPr>
          <w:rFonts w:cs="Arial"/>
          <w:noProof/>
          <w:szCs w:val="24"/>
        </w:rPr>
        <w:tab/>
        <w:t xml:space="preserve">W. R. Boorstein and E. A. Craig, “Structure and regulation of the SSA4 HSP70 gene of Saccharomyces cerevisiae.,” </w:t>
      </w:r>
      <w:r w:rsidRPr="009B5FEF">
        <w:rPr>
          <w:rFonts w:cs="Arial"/>
          <w:i/>
          <w:iCs/>
          <w:noProof/>
          <w:szCs w:val="24"/>
        </w:rPr>
        <w:t>J. Biol. Chem.</w:t>
      </w:r>
      <w:r w:rsidRPr="009B5FEF">
        <w:rPr>
          <w:rFonts w:cs="Arial"/>
          <w:noProof/>
          <w:szCs w:val="24"/>
        </w:rPr>
        <w:t>, vol. 265, no. 31, pp. 18912–21, Nov. 1990.</w:t>
      </w:r>
    </w:p>
    <w:p w14:paraId="5267B7F0" w14:textId="77777777" w:rsidR="009B5FEF" w:rsidRPr="009B5FEF" w:rsidRDefault="009B5FEF" w:rsidP="004A3FDE">
      <w:pPr>
        <w:widowControl w:val="0"/>
        <w:autoSpaceDE w:val="0"/>
        <w:autoSpaceDN w:val="0"/>
        <w:adjustRightInd w:val="0"/>
        <w:spacing w:after="0" w:line="360" w:lineRule="auto"/>
        <w:ind w:left="567" w:hanging="640"/>
        <w:rPr>
          <w:rFonts w:cs="Arial"/>
          <w:noProof/>
          <w:szCs w:val="24"/>
        </w:rPr>
      </w:pPr>
      <w:r w:rsidRPr="009B5FEF">
        <w:rPr>
          <w:rFonts w:cs="Arial"/>
          <w:noProof/>
          <w:szCs w:val="24"/>
        </w:rPr>
        <w:t>[69]</w:t>
      </w:r>
      <w:r w:rsidRPr="009B5FEF">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9B5FEF">
        <w:rPr>
          <w:rFonts w:cs="Arial"/>
          <w:i/>
          <w:iCs/>
          <w:noProof/>
          <w:szCs w:val="24"/>
        </w:rPr>
        <w:t>Microbiology</w:t>
      </w:r>
      <w:r w:rsidRPr="009B5FEF">
        <w:rPr>
          <w:rFonts w:cs="Arial"/>
          <w:noProof/>
          <w:szCs w:val="24"/>
        </w:rPr>
        <w:t>, vol. 150, no. 12, pp. 4033–4043, 2004.</w:t>
      </w:r>
    </w:p>
    <w:p w14:paraId="70084C66" w14:textId="77777777" w:rsidR="009B5FEF" w:rsidRPr="009B5FEF" w:rsidRDefault="009B5FEF" w:rsidP="004A3FDE">
      <w:pPr>
        <w:widowControl w:val="0"/>
        <w:autoSpaceDE w:val="0"/>
        <w:autoSpaceDN w:val="0"/>
        <w:adjustRightInd w:val="0"/>
        <w:spacing w:after="0" w:line="360" w:lineRule="auto"/>
        <w:ind w:left="567" w:hanging="640"/>
        <w:rPr>
          <w:rFonts w:cs="Arial"/>
          <w:noProof/>
        </w:rPr>
      </w:pPr>
      <w:r w:rsidRPr="009B5FEF">
        <w:rPr>
          <w:rFonts w:cs="Arial"/>
          <w:noProof/>
          <w:szCs w:val="24"/>
        </w:rPr>
        <w:t>[70]</w:t>
      </w:r>
      <w:r w:rsidRPr="009B5FEF">
        <w:rPr>
          <w:rFonts w:cs="Arial"/>
          <w:noProof/>
          <w:szCs w:val="24"/>
        </w:rPr>
        <w:tab/>
        <w:t xml:space="preserve">J.-H. Yu, “Heterotrimeric G protein signaling and RGSs in Aspergillus nidulans,” </w:t>
      </w:r>
      <w:r w:rsidRPr="009B5FEF">
        <w:rPr>
          <w:rFonts w:cs="Arial"/>
          <w:i/>
          <w:iCs/>
          <w:noProof/>
          <w:szCs w:val="24"/>
        </w:rPr>
        <w:t>J. Microbiol. Microbiol. Soc. Korea</w:t>
      </w:r>
      <w:r w:rsidRPr="009B5FEF">
        <w:rPr>
          <w:rFonts w:cs="Arial"/>
          <w:noProof/>
          <w:szCs w:val="24"/>
        </w:rPr>
        <w:t>, vol. 44, no. 2, pp. 145–154, 2006.</w:t>
      </w:r>
    </w:p>
    <w:p w14:paraId="27033E25" w14:textId="0FA9CCF6" w:rsidR="00B934EF" w:rsidRPr="001133CE" w:rsidRDefault="00B934EF" w:rsidP="004A3FDE">
      <w:pPr>
        <w:spacing w:after="0" w:line="360" w:lineRule="auto"/>
        <w:ind w:left="567"/>
        <w:rPr>
          <w:rFonts w:cs="Arial"/>
          <w:szCs w:val="24"/>
          <w:lang w:val="es-MX"/>
        </w:rPr>
      </w:pPr>
      <w:r w:rsidRPr="001133CE">
        <w:rPr>
          <w:rFonts w:cs="Arial"/>
          <w:szCs w:val="24"/>
          <w:lang w:val="es-MX"/>
        </w:rPr>
        <w:fldChar w:fldCharType="end"/>
      </w:r>
      <w:bookmarkEnd w:id="0"/>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83E01C" w14:textId="77777777" w:rsidR="006A7A15" w:rsidRDefault="006A7A15" w:rsidP="0076361C">
      <w:pPr>
        <w:spacing w:after="0" w:line="240" w:lineRule="auto"/>
      </w:pPr>
      <w:r>
        <w:separator/>
      </w:r>
    </w:p>
  </w:endnote>
  <w:endnote w:type="continuationSeparator" w:id="0">
    <w:p w14:paraId="3EF6E97C" w14:textId="77777777" w:rsidR="006A7A15" w:rsidRDefault="006A7A15"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athematicalPi-On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4094777E" w:rsidR="001E0D3E" w:rsidRDefault="001E0D3E">
        <w:pPr>
          <w:pStyle w:val="Piedepgina"/>
          <w:jc w:val="right"/>
        </w:pPr>
        <w:r>
          <w:fldChar w:fldCharType="begin"/>
        </w:r>
        <w:r>
          <w:instrText>PAGE   \* MERGEFORMAT</w:instrText>
        </w:r>
        <w:r>
          <w:fldChar w:fldCharType="separate"/>
        </w:r>
        <w:r w:rsidR="006A7A15" w:rsidRPr="006A7A15">
          <w:rPr>
            <w:noProof/>
            <w:lang w:val="es-ES"/>
          </w:rPr>
          <w:t>1</w:t>
        </w:r>
        <w:r>
          <w:fldChar w:fldCharType="end"/>
        </w:r>
      </w:p>
    </w:sdtContent>
  </w:sdt>
  <w:p w14:paraId="20458E42" w14:textId="77777777" w:rsidR="001E0D3E" w:rsidRDefault="001E0D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90EB7A" w14:textId="77777777" w:rsidR="006A7A15" w:rsidRDefault="006A7A15" w:rsidP="0076361C">
      <w:pPr>
        <w:spacing w:after="0" w:line="240" w:lineRule="auto"/>
      </w:pPr>
      <w:r>
        <w:separator/>
      </w:r>
    </w:p>
  </w:footnote>
  <w:footnote w:type="continuationSeparator" w:id="0">
    <w:p w14:paraId="60F7C515" w14:textId="77777777" w:rsidR="006A7A15" w:rsidRDefault="006A7A15"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3A31"/>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96D42"/>
    <w:rsid w:val="000975FA"/>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426F1"/>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964AB"/>
    <w:rsid w:val="001A04A0"/>
    <w:rsid w:val="001A330C"/>
    <w:rsid w:val="001A536E"/>
    <w:rsid w:val="001A69F8"/>
    <w:rsid w:val="001B06F1"/>
    <w:rsid w:val="001B6D7B"/>
    <w:rsid w:val="001D1045"/>
    <w:rsid w:val="001D2DFA"/>
    <w:rsid w:val="001D4343"/>
    <w:rsid w:val="001D6AC1"/>
    <w:rsid w:val="001D6F92"/>
    <w:rsid w:val="001D7953"/>
    <w:rsid w:val="001E0D3E"/>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323D7"/>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B34D7"/>
    <w:rsid w:val="002C15C8"/>
    <w:rsid w:val="002C226C"/>
    <w:rsid w:val="002D0CFF"/>
    <w:rsid w:val="002D0FFA"/>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24DA"/>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1B28"/>
    <w:rsid w:val="003B3B16"/>
    <w:rsid w:val="003B598F"/>
    <w:rsid w:val="003C1FD7"/>
    <w:rsid w:val="003D1D4A"/>
    <w:rsid w:val="003D342E"/>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27CB0"/>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921"/>
    <w:rsid w:val="00475D17"/>
    <w:rsid w:val="00487D22"/>
    <w:rsid w:val="004A3FDE"/>
    <w:rsid w:val="004A4399"/>
    <w:rsid w:val="004A5D54"/>
    <w:rsid w:val="004A7D39"/>
    <w:rsid w:val="004B011C"/>
    <w:rsid w:val="004B1511"/>
    <w:rsid w:val="004B20F4"/>
    <w:rsid w:val="004B3499"/>
    <w:rsid w:val="004B5BAB"/>
    <w:rsid w:val="004C57ED"/>
    <w:rsid w:val="004D02D0"/>
    <w:rsid w:val="004D30E4"/>
    <w:rsid w:val="004E0D7E"/>
    <w:rsid w:val="004E21AF"/>
    <w:rsid w:val="004E7807"/>
    <w:rsid w:val="004F3734"/>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564BF"/>
    <w:rsid w:val="00560F29"/>
    <w:rsid w:val="005620E6"/>
    <w:rsid w:val="00562748"/>
    <w:rsid w:val="00565139"/>
    <w:rsid w:val="00565978"/>
    <w:rsid w:val="00570ACB"/>
    <w:rsid w:val="00570B04"/>
    <w:rsid w:val="00573189"/>
    <w:rsid w:val="00590429"/>
    <w:rsid w:val="005A2F2D"/>
    <w:rsid w:val="005A3DB6"/>
    <w:rsid w:val="005B7F30"/>
    <w:rsid w:val="005C0BFC"/>
    <w:rsid w:val="005C1B57"/>
    <w:rsid w:val="005C40DB"/>
    <w:rsid w:val="005C41C8"/>
    <w:rsid w:val="005C5E1A"/>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A7A15"/>
    <w:rsid w:val="006B0030"/>
    <w:rsid w:val="006B20B7"/>
    <w:rsid w:val="006B75DC"/>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26D10"/>
    <w:rsid w:val="008304A2"/>
    <w:rsid w:val="00831E75"/>
    <w:rsid w:val="00833AF3"/>
    <w:rsid w:val="00835AEF"/>
    <w:rsid w:val="008413D0"/>
    <w:rsid w:val="00850414"/>
    <w:rsid w:val="00854967"/>
    <w:rsid w:val="00854B74"/>
    <w:rsid w:val="00860FD3"/>
    <w:rsid w:val="0086189A"/>
    <w:rsid w:val="0086425A"/>
    <w:rsid w:val="00870084"/>
    <w:rsid w:val="00870584"/>
    <w:rsid w:val="0087329F"/>
    <w:rsid w:val="00882B84"/>
    <w:rsid w:val="008852D8"/>
    <w:rsid w:val="00893A88"/>
    <w:rsid w:val="008941A3"/>
    <w:rsid w:val="008A125F"/>
    <w:rsid w:val="008A18BB"/>
    <w:rsid w:val="008A3880"/>
    <w:rsid w:val="008A7784"/>
    <w:rsid w:val="008B030A"/>
    <w:rsid w:val="008B55DB"/>
    <w:rsid w:val="008B627A"/>
    <w:rsid w:val="008B6FC9"/>
    <w:rsid w:val="008C13F4"/>
    <w:rsid w:val="008C70D0"/>
    <w:rsid w:val="008D1AB2"/>
    <w:rsid w:val="008D77EA"/>
    <w:rsid w:val="008E485A"/>
    <w:rsid w:val="008E7700"/>
    <w:rsid w:val="008F13D0"/>
    <w:rsid w:val="008F3B15"/>
    <w:rsid w:val="008F710C"/>
    <w:rsid w:val="008F7F12"/>
    <w:rsid w:val="00900838"/>
    <w:rsid w:val="009023B9"/>
    <w:rsid w:val="00911184"/>
    <w:rsid w:val="0093103B"/>
    <w:rsid w:val="00931A6C"/>
    <w:rsid w:val="00934065"/>
    <w:rsid w:val="0093641C"/>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5C0B"/>
    <w:rsid w:val="0099610C"/>
    <w:rsid w:val="00996CB2"/>
    <w:rsid w:val="00997388"/>
    <w:rsid w:val="009A33A3"/>
    <w:rsid w:val="009A33D6"/>
    <w:rsid w:val="009A3408"/>
    <w:rsid w:val="009B1E9B"/>
    <w:rsid w:val="009B3E5D"/>
    <w:rsid w:val="009B44F3"/>
    <w:rsid w:val="009B5FEF"/>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1FB5"/>
    <w:rsid w:val="00AB445B"/>
    <w:rsid w:val="00AB44E9"/>
    <w:rsid w:val="00AC10CF"/>
    <w:rsid w:val="00AC3DC8"/>
    <w:rsid w:val="00AC415E"/>
    <w:rsid w:val="00AC54E0"/>
    <w:rsid w:val="00AD62B5"/>
    <w:rsid w:val="00AD6D8C"/>
    <w:rsid w:val="00AE17E5"/>
    <w:rsid w:val="00AE562C"/>
    <w:rsid w:val="00AF4358"/>
    <w:rsid w:val="00AF6AAB"/>
    <w:rsid w:val="00B030B0"/>
    <w:rsid w:val="00B0369A"/>
    <w:rsid w:val="00B0504A"/>
    <w:rsid w:val="00B0543E"/>
    <w:rsid w:val="00B11FFA"/>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34EF"/>
    <w:rsid w:val="00B96678"/>
    <w:rsid w:val="00B97DE3"/>
    <w:rsid w:val="00BA0B81"/>
    <w:rsid w:val="00BA4A1D"/>
    <w:rsid w:val="00BB1E3B"/>
    <w:rsid w:val="00BC1E0F"/>
    <w:rsid w:val="00BC2D0F"/>
    <w:rsid w:val="00BC5A2D"/>
    <w:rsid w:val="00BC5C70"/>
    <w:rsid w:val="00BC6FA5"/>
    <w:rsid w:val="00BD2DE8"/>
    <w:rsid w:val="00BD44A1"/>
    <w:rsid w:val="00BE670A"/>
    <w:rsid w:val="00BF7CE9"/>
    <w:rsid w:val="00BF7D7E"/>
    <w:rsid w:val="00C120DA"/>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734B"/>
    <w:rsid w:val="00C8738D"/>
    <w:rsid w:val="00C962B9"/>
    <w:rsid w:val="00CA01CF"/>
    <w:rsid w:val="00CA4CE8"/>
    <w:rsid w:val="00CB0778"/>
    <w:rsid w:val="00CB5F25"/>
    <w:rsid w:val="00CC0535"/>
    <w:rsid w:val="00CC5625"/>
    <w:rsid w:val="00CD11CA"/>
    <w:rsid w:val="00CD2BCD"/>
    <w:rsid w:val="00CE1BA9"/>
    <w:rsid w:val="00CE59D3"/>
    <w:rsid w:val="00CE7002"/>
    <w:rsid w:val="00CF03CE"/>
    <w:rsid w:val="00CF62AF"/>
    <w:rsid w:val="00D01141"/>
    <w:rsid w:val="00D01589"/>
    <w:rsid w:val="00D023BB"/>
    <w:rsid w:val="00D02C0D"/>
    <w:rsid w:val="00D03655"/>
    <w:rsid w:val="00D120AB"/>
    <w:rsid w:val="00D13B17"/>
    <w:rsid w:val="00D17A6A"/>
    <w:rsid w:val="00D258E1"/>
    <w:rsid w:val="00D26529"/>
    <w:rsid w:val="00D30F34"/>
    <w:rsid w:val="00D35CDA"/>
    <w:rsid w:val="00D36E0B"/>
    <w:rsid w:val="00D477DE"/>
    <w:rsid w:val="00D52F5B"/>
    <w:rsid w:val="00D54A32"/>
    <w:rsid w:val="00D572DC"/>
    <w:rsid w:val="00D60649"/>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31F9"/>
    <w:rsid w:val="00E35BB3"/>
    <w:rsid w:val="00E42FFF"/>
    <w:rsid w:val="00E45546"/>
    <w:rsid w:val="00E51F04"/>
    <w:rsid w:val="00E52D7D"/>
    <w:rsid w:val="00E52EA3"/>
    <w:rsid w:val="00E534E7"/>
    <w:rsid w:val="00E55BFD"/>
    <w:rsid w:val="00E56322"/>
    <w:rsid w:val="00E568C8"/>
    <w:rsid w:val="00E625CB"/>
    <w:rsid w:val="00E62871"/>
    <w:rsid w:val="00E66E66"/>
    <w:rsid w:val="00E8098B"/>
    <w:rsid w:val="00E82704"/>
    <w:rsid w:val="00EA05C8"/>
    <w:rsid w:val="00EA3FB9"/>
    <w:rsid w:val="00EA40F9"/>
    <w:rsid w:val="00EA572E"/>
    <w:rsid w:val="00EB2478"/>
    <w:rsid w:val="00EC4DA1"/>
    <w:rsid w:val="00EC4F77"/>
    <w:rsid w:val="00ED502E"/>
    <w:rsid w:val="00EE1E62"/>
    <w:rsid w:val="00EE3312"/>
    <w:rsid w:val="00EF166B"/>
    <w:rsid w:val="00EF1F16"/>
    <w:rsid w:val="00F10F64"/>
    <w:rsid w:val="00F215CB"/>
    <w:rsid w:val="00F22CD0"/>
    <w:rsid w:val="00F3044D"/>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 w:type="character" w:customStyle="1" w:styleId="fontstyle01">
    <w:name w:val="fontstyle01"/>
    <w:basedOn w:val="Fuentedeprrafopredeter"/>
    <w:rsid w:val="0086189A"/>
    <w:rPr>
      <w:rFonts w:ascii="MathematicalPi-One" w:hAnsi="MathematicalPi-One" w:hint="default"/>
      <w:b w:val="0"/>
      <w:bCs w:val="0"/>
      <w:i w:val="0"/>
      <w:iCs w:val="0"/>
      <w:color w:val="24202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3B645098-8E23-46A4-B19B-2F62A091D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11375</TotalTime>
  <Pages>1</Pages>
  <Words>50455</Words>
  <Characters>277506</Characters>
  <Application>Microsoft Office Word</Application>
  <DocSecurity>0</DocSecurity>
  <Lines>2312</Lines>
  <Paragraphs>654</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327307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135</cp:revision>
  <cp:lastPrinted>2018-10-10T04:01:00Z</cp:lastPrinted>
  <dcterms:created xsi:type="dcterms:W3CDTF">2018-10-07T08:04:00Z</dcterms:created>
  <dcterms:modified xsi:type="dcterms:W3CDTF">2018-11-06T02:00:00Z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