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1133CE" w:rsidRDefault="002F238E" w:rsidP="002323D7">
      <w:pPr>
        <w:spacing w:after="0" w:line="360" w:lineRule="auto"/>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1</w:t>
      </w:r>
      <w:r w:rsidRPr="001133CE">
        <w:rPr>
          <w:rFonts w:cs="Arial"/>
          <w:szCs w:val="24"/>
        </w:rPr>
        <w:fldChar w:fldCharType="end"/>
      </w:r>
      <w:r w:rsidR="00B0369A" w:rsidRPr="001133CE">
        <w:rPr>
          <w:rFonts w:cs="Arial"/>
          <w:szCs w:val="24"/>
          <w:lang w:val="es-MX"/>
        </w:rPr>
        <w:t xml:space="preserve"> Análisis F</w:t>
      </w:r>
      <w:r w:rsidR="001A04A0" w:rsidRPr="001133CE">
        <w:rPr>
          <w:rFonts w:cs="Arial"/>
          <w:szCs w:val="24"/>
          <w:lang w:val="es-MX"/>
        </w:rPr>
        <w:t>i</w:t>
      </w:r>
      <w:r w:rsidR="00B0369A" w:rsidRPr="001133CE">
        <w:rPr>
          <w:rFonts w:cs="Arial"/>
          <w:szCs w:val="24"/>
          <w:lang w:val="es-MX"/>
        </w:rPr>
        <w:t>logenético Molecular por el método de Máximo Likelihood (ML)</w:t>
      </w:r>
      <w:r w:rsidR="00F66A6C" w:rsidRPr="001133CE">
        <w:rPr>
          <w:rFonts w:cs="Arial"/>
          <w:szCs w:val="24"/>
          <w:lang w:val="es-MX"/>
        </w:rPr>
        <w:t xml:space="preserve">. </w:t>
      </w:r>
      <w:r w:rsidR="001A04A0" w:rsidRPr="001133CE">
        <w:rPr>
          <w:rFonts w:cs="Arial"/>
          <w:szCs w:val="24"/>
          <w:lang w:val="es-MX"/>
        </w:rPr>
        <w:t xml:space="preserve"> </w:t>
      </w:r>
      <w:r w:rsidR="00B0369A" w:rsidRPr="001133CE">
        <w:rPr>
          <w:rFonts w:cs="Arial"/>
          <w:szCs w:val="24"/>
          <w:lang w:val="es-MX"/>
        </w:rPr>
        <w:t xml:space="preserve">La </w:t>
      </w:r>
      <w:r w:rsidR="001A04A0" w:rsidRPr="001133CE">
        <w:rPr>
          <w:rFonts w:cs="Arial"/>
          <w:szCs w:val="24"/>
          <w:lang w:val="es-MX"/>
        </w:rPr>
        <w:t>historia evolucionaria</w:t>
      </w:r>
      <w:r w:rsidR="00B0369A" w:rsidRPr="001133CE">
        <w:rPr>
          <w:rFonts w:cs="Arial"/>
          <w:szCs w:val="24"/>
          <w:lang w:val="es-MX"/>
        </w:rPr>
        <w:t xml:space="preserve"> de las Subunidades G</w:t>
      </w:r>
      <w:r w:rsidR="00B0369A" w:rsidRPr="001133CE">
        <w:rPr>
          <w:rFonts w:cs="Arial"/>
          <w:szCs w:val="24"/>
        </w:rPr>
        <w:t>α</w:t>
      </w:r>
      <w:r w:rsidR="00B0369A" w:rsidRPr="001133CE">
        <w:rPr>
          <w:rFonts w:cs="Arial"/>
          <w:szCs w:val="24"/>
          <w:lang w:val="es-MX"/>
        </w:rPr>
        <w:t xml:space="preserve"> heterotriméricas present</w:t>
      </w:r>
      <w:r w:rsidR="0073196C" w:rsidRPr="001133CE">
        <w:rPr>
          <w:rFonts w:cs="Arial"/>
          <w:szCs w:val="24"/>
          <w:lang w:val="es-MX"/>
        </w:rPr>
        <w:t>e</w:t>
      </w:r>
      <w:r w:rsidR="00B0369A" w:rsidRPr="001133CE">
        <w:rPr>
          <w:rFonts w:cs="Arial"/>
          <w:szCs w:val="24"/>
          <w:lang w:val="es-MX"/>
        </w:rPr>
        <w:t>s en ascomicetos fue inferida usando el m</w:t>
      </w:r>
      <w:r w:rsidR="00EC4DA1" w:rsidRPr="001133CE">
        <w:rPr>
          <w:rFonts w:cs="Arial"/>
          <w:szCs w:val="24"/>
          <w:lang w:val="es-MX"/>
        </w:rPr>
        <w:t>é</w:t>
      </w:r>
      <w:r w:rsidR="00B0369A" w:rsidRPr="001133CE">
        <w:rPr>
          <w:rFonts w:cs="Arial"/>
          <w:szCs w:val="24"/>
          <w:lang w:val="es-MX"/>
        </w:rPr>
        <w:t xml:space="preserve">todo de ML con base en el modelo de corrección de Poisson.  </w:t>
      </w:r>
      <w:r w:rsidR="0073196C" w:rsidRPr="001133CE">
        <w:rPr>
          <w:rFonts w:cs="Arial"/>
          <w:szCs w:val="24"/>
          <w:lang w:val="es-MX"/>
        </w:rPr>
        <w:t>El á</w:t>
      </w:r>
      <w:r w:rsidR="00B0369A" w:rsidRPr="001133CE">
        <w:rPr>
          <w:rFonts w:cs="Arial"/>
          <w:szCs w:val="24"/>
          <w:lang w:val="es-MX"/>
        </w:rPr>
        <w:t xml:space="preserve">rbol consenso obtenido por bootstrap realizando 100 </w:t>
      </w:r>
      <w:r w:rsidR="001A04A0" w:rsidRPr="001133CE">
        <w:rPr>
          <w:rFonts w:cs="Arial"/>
          <w:szCs w:val="24"/>
          <w:lang w:val="es-MX"/>
        </w:rPr>
        <w:t>réplicas</w:t>
      </w:r>
      <w:r w:rsidR="00B0369A" w:rsidRPr="001133CE">
        <w:rPr>
          <w:rFonts w:cs="Arial"/>
          <w:szCs w:val="24"/>
          <w:lang w:val="es-MX"/>
        </w:rPr>
        <w:t>, es tomado como representación de la historia evolutiva de las Gα de los taxa analizados</w:t>
      </w:r>
      <w:r w:rsidR="001A04A0" w:rsidRPr="001133CE">
        <w:rPr>
          <w:rFonts w:cs="Arial"/>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1DD57461" w14:textId="2AA32FF9"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F871C8" w:rsidRPr="001133CE">
        <w:rPr>
          <w:rFonts w:cs="Arial"/>
          <w:szCs w:val="24"/>
          <w:lang w:val="es-MX"/>
        </w:rPr>
        <w:t>El análisis molecular refleja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29758154"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 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1D704800" w:rsidR="009500A6" w:rsidRPr="001133CE"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7D5E63C6" w14:textId="407D9D4E" w:rsidR="00C72456" w:rsidRPr="001133CE" w:rsidRDefault="00C72456" w:rsidP="002323D7">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00091E1B"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sidR="00096D42">
        <w:rPr>
          <w:rFonts w:eastAsia="Times New Roman" w:cs="Arial"/>
          <w:szCs w:val="24"/>
          <w:lang w:val="es-ES" w:eastAsia="es-MX"/>
        </w:rPr>
        <w:t xml:space="preserve">  </w:t>
      </w:r>
      <w:r w:rsidR="008E7700">
        <w:rPr>
          <w:rFonts w:eastAsia="Times New Roman" w:cs="Arial"/>
          <w:szCs w:val="24"/>
          <w:lang w:val="es-ES" w:eastAsia="es-MX"/>
        </w:rPr>
        <w:fldChar w:fldCharType="begin" w:fldLock="1"/>
      </w:r>
      <w:r w:rsidR="008E7700">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8E7700">
        <w:rPr>
          <w:rFonts w:eastAsia="Times New Roman" w:cs="Arial"/>
          <w:szCs w:val="24"/>
          <w:lang w:val="es-ES" w:eastAsia="es-MX"/>
        </w:rPr>
        <w:fldChar w:fldCharType="separate"/>
      </w:r>
      <w:r w:rsidR="008E7700" w:rsidRPr="008E7700">
        <w:rPr>
          <w:rFonts w:eastAsia="Times New Roman" w:cs="Arial"/>
          <w:noProof/>
          <w:szCs w:val="24"/>
          <w:lang w:val="es-ES" w:eastAsia="es-MX"/>
        </w:rPr>
        <w:t>[40]</w:t>
      </w:r>
      <w:r w:rsidR="008E7700">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sidR="008B6FC9">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sidR="008B6FC9">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1B84DFC4" w14:textId="69752CD3" w:rsidR="004F3734" w:rsidRDefault="008B6FC9" w:rsidP="002323D7">
      <w:pPr>
        <w:spacing w:after="0" w:line="360" w:lineRule="auto"/>
        <w:rPr>
          <w:rFonts w:eastAsia="Times New Roman" w:cs="Arial"/>
          <w:szCs w:val="24"/>
          <w:lang w:val="es-ES" w:eastAsia="es-MX"/>
        </w:rPr>
      </w:pPr>
      <w:r>
        <w:rPr>
          <w:rFonts w:eastAsia="Times New Roman" w:cs="Arial"/>
          <w:szCs w:val="24"/>
          <w:lang w:val="es-ES" w:eastAsia="es-MX"/>
        </w:rPr>
        <w:t>La luz interviene en la biosíntesis de pigmentos que actúan como antioxidantes, como en el caso de los carotenos cuya biosíntesis es inducida por luz azul en N. crassa, donde este pigmento proporciona resistencia a estrés oxidativo, la acumulaci</w:t>
      </w:r>
      <w:r w:rsidR="004F3734">
        <w:rPr>
          <w:rFonts w:eastAsia="Times New Roman" w:cs="Arial"/>
          <w:szCs w:val="24"/>
          <w:lang w:val="es-ES" w:eastAsia="es-MX"/>
        </w:rPr>
        <w:t>ón de é</w:t>
      </w:r>
      <w:r>
        <w:rPr>
          <w:rFonts w:eastAsia="Times New Roman" w:cs="Arial"/>
          <w:szCs w:val="24"/>
          <w:lang w:val="es-ES" w:eastAsia="es-MX"/>
        </w:rPr>
        <w:t xml:space="preserve">ste </w:t>
      </w:r>
      <w:r w:rsidR="004F3734">
        <w:rPr>
          <w:rFonts w:eastAsia="Times New Roman" w:cs="Arial"/>
          <w:szCs w:val="24"/>
          <w:lang w:val="es-ES" w:eastAsia="es-MX"/>
        </w:rPr>
        <w:t>pigmento,</w:t>
      </w:r>
      <w:r>
        <w:rPr>
          <w:rFonts w:eastAsia="Times New Roman" w:cs="Arial"/>
          <w:szCs w:val="24"/>
          <w:lang w:val="es-ES" w:eastAsia="es-MX"/>
        </w:rPr>
        <w:t xml:space="preserve"> así como la producción de conidios se ha encontrado relacionada a niveles </w:t>
      </w:r>
      <w:r w:rsidR="004F3734">
        <w:rPr>
          <w:rFonts w:eastAsia="Times New Roman" w:cs="Arial"/>
          <w:szCs w:val="24"/>
          <w:lang w:val="es-ES" w:eastAsia="es-MX"/>
        </w:rPr>
        <w:t>bajos de cAMP, lo que expl</w:t>
      </w:r>
      <w:r w:rsidR="00043A31">
        <w:rPr>
          <w:rFonts w:eastAsia="Times New Roman" w:cs="Arial"/>
          <w:szCs w:val="24"/>
          <w:lang w:val="es-ES" w:eastAsia="es-MX"/>
        </w:rPr>
        <w:t>ica porque las cepas con deleció</w:t>
      </w:r>
      <w:r w:rsidR="004F3734">
        <w:rPr>
          <w:rFonts w:eastAsia="Times New Roman" w:cs="Arial"/>
          <w:szCs w:val="24"/>
          <w:lang w:val="es-ES" w:eastAsia="es-MX"/>
        </w:rPr>
        <w:t xml:space="preserve">n gna-1 tienen un mayor crecimiento vegetativo que las de señal Gα activa, es de aclarar que el desarrollo del micelio aéreo es mayor cuando los niveles de cAMP son altos, por lo que </w:t>
      </w:r>
      <w:r w:rsidR="001964AB">
        <w:rPr>
          <w:rFonts w:eastAsia="Times New Roman" w:cs="Arial"/>
          <w:szCs w:val="24"/>
          <w:lang w:val="es-ES" w:eastAsia="es-MX"/>
        </w:rPr>
        <w:t>las mutaciones constitutivamente activas gna1R178c y gna1Q204L aumen</w:t>
      </w:r>
      <w:r w:rsidR="004F3734">
        <w:rPr>
          <w:rFonts w:eastAsia="Times New Roman" w:cs="Arial"/>
          <w:szCs w:val="24"/>
          <w:lang w:val="es-ES" w:eastAsia="es-MX"/>
        </w:rPr>
        <w:t>ta cAMP respecto a la cepa silvestre.</w:t>
      </w:r>
      <w:r w:rsidR="001964AB">
        <w:rPr>
          <w:rFonts w:eastAsia="Times New Roman" w:cs="Arial"/>
          <w:szCs w:val="24"/>
          <w:lang w:val="es-ES" w:eastAsia="es-MX"/>
        </w:rPr>
        <w:t xml:space="preserve"> </w:t>
      </w:r>
    </w:p>
    <w:p w14:paraId="535AFA2D" w14:textId="6027761D" w:rsidR="0086189A" w:rsidRDefault="0086189A" w:rsidP="002323D7">
      <w:pPr>
        <w:spacing w:after="0" w:line="360" w:lineRule="auto"/>
        <w:rPr>
          <w:rFonts w:eastAsia="Times New Roman" w:cs="Arial"/>
          <w:szCs w:val="24"/>
          <w:lang w:val="es-ES" w:eastAsia="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sidR="009B5FEF">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w:t>
      </w:r>
      <w:r w:rsidR="001426F1">
        <w:rPr>
          <w:rFonts w:eastAsia="Times New Roman" w:cs="Arial"/>
          <w:szCs w:val="24"/>
          <w:lang w:val="es-ES" w:eastAsia="es-MX"/>
        </w:rPr>
        <w:t xml:space="preserve">  En N crassa se han encontrado enzimas que degradan las especies ROS como </w:t>
      </w:r>
      <w:r w:rsidR="001426F1">
        <w:rPr>
          <w:rFonts w:cs="Arial"/>
          <w:szCs w:val="24"/>
          <w:lang w:val="es-MX"/>
        </w:rPr>
        <w:t>SOD-CuZn</w:t>
      </w:r>
      <w:r w:rsidR="001E0D3E">
        <w:rPr>
          <w:rFonts w:cs="Arial"/>
          <w:szCs w:val="24"/>
          <w:lang w:val="es-MX"/>
        </w:rPr>
        <w:t xml:space="preserve"> codificada por el gen dos-1, enzima que</w:t>
      </w:r>
      <w:r w:rsidR="00043A31">
        <w:rPr>
          <w:rFonts w:cs="Arial"/>
          <w:szCs w:val="24"/>
          <w:lang w:val="es-MX"/>
        </w:rPr>
        <w:t xml:space="preserve"> </w:t>
      </w:r>
      <w:r w:rsidR="001E0D3E">
        <w:rPr>
          <w:rFonts w:cs="Arial"/>
          <w:szCs w:val="24"/>
          <w:lang w:val="es-MX"/>
        </w:rPr>
        <w:t>al estar ausente,</w:t>
      </w:r>
      <w:r w:rsidR="001426F1">
        <w:rPr>
          <w:rFonts w:cs="Arial"/>
          <w:szCs w:val="24"/>
          <w:lang w:val="es-MX"/>
        </w:rPr>
        <w:t xml:space="preserve"> aumenta la sensibilidad a paraquat</w:t>
      </w:r>
      <w:r w:rsidR="00043A31">
        <w:rPr>
          <w:rFonts w:cs="Arial"/>
          <w:szCs w:val="24"/>
          <w:lang w:val="es-MX"/>
        </w:rPr>
        <w:t>.</w:t>
      </w:r>
    </w:p>
    <w:p w14:paraId="0FFE8E4C" w14:textId="1CF9FA50" w:rsidR="001426F1" w:rsidRPr="006B75DC" w:rsidRDefault="0086189A" w:rsidP="002323D7">
      <w:pPr>
        <w:spacing w:after="0" w:line="360" w:lineRule="auto"/>
        <w:rPr>
          <w:rFonts w:cs="Arial"/>
          <w:i/>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 (SOD),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7FA1AC7C" w14:textId="616C66A1" w:rsidR="005564BF" w:rsidRDefault="005564BF" w:rsidP="002323D7">
      <w:pPr>
        <w:spacing w:after="0" w:line="360" w:lineRule="auto"/>
        <w:rPr>
          <w:rFonts w:eastAsia="Times New Roman" w:cs="Arial"/>
          <w:szCs w:val="24"/>
          <w:lang w:val="es-ES" w:eastAsia="es-MX"/>
        </w:rPr>
      </w:pPr>
      <w:r>
        <w:rPr>
          <w:rFonts w:eastAsia="Times New Roman" w:cs="Arial"/>
          <w:szCs w:val="24"/>
          <w:lang w:val="es-ES" w:eastAsia="es-MX"/>
        </w:rPr>
        <w:t>STRE dependientes de cAMP aparecen durante el estrés pero se desconoce como regulan los genes de respuesta a estrés, no explican la expresión de todos los genes de respuesta a estrés</w:t>
      </w:r>
    </w:p>
    <w:p w14:paraId="61DA7234" w14:textId="77777777" w:rsidR="005564BF" w:rsidRDefault="005564BF" w:rsidP="002323D7">
      <w:pPr>
        <w:spacing w:after="0" w:line="360" w:lineRule="auto"/>
        <w:rPr>
          <w:rFonts w:eastAsia="Times New Roman" w:cs="Arial"/>
          <w:szCs w:val="24"/>
          <w:lang w:val="es-ES" w:eastAsia="es-MX"/>
        </w:rPr>
      </w:pPr>
    </w:p>
    <w:p w14:paraId="4150EBAE" w14:textId="75AA6907" w:rsidR="0050653E" w:rsidRDefault="00F94969" w:rsidP="002323D7">
      <w:pPr>
        <w:spacing w:after="0" w:line="360" w:lineRule="auto"/>
        <w:rPr>
          <w:rFonts w:eastAsia="Times New Roman" w:cs="Arial"/>
          <w:szCs w:val="24"/>
          <w:lang w:val="es-MX" w:eastAsia="es-MX"/>
        </w:rPr>
      </w:pPr>
      <w:r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6FAAE984" w14:textId="77777777"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7DA809F0"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9B5FEF">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[47]","plainTextFormattedCitation":"[47]","previouslyFormattedCitation":"[48]"},"properties":{"noteIndex":0},"schema":"https://github.com/citation-style-language/schema/raw/master/csl-citation.json"}</w:instrText>
      </w:r>
      <w:r w:rsidRPr="001133CE">
        <w:rPr>
          <w:rFonts w:cs="Arial"/>
          <w:szCs w:val="24"/>
          <w:lang w:val="es-MX"/>
        </w:rPr>
        <w:fldChar w:fldCharType="separate"/>
      </w:r>
      <w:r w:rsidR="009B5FEF" w:rsidRPr="009B5FEF">
        <w:rPr>
          <w:rFonts w:cs="Arial"/>
          <w:noProof/>
          <w:szCs w:val="24"/>
          <w:lang w:val="es-MX"/>
        </w:rPr>
        <w:t>[47]</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hyperosmótico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931A6C" w:rsidRPr="001133CE">
        <w:rPr>
          <w:rFonts w:cs="Arial"/>
          <w:szCs w:val="24"/>
          <w:lang w:val="es-MX"/>
        </w:rPr>
        <w:t xml:space="preserve"> condiciones hypero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9B5FEF">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[48]","plainTextFormattedCitation":"[48]","previouslyFormattedCitation":"[49]"},"properties":{"noteIndex":0},"schema":"https://github.com/citation-style-language/schema/raw/master/csl-citation.json"}</w:instrText>
      </w:r>
      <w:r w:rsidR="00B634A1" w:rsidRPr="001133CE">
        <w:rPr>
          <w:rFonts w:cs="Arial"/>
          <w:szCs w:val="24"/>
          <w:lang w:val="es-ES"/>
        </w:rPr>
        <w:fldChar w:fldCharType="separate"/>
      </w:r>
      <w:r w:rsidR="009B5FEF" w:rsidRPr="009B5FEF">
        <w:rPr>
          <w:rFonts w:cs="Arial"/>
          <w:noProof/>
          <w:szCs w:val="24"/>
          <w:lang w:val="es-ES"/>
        </w:rPr>
        <w:t>[48]</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9B5FEF">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[49]","plainTextFormattedCitation":"[49]","previouslyFormattedCitation":"[50]"},"properties":{"noteIndex":0},"schema":"https://github.com/citation-style-language/schema/raw/master/csl-citation.json"}</w:instrText>
      </w:r>
      <w:r w:rsidR="005D4591" w:rsidRPr="001133CE">
        <w:rPr>
          <w:rFonts w:cs="Arial"/>
          <w:szCs w:val="24"/>
          <w:lang w:val="es-MX"/>
        </w:rPr>
        <w:fldChar w:fldCharType="separate"/>
      </w:r>
      <w:r w:rsidR="009B5FEF" w:rsidRPr="009B5FEF">
        <w:rPr>
          <w:rFonts w:cs="Arial"/>
          <w:noProof/>
          <w:szCs w:val="24"/>
          <w:lang w:val="es-MX"/>
        </w:rPr>
        <w:t>[49]</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7343008D" w14:textId="68D07EB9" w:rsidR="002323D7" w:rsidRDefault="000A2E22" w:rsidP="002323D7">
      <w:pPr>
        <w:spacing w:after="0" w:line="360" w:lineRule="auto"/>
        <w:rPr>
          <w:rFonts w:cs="Arial"/>
          <w:szCs w:val="24"/>
          <w:highlight w:val="yellow"/>
          <w:lang w:val="es-MX"/>
        </w:rPr>
      </w:pPr>
      <w:r w:rsidRPr="001133CE">
        <w:rPr>
          <w:rFonts w:cs="Arial"/>
          <w:szCs w:val="24"/>
          <w:highlight w:val="yellow"/>
          <w:lang w:val="es-MX"/>
        </w:rPr>
        <w:t>Se ha observado que, bajo estrés osmótico, los hongos filamentosos expresan las chaperonas x y z.</w:t>
      </w:r>
    </w:p>
    <w:p w14:paraId="219A651D" w14:textId="77777777" w:rsidR="002323D7" w:rsidRDefault="002323D7">
      <w:pPr>
        <w:rPr>
          <w:rFonts w:cs="Arial"/>
          <w:szCs w:val="24"/>
          <w:highlight w:val="yellow"/>
          <w:lang w:val="es-MX"/>
        </w:rPr>
      </w:pPr>
      <w:r>
        <w:rPr>
          <w:rFonts w:cs="Arial"/>
          <w:szCs w:val="24"/>
          <w:highlight w:val="yellow"/>
          <w:lang w:val="es-MX"/>
        </w:rPr>
        <w:br w:type="page"/>
      </w:r>
    </w:p>
    <w:p w14:paraId="5B0F23A2" w14:textId="13FC5736" w:rsidR="009636BC" w:rsidRPr="001133CE"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468FEB45" w14:textId="0F060AC9" w:rsidR="00F6028E" w:rsidRPr="001133CE" w:rsidRDefault="003607B4" w:rsidP="002323D7">
      <w:pPr>
        <w:spacing w:after="0" w:line="360" w:lineRule="auto"/>
        <w:rPr>
          <w:rFonts w:cs="Arial"/>
          <w:szCs w:val="24"/>
          <w:lang w:val="es-MX"/>
        </w:rPr>
      </w:pPr>
      <w:r w:rsidRPr="001133CE">
        <w:rPr>
          <w:rFonts w:cs="Arial"/>
          <w:szCs w:val="24"/>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00F6028E"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00F6028E"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00F6028E"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2049510F" w:rsidR="00F6028E" w:rsidRPr="001133CE" w:rsidRDefault="000A1A66" w:rsidP="002323D7">
      <w:pPr>
        <w:spacing w:after="0" w:line="360" w:lineRule="auto"/>
        <w:rPr>
          <w:rFonts w:cs="Arial"/>
          <w:szCs w:val="24"/>
          <w:lang w:val="es-MX"/>
        </w:rPr>
      </w:pPr>
      <w:r w:rsidRPr="001133CE">
        <w:rPr>
          <w:rFonts w:cs="Arial"/>
          <w:szCs w:val="24"/>
          <w:lang w:val="es-MX"/>
        </w:rPr>
        <w:t xml:space="preserve">Elgen pks-1 codificane de la poliquetido sintasa, es esencial en la biosíntesis de 1,8 dihidroxinaftaleno o melanina en c globosum cuando el gna-1 de la proteína Gα del subgrupo 1 es interrumpido, disminuye la acción de pks-1 afectando la producción de melanina, asi como afecta el normal desarrollo de peritecios o inhibe totalmente su formación  </w:t>
      </w:r>
    </w:p>
    <w:p w14:paraId="564B4D5F" w14:textId="415988FC" w:rsidR="00F6028E" w:rsidRPr="001133CE" w:rsidRDefault="00F6028E" w:rsidP="002323D7">
      <w:pPr>
        <w:spacing w:after="0" w:line="360" w:lineRule="auto"/>
        <w:rPr>
          <w:rFonts w:cs="Arial"/>
          <w:szCs w:val="24"/>
          <w:lang w:val="es-MX"/>
        </w:rPr>
      </w:pPr>
    </w:p>
    <w:p w14:paraId="76210579" w14:textId="77777777" w:rsidR="00C41E1D" w:rsidRPr="001133CE" w:rsidRDefault="00C41E1D" w:rsidP="002323D7">
      <w:pPr>
        <w:spacing w:after="0" w:line="240" w:lineRule="auto"/>
        <w:rPr>
          <w:rFonts w:cs="Arial"/>
          <w:szCs w:val="24"/>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159CE93A"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9B5FEF">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[50]","plainTextFormattedCitation":"[50]","previouslyFormattedCitation":"[51]"},"properties":{"noteIndex":0},"schema":"https://github.com/citation-style-language/schema/raw/master/csl-citation.json"}</w:instrText>
      </w:r>
      <w:r w:rsidR="007D5144" w:rsidRPr="001133CE">
        <w:rPr>
          <w:rFonts w:cs="Arial"/>
          <w:szCs w:val="24"/>
          <w:lang w:val="es-MX"/>
        </w:rPr>
        <w:fldChar w:fldCharType="separate"/>
      </w:r>
      <w:r w:rsidR="009B5FEF" w:rsidRPr="009B5FEF">
        <w:rPr>
          <w:rFonts w:cs="Arial"/>
          <w:noProof/>
          <w:szCs w:val="24"/>
          <w:lang w:val="es-MX"/>
        </w:rPr>
        <w:t>[50]</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77FF9AAC"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9B5FEF">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[51]","plainTextFormattedCitation":"[51]","previouslyFormattedCitation":"[52]"},"properties":{"noteIndex":0},"schema":"https://github.com/citation-style-language/schema/raw/master/csl-citation.json"}</w:instrText>
      </w:r>
      <w:r w:rsidR="000F254B" w:rsidRPr="001133CE">
        <w:rPr>
          <w:rFonts w:cs="Arial"/>
          <w:szCs w:val="24"/>
          <w:lang w:val="es-MX"/>
        </w:rPr>
        <w:fldChar w:fldCharType="separate"/>
      </w:r>
      <w:r w:rsidR="009B5FEF" w:rsidRPr="009B5FEF">
        <w:rPr>
          <w:rFonts w:cs="Arial"/>
          <w:noProof/>
          <w:szCs w:val="24"/>
          <w:lang w:val="es-MX"/>
        </w:rPr>
        <w:t>[51]</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9B5FEF">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Fungi","type":"article-journal","volume":"2015"},"uris":["http://www.mendeley.com/documents/?uuid=fd2fbf7c-b624-31a5-8cbf-f8e02efd1533"]}],"mendeley":{"formattedCitation":"[52], [53]","plainTextFormattedCitation":"[52], [53]","previouslyFormattedCitation":"[53], [54]"},"properties":{"noteIndex":0},"schema":"https://github.com/citation-style-language/schema/raw/master/csl-citation.json"}</w:instrText>
      </w:r>
      <w:r w:rsidR="003648A3" w:rsidRPr="001133CE">
        <w:rPr>
          <w:rFonts w:cs="Arial"/>
          <w:szCs w:val="24"/>
          <w:lang w:val="es-MX"/>
        </w:rPr>
        <w:fldChar w:fldCharType="separate"/>
      </w:r>
      <w:r w:rsidR="009B5FEF" w:rsidRPr="009B5FEF">
        <w:rPr>
          <w:rFonts w:cs="Arial"/>
          <w:noProof/>
          <w:szCs w:val="24"/>
          <w:lang w:val="es-MX"/>
        </w:rPr>
        <w:t>[52], [53]</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9B5FEF">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[54]","plainTextFormattedCitation":"[54]","previouslyFormattedCitation":"[55]"},"properties":{"noteIndex":0},"schema":"https://github.com/citation-style-language/schema/raw/master/csl-citation.json"}</w:instrText>
      </w:r>
      <w:r w:rsidR="00401EC1" w:rsidRPr="001133CE">
        <w:rPr>
          <w:rFonts w:cs="Arial"/>
          <w:szCs w:val="24"/>
          <w:lang w:val="es-MX"/>
        </w:rPr>
        <w:fldChar w:fldCharType="separate"/>
      </w:r>
      <w:r w:rsidR="009B5FEF" w:rsidRPr="009B5FEF">
        <w:rPr>
          <w:rFonts w:cs="Arial"/>
          <w:noProof/>
          <w:szCs w:val="24"/>
          <w:lang w:val="es-MX"/>
        </w:rPr>
        <w:t>[54]</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9B5FEF">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[54]","plainTextFormattedCitation":"[54]","previouslyFormattedCitation":"[55]"},"properties":{"noteIndex":0},"schema":"https://github.com/citation-style-language/schema/raw/master/csl-citation.json"}</w:instrText>
      </w:r>
      <w:r w:rsidR="00401EC1" w:rsidRPr="001133CE">
        <w:rPr>
          <w:rFonts w:cs="Arial"/>
          <w:szCs w:val="24"/>
          <w:lang w:val="es-MX"/>
        </w:rPr>
        <w:fldChar w:fldCharType="separate"/>
      </w:r>
      <w:r w:rsidR="009B5FEF" w:rsidRPr="009B5FEF">
        <w:rPr>
          <w:rFonts w:cs="Arial"/>
          <w:noProof/>
          <w:szCs w:val="24"/>
          <w:lang w:val="es-MX"/>
        </w:rPr>
        <w:t>[54]</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9B5FEF">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[55]","plainTextFormattedCitation":"[55]","previouslyFormattedCitation":"[56]"},"properties":{"noteIndex":0},"schema":"https://github.com/citation-style-language/schema/raw/master/csl-citation.json"}</w:instrText>
      </w:r>
      <w:r w:rsidR="00E8098B" w:rsidRPr="001133CE">
        <w:rPr>
          <w:rFonts w:cs="Arial"/>
          <w:szCs w:val="24"/>
          <w:lang w:val="es-MX"/>
        </w:rPr>
        <w:fldChar w:fldCharType="separate"/>
      </w:r>
      <w:r w:rsidR="009B5FEF" w:rsidRPr="009B5FEF">
        <w:rPr>
          <w:rFonts w:cs="Arial"/>
          <w:noProof/>
          <w:szCs w:val="24"/>
          <w:lang w:val="es-MX"/>
        </w:rPr>
        <w:t>[55]</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9B5FEF">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[56]","plainTextFormattedCitation":"[56]","previouslyFormattedCitation":"[57]"},"properties":{"noteIndex":0},"schema":"https://github.com/citation-style-language/schema/raw/master/csl-citation.json"}</w:instrText>
      </w:r>
      <w:r w:rsidR="004B3499" w:rsidRPr="001133CE">
        <w:rPr>
          <w:rFonts w:cs="Arial"/>
          <w:szCs w:val="24"/>
          <w:lang w:val="es-MX"/>
        </w:rPr>
        <w:fldChar w:fldCharType="separate"/>
      </w:r>
      <w:r w:rsidR="009B5FEF" w:rsidRPr="009B5FEF">
        <w:rPr>
          <w:rFonts w:cs="Arial"/>
          <w:noProof/>
          <w:szCs w:val="24"/>
          <w:lang w:val="es-MX"/>
        </w:rPr>
        <w:t>[56]</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9B5FEF">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[57]","plainTextFormattedCitation":"[57]","previouslyFormattedCitation":"[58]"},"properties":{"noteIndex":0},"schema":"https://github.com/citation-style-language/schema/raw/master/csl-citation.json"}</w:instrText>
      </w:r>
      <w:r w:rsidR="00E8098B" w:rsidRPr="001133CE">
        <w:rPr>
          <w:rFonts w:cs="Arial"/>
          <w:szCs w:val="24"/>
          <w:lang w:val="es-MX"/>
        </w:rPr>
        <w:fldChar w:fldCharType="separate"/>
      </w:r>
      <w:r w:rsidR="009B5FEF" w:rsidRPr="009B5FEF">
        <w:rPr>
          <w:rFonts w:cs="Arial"/>
          <w:noProof/>
          <w:szCs w:val="24"/>
          <w:lang w:val="es-MX"/>
        </w:rPr>
        <w:t>[57]</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9B5FEF">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[58]–[60]","plainTextFormattedCitation":"[58]–[60]","previouslyFormattedCitation":"[59]–[61]"},"properties":{"noteIndex":0},"schema":"https://github.com/citation-style-language/schema/raw/master/csl-citation.json"}</w:instrText>
      </w:r>
      <w:r w:rsidR="006209A6" w:rsidRPr="001133CE">
        <w:rPr>
          <w:rFonts w:cs="Arial"/>
          <w:szCs w:val="24"/>
          <w:lang w:val="es-MX"/>
        </w:rPr>
        <w:fldChar w:fldCharType="separate"/>
      </w:r>
      <w:r w:rsidR="009B5FEF" w:rsidRPr="009B5FEF">
        <w:rPr>
          <w:rFonts w:cs="Arial"/>
          <w:noProof/>
          <w:szCs w:val="24"/>
          <w:lang w:val="es-MX"/>
        </w:rPr>
        <w:t>[58]–[60]</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66FE8CDE"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9B5FEF">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pathway","type":"report","volume":"17"},"uris":["http://www.mendeley.com/documents/?uuid=df094feb-b8ab-399c-afd3-1cb67dd943d3"]}],"mendeley":{"formattedCitation":"[61], [62]","plainTextFormattedCitation":"[61], [62]","previouslyFormattedCitation":"[62], [63]"},"properties":{"noteIndex":0},"schema":"https://github.com/citation-style-language/schema/raw/master/csl-citation.json"}</w:instrText>
      </w:r>
      <w:r w:rsidR="007C4766" w:rsidRPr="001133CE">
        <w:rPr>
          <w:rFonts w:cs="Arial"/>
          <w:szCs w:val="24"/>
          <w:lang w:val="es-MX"/>
        </w:rPr>
        <w:fldChar w:fldCharType="separate"/>
      </w:r>
      <w:r w:rsidR="009B5FEF" w:rsidRPr="009B5FEF">
        <w:rPr>
          <w:rFonts w:cs="Arial"/>
          <w:noProof/>
          <w:szCs w:val="24"/>
          <w:lang w:val="es-MX"/>
        </w:rPr>
        <w:t>[61], [62]</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9B5FEF">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[63]","plainTextFormattedCitation":"[63]","previouslyFormattedCitation":"[64]"},"properties":{"noteIndex":0},"schema":"https://github.com/citation-style-language/schema/raw/master/csl-citation.json"}</w:instrText>
      </w:r>
      <w:r w:rsidR="00B462FF" w:rsidRPr="001133CE">
        <w:rPr>
          <w:rFonts w:cs="Arial"/>
          <w:szCs w:val="24"/>
          <w:lang w:val="es-MX"/>
        </w:rPr>
        <w:fldChar w:fldCharType="separate"/>
      </w:r>
      <w:r w:rsidR="009B5FEF" w:rsidRPr="009B5FEF">
        <w:rPr>
          <w:rFonts w:cs="Arial"/>
          <w:noProof/>
          <w:szCs w:val="24"/>
          <w:lang w:val="es-MX"/>
        </w:rPr>
        <w:t>[63]</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9B5FEF">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[64]","plainTextFormattedCitation":"[64]","previouslyFormattedCitation":"[65]"},"properties":{"noteIndex":0},"schema":"https://github.com/citation-style-language/schema/raw/master/csl-citation.json"}</w:instrText>
      </w:r>
      <w:r w:rsidR="00DB1184" w:rsidRPr="001133CE">
        <w:rPr>
          <w:rFonts w:cs="Arial"/>
          <w:szCs w:val="24"/>
          <w:lang w:val="es-MX"/>
        </w:rPr>
        <w:fldChar w:fldCharType="separate"/>
      </w:r>
      <w:r w:rsidR="009B5FEF" w:rsidRPr="009B5FEF">
        <w:rPr>
          <w:rFonts w:cs="Arial"/>
          <w:noProof/>
          <w:szCs w:val="24"/>
          <w:lang w:val="es-MX"/>
        </w:rPr>
        <w:t>[64]</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9B5FEF">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[62]","plainTextFormattedCitation":"[62]","previouslyFormattedCitation":"[63]"},"properties":{"noteIndex":0},"schema":"https://github.com/citation-style-language/schema/raw/master/csl-citation.json"}</w:instrText>
      </w:r>
      <w:r w:rsidR="00D36E0B" w:rsidRPr="001133CE">
        <w:rPr>
          <w:rFonts w:cs="Arial"/>
          <w:szCs w:val="24"/>
          <w:lang w:val="es-MX"/>
        </w:rPr>
        <w:fldChar w:fldCharType="separate"/>
      </w:r>
      <w:r w:rsidR="009B5FEF" w:rsidRPr="009B5FEF">
        <w:rPr>
          <w:rFonts w:cs="Arial"/>
          <w:noProof/>
          <w:szCs w:val="24"/>
          <w:lang w:val="es-MX"/>
        </w:rPr>
        <w:t>[62]</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9B5FEF">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[65]","plainTextFormattedCitation":"[65]","previouslyFormattedCitation":"[66]"},"properties":{"noteIndex":0},"schema":"https://github.com/citation-style-language/schema/raw/master/csl-citation.json"}</w:instrText>
      </w:r>
      <w:r w:rsidR="00686192" w:rsidRPr="001133CE">
        <w:rPr>
          <w:rFonts w:cs="Arial"/>
          <w:szCs w:val="24"/>
          <w:lang w:val="es-MX"/>
        </w:rPr>
        <w:fldChar w:fldCharType="separate"/>
      </w:r>
      <w:r w:rsidR="009B5FEF" w:rsidRPr="009B5FEF">
        <w:rPr>
          <w:rFonts w:cs="Arial"/>
          <w:noProof/>
          <w:szCs w:val="24"/>
          <w:lang w:val="es-MX"/>
        </w:rPr>
        <w:t>[65]</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1133CE">
        <w:rPr>
          <w:rFonts w:cs="Arial"/>
          <w:noProof/>
          <w:szCs w:val="24"/>
        </w:rPr>
        <w:t>[22], [29], [40]</w:t>
      </w:r>
      <w:r w:rsidR="0030023B" w:rsidRPr="001133CE">
        <w:rPr>
          <w:rFonts w:cs="Arial"/>
          <w:szCs w:val="24"/>
          <w:lang w:val="es-MX"/>
        </w:rPr>
        <w:fldChar w:fldCharType="end"/>
      </w:r>
      <w:r w:rsidR="00D85026" w:rsidRPr="001133CE">
        <w:rPr>
          <w:rFonts w:cs="Arial"/>
          <w:szCs w:val="24"/>
        </w:rPr>
        <w:t xml:space="preserve">, </w:t>
      </w:r>
      <w:r w:rsidR="00393CA3" w:rsidRPr="004A7D39">
        <w:rPr>
          <w:rFonts w:cs="Arial"/>
          <w:i/>
          <w:szCs w:val="24"/>
        </w:rPr>
        <w:t>F. oxysporum</w:t>
      </w:r>
      <w:r w:rsidR="00393CA3" w:rsidRPr="001133CE">
        <w:rPr>
          <w:rFonts w:cs="Arial"/>
          <w:szCs w:val="24"/>
        </w:rPr>
        <w:t xml:space="preserve"> </w:t>
      </w:r>
      <w:r w:rsidR="00393CA3" w:rsidRPr="001133CE">
        <w:rPr>
          <w:rFonts w:cs="Arial"/>
          <w:szCs w:val="24"/>
          <w:lang w:val="es-MX"/>
        </w:rPr>
        <w:fldChar w:fldCharType="begin" w:fldLock="1"/>
      </w:r>
      <w:r w:rsidR="009B5FEF">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[64]","plainTextFormattedCitation":"[64]","previouslyFormattedCitation":"[65]"},"properties":{"noteIndex":0},"schema":"https://github.com/citation-style-language/schema/raw/master/csl-citation.json"}</w:instrText>
      </w:r>
      <w:r w:rsidR="00393CA3" w:rsidRPr="001133CE">
        <w:rPr>
          <w:rFonts w:cs="Arial"/>
          <w:szCs w:val="24"/>
          <w:lang w:val="es-MX"/>
        </w:rPr>
        <w:fldChar w:fldCharType="separate"/>
      </w:r>
      <w:r w:rsidR="009B5FEF" w:rsidRPr="009B5FEF">
        <w:rPr>
          <w:rFonts w:cs="Arial"/>
          <w:noProof/>
          <w:szCs w:val="24"/>
        </w:rPr>
        <w:t>[64]</w:t>
      </w:r>
      <w:r w:rsidR="00393CA3" w:rsidRPr="001133CE">
        <w:rPr>
          <w:rFonts w:cs="Arial"/>
          <w:szCs w:val="24"/>
          <w:lang w:val="es-MX"/>
        </w:rPr>
        <w:fldChar w:fldCharType="end"/>
      </w:r>
      <w:r w:rsidR="004A7D39">
        <w:rPr>
          <w:rFonts w:cs="Arial"/>
          <w:szCs w:val="24"/>
        </w:rPr>
        <w:t xml:space="preserve"> </w:t>
      </w:r>
      <w:r w:rsidR="004A7D39" w:rsidRPr="004A7D39">
        <w:rPr>
          <w:rFonts w:cs="Arial"/>
          <w:color w:val="FF0000"/>
          <w:szCs w:val="24"/>
        </w:rPr>
        <w:t>entre otros</w:t>
      </w:r>
      <w:r w:rsidR="00E568C8" w:rsidRPr="001133CE">
        <w:rPr>
          <w:rFonts w:cs="Arial"/>
          <w:szCs w:val="24"/>
        </w:rPr>
        <w:t>.</w:t>
      </w:r>
      <w:r w:rsidR="00223DF4" w:rsidRPr="001133CE">
        <w:rPr>
          <w:rFonts w:cs="Arial"/>
          <w:szCs w:val="24"/>
        </w:rPr>
        <w:t xml:space="preserve"> </w:t>
      </w:r>
      <w:r w:rsidR="00223DF4" w:rsidRPr="009B5FEF">
        <w:rPr>
          <w:rFonts w:cs="Arial"/>
          <w:szCs w:val="24"/>
        </w:rPr>
        <w:t xml:space="preserve">Los estudios realizados en las </w:t>
      </w:r>
      <w:r w:rsidR="003A62DA" w:rsidRPr="009B5FEF">
        <w:rPr>
          <w:rFonts w:cs="Arial"/>
          <w:szCs w:val="24"/>
        </w:rPr>
        <w:t xml:space="preserve">tres especies del </w:t>
      </w:r>
      <w:r w:rsidR="003675BE" w:rsidRPr="009B5FEF">
        <w:rPr>
          <w:rFonts w:cs="Arial"/>
          <w:szCs w:val="24"/>
        </w:rPr>
        <w:t xml:space="preserve">género </w:t>
      </w:r>
      <w:r w:rsidR="003675BE" w:rsidRPr="009B5FEF">
        <w:rPr>
          <w:rFonts w:cs="Arial"/>
          <w:i/>
          <w:szCs w:val="24"/>
        </w:rPr>
        <w:t>Penicillium</w:t>
      </w:r>
      <w:r w:rsidR="004A7D39" w:rsidRPr="009B5FEF">
        <w:rPr>
          <w:rFonts w:cs="Arial"/>
          <w:szCs w:val="24"/>
        </w:rPr>
        <w:t xml:space="preserve"> </w:t>
      </w:r>
      <w:r w:rsidR="004A7D39" w:rsidRPr="009B5FEF">
        <w:rPr>
          <w:rFonts w:cs="Arial"/>
          <w:i/>
          <w:szCs w:val="24"/>
        </w:rPr>
        <w:t>sp</w:t>
      </w:r>
      <w:r w:rsidR="003675BE" w:rsidRPr="009B5FEF">
        <w:rPr>
          <w:rFonts w:cs="Arial"/>
          <w:szCs w:val="24"/>
        </w:rPr>
        <w:t>,</w:t>
      </w:r>
      <w:r w:rsidR="003A62DA" w:rsidRPr="009B5FEF">
        <w:rPr>
          <w:rFonts w:cs="Arial"/>
          <w:szCs w:val="24"/>
        </w:rPr>
        <w:t xml:space="preserve"> </w:t>
      </w:r>
      <w:r w:rsidR="00223DF4" w:rsidRPr="009B5FEF">
        <w:rPr>
          <w:rFonts w:cs="Arial"/>
          <w:szCs w:val="24"/>
        </w:rPr>
        <w:t xml:space="preserve">han revelado </w:t>
      </w:r>
      <w:r w:rsidR="00835AEF" w:rsidRPr="009B5FEF">
        <w:rPr>
          <w:rFonts w:cs="Arial"/>
          <w:szCs w:val="24"/>
        </w:rPr>
        <w:t>respuestas</w:t>
      </w:r>
      <w:r w:rsidR="003675BE" w:rsidRPr="009B5FEF">
        <w:rPr>
          <w:rFonts w:cs="Arial"/>
          <w:szCs w:val="24"/>
        </w:rPr>
        <w:t xml:space="preserve"> </w:t>
      </w:r>
      <w:r w:rsidR="00835AEF" w:rsidRPr="009B5FEF">
        <w:rPr>
          <w:rFonts w:cs="Arial"/>
          <w:szCs w:val="24"/>
        </w:rPr>
        <w:t xml:space="preserve">idénticas </w:t>
      </w:r>
      <w:r w:rsidR="003675BE" w:rsidRPr="009B5FEF">
        <w:rPr>
          <w:rFonts w:cs="Arial"/>
          <w:szCs w:val="24"/>
        </w:rPr>
        <w:t>a</w:t>
      </w:r>
      <w:r w:rsidR="008D77EA" w:rsidRPr="009B5FEF">
        <w:rPr>
          <w:rFonts w:cs="Arial"/>
          <w:szCs w:val="24"/>
        </w:rPr>
        <w:t>l</w:t>
      </w:r>
      <w:r w:rsidR="003675BE" w:rsidRPr="009B5FEF">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9B5FEF">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[66]","plainTextFormattedCitation":"[66]","previouslyFormattedCitation":"[67]"},"properties":{"noteIndex":0},"schema":"https://github.com/citation-style-language/schema/raw/master/csl-citation.json"}</w:instrText>
      </w:r>
      <w:r w:rsidR="008D77EA" w:rsidRPr="001133CE">
        <w:rPr>
          <w:rFonts w:cs="Arial"/>
          <w:szCs w:val="24"/>
          <w:lang w:val="es-MX"/>
        </w:rPr>
        <w:fldChar w:fldCharType="separate"/>
      </w:r>
      <w:r w:rsidR="009B5FEF" w:rsidRPr="009B5FEF">
        <w:rPr>
          <w:rFonts w:cs="Arial"/>
          <w:noProof/>
          <w:szCs w:val="24"/>
          <w:lang w:val="es-MX"/>
        </w:rPr>
        <w:t>[66]</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594ABB8A" w:rsidR="00DA5853" w:rsidRPr="001133CE"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9B5FEF">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9B5FEF" w:rsidRPr="009B5FEF">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[67]","plainTextFormattedCitation":"[67]","previouslyFormattedCitation":"[68]"},"properties":{"noteIndex":0},"schema":"https://github.com/citation-style-language/schema/raw/master/csl-citation.json"}</w:instrText>
      </w:r>
      <w:r w:rsidR="0036291D" w:rsidRPr="001133CE">
        <w:rPr>
          <w:rFonts w:cs="Arial"/>
          <w:szCs w:val="24"/>
          <w:lang w:val="es-ES"/>
        </w:rPr>
        <w:fldChar w:fldCharType="separate"/>
      </w:r>
      <w:r w:rsidR="009B5FEF" w:rsidRPr="009B5FEF">
        <w:rPr>
          <w:rFonts w:cs="Arial"/>
          <w:noProof/>
          <w:szCs w:val="24"/>
        </w:rPr>
        <w:t>[67]</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9B5FEF">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[68]","plainTextFormattedCitation":"[68]","previouslyFormattedCitation":"[69]"},"properties":{"noteIndex":0},"schema":"https://github.com/citation-style-language/schema/raw/master/csl-citation.json"}</w:instrText>
      </w:r>
      <w:r w:rsidR="0036291D" w:rsidRPr="001133CE">
        <w:rPr>
          <w:rFonts w:cs="Arial"/>
          <w:szCs w:val="24"/>
          <w:lang w:val="es-ES"/>
        </w:rPr>
        <w:fldChar w:fldCharType="separate"/>
      </w:r>
      <w:r w:rsidR="009B5FEF" w:rsidRPr="009B5FEF">
        <w:rPr>
          <w:rFonts w:cs="Arial"/>
          <w:noProof/>
          <w:szCs w:val="24"/>
        </w:rPr>
        <w:t>[68]</w:t>
      </w:r>
      <w:r w:rsidR="0036291D" w:rsidRPr="001133CE">
        <w:rPr>
          <w:rFonts w:cs="Arial"/>
          <w:szCs w:val="24"/>
          <w:lang w:val="es-ES"/>
        </w:rPr>
        <w:fldChar w:fldCharType="end"/>
      </w:r>
      <w:r w:rsidR="00F47170" w:rsidRPr="009B5FEF">
        <w:rPr>
          <w:rFonts w:cs="Arial"/>
          <w:szCs w:val="24"/>
        </w:rPr>
        <w:t xml:space="preserve">), respectivamente, de </w:t>
      </w:r>
      <w:r w:rsidR="00F47170" w:rsidRPr="009B5FEF">
        <w:rPr>
          <w:rFonts w:cs="Arial"/>
          <w:i/>
          <w:szCs w:val="24"/>
        </w:rPr>
        <w:t>S. cerevisiae</w:t>
      </w:r>
      <w:r w:rsidR="00E42FFF" w:rsidRPr="009B5FEF">
        <w:rPr>
          <w:rFonts w:cs="Arial"/>
          <w:szCs w:val="24"/>
        </w:rPr>
        <w:t>, mostrando más del 70% de identidad</w:t>
      </w:r>
      <w:r w:rsidR="0096048C" w:rsidRPr="009B5FEF">
        <w:rPr>
          <w:rFonts w:cs="Arial"/>
          <w:szCs w:val="24"/>
        </w:rPr>
        <w:t xml:space="preserve"> en sus secuencias</w:t>
      </w:r>
      <w:r w:rsidR="007D0ADA" w:rsidRPr="009B5FEF">
        <w:rPr>
          <w:rFonts w:cs="Arial"/>
          <w:szCs w:val="24"/>
        </w:rPr>
        <w:t xml:space="preserve"> (Figura </w:t>
      </w:r>
      <w:r w:rsidR="00B713D3" w:rsidRPr="009B5FEF">
        <w:rPr>
          <w:rFonts w:cs="Arial"/>
          <w:szCs w:val="24"/>
        </w:rPr>
        <w:t>4</w:t>
      </w:r>
      <w:r w:rsidR="007D0ADA" w:rsidRPr="009B5FEF">
        <w:rPr>
          <w:rFonts w:cs="Arial"/>
          <w:szCs w:val="24"/>
        </w:rPr>
        <w:t>)</w:t>
      </w:r>
      <w:r w:rsidR="00E82704" w:rsidRPr="009B5FEF">
        <w:rPr>
          <w:rFonts w:cs="Arial"/>
          <w:szCs w:val="24"/>
        </w:rPr>
        <w:t xml:space="preserve">. </w:t>
      </w:r>
      <w:r w:rsidR="00E82704" w:rsidRPr="001133CE">
        <w:rPr>
          <w:rFonts w:cs="Arial"/>
          <w:szCs w:val="24"/>
          <w:lang w:val="es-MX"/>
        </w:rPr>
        <w:t>Por otro lado, en se observa un efecto opuesto cuando la subunidad Gα Pga1 se encuentra constitutivamente activa, provocando sensibilidad</w:t>
      </w:r>
    </w:p>
    <w:p w14:paraId="572096E4" w14:textId="00BE2BA6"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 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77777777" w:rsidR="00DA5853" w:rsidRPr="001133CE" w:rsidRDefault="00DA5853" w:rsidP="002323D7">
      <w:pPr>
        <w:spacing w:after="0" w:line="360" w:lineRule="auto"/>
        <w:rPr>
          <w:rFonts w:cs="Arial"/>
          <w:szCs w:val="24"/>
          <w:lang w:val="es-MX"/>
        </w:rPr>
      </w:pP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bookmarkStart w:id="0" w:name="_GoBack"/>
      <w:bookmarkEnd w:id="0"/>
    </w:p>
    <w:p w14:paraId="0CAF1CCD" w14:textId="77777777"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[69]","plainTextFormattedCitation":"[69]","previouslyFormattedCitation":"[47]"},"properties":{"noteIndex":0},"schema":"https://github.com/citation-style-language/schema/raw/master/csl-citation.json"}</w:instrText>
      </w:r>
      <w:r w:rsidRPr="001133CE">
        <w:rPr>
          <w:rFonts w:eastAsia="Times New Roman" w:cs="Arial"/>
          <w:szCs w:val="24"/>
          <w:lang w:val="es-MX" w:eastAsia="es-MX"/>
        </w:rPr>
        <w:fldChar w:fldCharType="separate"/>
      </w:r>
      <w:r w:rsidRPr="009B5FEF">
        <w:rPr>
          <w:rFonts w:eastAsia="Times New Roman" w:cs="Arial"/>
          <w:noProof/>
          <w:szCs w:val="24"/>
          <w:lang w:val="es-MX" w:eastAsia="es-MX"/>
        </w:rPr>
        <w:t>[69]</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Default="00B934EF" w:rsidP="002323D7">
      <w:pPr>
        <w:spacing w:after="0" w:line="360" w:lineRule="auto"/>
      </w:pPr>
      <w:r w:rsidRPr="001133CE">
        <w:br w:type="page"/>
      </w:r>
    </w:p>
    <w:p w14:paraId="7091AD27" w14:textId="352154FD" w:rsidR="00096D42" w:rsidRDefault="00096D42" w:rsidP="002323D7">
      <w:pPr>
        <w:pStyle w:val="Ttulo1"/>
        <w:spacing w:before="0" w:line="360" w:lineRule="auto"/>
      </w:pPr>
      <w:r w:rsidRPr="001133CE">
        <w:t>REFERENCIAS</w:t>
      </w:r>
    </w:p>
    <w:p w14:paraId="455DB38F" w14:textId="0DF2D9F7" w:rsidR="009B5FEF" w:rsidRPr="009B5FEF" w:rsidRDefault="00B934EF" w:rsidP="002323D7">
      <w:pPr>
        <w:widowControl w:val="0"/>
        <w:autoSpaceDE w:val="0"/>
        <w:autoSpaceDN w:val="0"/>
        <w:adjustRightInd w:val="0"/>
        <w:spacing w:after="0" w:line="360" w:lineRule="auto"/>
        <w:ind w:hanging="640"/>
        <w:rPr>
          <w:rFonts w:cs="Arial"/>
          <w:noProof/>
          <w:szCs w:val="24"/>
        </w:rPr>
      </w:pPr>
      <w:r w:rsidRPr="001133CE">
        <w:rPr>
          <w:rFonts w:cs="Arial"/>
          <w:szCs w:val="24"/>
          <w:lang w:val="es-MX"/>
        </w:rPr>
        <w:fldChar w:fldCharType="begin" w:fldLock="1"/>
      </w:r>
      <w:r w:rsidRPr="001133CE">
        <w:rPr>
          <w:rFonts w:cs="Arial"/>
          <w:szCs w:val="24"/>
        </w:rPr>
        <w:instrText xml:space="preserve">ADDIN Mendeley Bibliography CSL_BIBLIOGRAPHY </w:instrText>
      </w:r>
      <w:r w:rsidRPr="001133CE">
        <w:rPr>
          <w:rFonts w:cs="Arial"/>
          <w:szCs w:val="24"/>
          <w:lang w:val="es-MX"/>
        </w:rPr>
        <w:fldChar w:fldCharType="separate"/>
      </w:r>
      <w:r w:rsidR="009B5FEF" w:rsidRPr="009B5FEF">
        <w:rPr>
          <w:rFonts w:cs="Arial"/>
          <w:noProof/>
          <w:szCs w:val="24"/>
        </w:rPr>
        <w:t>[1]</w:t>
      </w:r>
      <w:r w:rsidR="009B5FEF" w:rsidRPr="009B5FEF">
        <w:rPr>
          <w:rFonts w:cs="Arial"/>
          <w:noProof/>
          <w:szCs w:val="24"/>
        </w:rPr>
        <w:tab/>
        <w:t xml:space="preserve">S. Ghorai, S. P. Banik, D. Verma, S. Chowdhury, S. Mukherjee, and S. Khowala, “Fungal biotechnology in food and feed processing,” </w:t>
      </w:r>
      <w:r w:rsidR="009B5FEF" w:rsidRPr="009B5FEF">
        <w:rPr>
          <w:rFonts w:cs="Arial"/>
          <w:i/>
          <w:iCs/>
          <w:noProof/>
          <w:szCs w:val="24"/>
        </w:rPr>
        <w:t>Food Res. Int.</w:t>
      </w:r>
      <w:r w:rsidR="009B5FEF" w:rsidRPr="009B5FEF">
        <w:rPr>
          <w:rFonts w:cs="Arial"/>
          <w:noProof/>
          <w:szCs w:val="24"/>
        </w:rPr>
        <w:t>, vol. 42, no. 5–6, pp. 577–587, Jun. 2009.</w:t>
      </w:r>
    </w:p>
    <w:p w14:paraId="36BE3BC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w:t>
      </w:r>
      <w:r w:rsidRPr="009B5FEF">
        <w:rPr>
          <w:rFonts w:cs="Arial"/>
          <w:noProof/>
          <w:szCs w:val="24"/>
        </w:rPr>
        <w:tab/>
        <w:t xml:space="preserve">F. Alberti, G. D. Foster, and A. M. Bailey, “Natural products from filamentous fungi and production by heterologous expression,” </w:t>
      </w:r>
      <w:r w:rsidRPr="009B5FEF">
        <w:rPr>
          <w:rFonts w:cs="Arial"/>
          <w:i/>
          <w:iCs/>
          <w:noProof/>
          <w:szCs w:val="24"/>
        </w:rPr>
        <w:t>Appl. Microbiol. Biotechnol.</w:t>
      </w:r>
    </w:p>
    <w:p w14:paraId="3B074DE7"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w:t>
      </w:r>
      <w:r w:rsidRPr="009B5FEF">
        <w:rPr>
          <w:rFonts w:cs="Arial"/>
          <w:noProof/>
          <w:szCs w:val="24"/>
        </w:rPr>
        <w:tab/>
        <w:t xml:space="preserve">V. Meyer </w:t>
      </w:r>
      <w:r w:rsidRPr="009B5FEF">
        <w:rPr>
          <w:rFonts w:cs="Arial"/>
          <w:i/>
          <w:iCs/>
          <w:noProof/>
          <w:szCs w:val="24"/>
        </w:rPr>
        <w:t>et al.</w:t>
      </w:r>
      <w:r w:rsidRPr="009B5FEF">
        <w:rPr>
          <w:rFonts w:cs="Arial"/>
          <w:noProof/>
          <w:szCs w:val="24"/>
        </w:rPr>
        <w:t xml:space="preserve">, “Current challenges of research on filamentous fungi in relation to human welfare and a sustainable bio-economy: a white paper Fungal Biology and Biotechnology,” </w:t>
      </w:r>
      <w:r w:rsidRPr="009B5FEF">
        <w:rPr>
          <w:rFonts w:cs="Arial"/>
          <w:i/>
          <w:iCs/>
          <w:noProof/>
          <w:szCs w:val="24"/>
        </w:rPr>
        <w:t>Fungal Biol. Biotechnol.</w:t>
      </w:r>
      <w:r w:rsidRPr="009B5FEF">
        <w:rPr>
          <w:rFonts w:cs="Arial"/>
          <w:noProof/>
          <w:szCs w:val="24"/>
        </w:rPr>
        <w:t>, vol. 3, p. 6, 2016.</w:t>
      </w:r>
    </w:p>
    <w:p w14:paraId="22447B40"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w:t>
      </w:r>
      <w:r w:rsidRPr="009B5FEF">
        <w:rPr>
          <w:rFonts w:cs="Arial"/>
          <w:noProof/>
          <w:szCs w:val="24"/>
        </w:rPr>
        <w:tab/>
        <w:t xml:space="preserve">S. Challa, S. G. Uppin, M. S. Uppin, U. Pamidimukkala, and L. Vemu, “Diagnosis of filamentous fungi on tissue sections by immunohistochemistry using anti-aspergillus antibody,” </w:t>
      </w:r>
      <w:r w:rsidRPr="009B5FEF">
        <w:rPr>
          <w:rFonts w:cs="Arial"/>
          <w:i/>
          <w:iCs/>
          <w:noProof/>
          <w:szCs w:val="24"/>
        </w:rPr>
        <w:t>Med. Mycol.</w:t>
      </w:r>
      <w:r w:rsidRPr="009B5FEF">
        <w:rPr>
          <w:rFonts w:cs="Arial"/>
          <w:noProof/>
          <w:szCs w:val="24"/>
        </w:rPr>
        <w:t>, vol. 53, pp. 470–476, 2015.</w:t>
      </w:r>
    </w:p>
    <w:p w14:paraId="3839020B"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w:t>
      </w:r>
      <w:r w:rsidRPr="009B5FEF">
        <w:rPr>
          <w:rFonts w:cs="Arial"/>
          <w:noProof/>
          <w:szCs w:val="24"/>
        </w:rPr>
        <w:tab/>
        <w:t xml:space="preserve">M. R. Islam, G. Tudryn, R. Bucinell, L. Schadler, and R. C. Picu, “Morphology and mechanics of fungal mycelium,” </w:t>
      </w:r>
      <w:r w:rsidRPr="009B5FEF">
        <w:rPr>
          <w:rFonts w:cs="Arial"/>
          <w:i/>
          <w:iCs/>
          <w:noProof/>
          <w:szCs w:val="24"/>
        </w:rPr>
        <w:t>Sci. Rep.</w:t>
      </w:r>
      <w:r w:rsidRPr="009B5FEF">
        <w:rPr>
          <w:rFonts w:cs="Arial"/>
          <w:noProof/>
          <w:szCs w:val="24"/>
        </w:rPr>
        <w:t>, vol. 7, no. 1, p. 13070, Dec. 2017.</w:t>
      </w:r>
    </w:p>
    <w:p w14:paraId="7E1037E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w:t>
      </w:r>
      <w:r w:rsidRPr="009B5FEF">
        <w:rPr>
          <w:rFonts w:cs="Arial"/>
          <w:noProof/>
          <w:szCs w:val="24"/>
        </w:rPr>
        <w:tab/>
        <w:t xml:space="preserve">L. H. Grimm, S. Kelly, R. Krull, and D. C. Hempel, “Morphology and productivity of filamentous fungi,” </w:t>
      </w:r>
      <w:r w:rsidRPr="009B5FEF">
        <w:rPr>
          <w:rFonts w:cs="Arial"/>
          <w:i/>
          <w:iCs/>
          <w:noProof/>
          <w:szCs w:val="24"/>
        </w:rPr>
        <w:t>Appl. Microbiol. Biotechnol.</w:t>
      </w:r>
      <w:r w:rsidRPr="009B5FEF">
        <w:rPr>
          <w:rFonts w:cs="Arial"/>
          <w:noProof/>
          <w:szCs w:val="24"/>
        </w:rPr>
        <w:t>, vol. 69, no. 4, pp. 375–384, Dec. 2005.</w:t>
      </w:r>
    </w:p>
    <w:p w14:paraId="4F3CDBC7"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[7]</w:t>
      </w:r>
      <w:r w:rsidRPr="009B5FEF">
        <w:rPr>
          <w:rFonts w:cs="Arial"/>
          <w:noProof/>
          <w:szCs w:val="24"/>
        </w:rPr>
        <w:tab/>
        <w:t xml:space="preserve">D. S. Hibbett </w:t>
      </w:r>
      <w:r w:rsidRPr="009B5FEF">
        <w:rPr>
          <w:rFonts w:cs="Arial"/>
          <w:i/>
          <w:iCs/>
          <w:noProof/>
          <w:szCs w:val="24"/>
        </w:rPr>
        <w:t>et al.</w:t>
      </w:r>
      <w:r w:rsidRPr="009B5FEF">
        <w:rPr>
          <w:rFonts w:cs="Arial"/>
          <w:noProof/>
          <w:szCs w:val="24"/>
        </w:rPr>
        <w:t xml:space="preserve">, “A higher-level phylogenetic classification of the Fungi,” </w:t>
      </w:r>
      <w:r w:rsidRPr="009B5FEF">
        <w:rPr>
          <w:rFonts w:cs="Arial"/>
          <w:i/>
          <w:iCs/>
          <w:noProof/>
          <w:szCs w:val="24"/>
        </w:rPr>
        <w:t>Mycol. Res.</w:t>
      </w:r>
      <w:r w:rsidRPr="009B5FEF">
        <w:rPr>
          <w:rFonts w:cs="Arial"/>
          <w:noProof/>
          <w:szCs w:val="24"/>
        </w:rPr>
        <w:t>, vol. 111, no. 5, pp. 509–547, May 2007.</w:t>
      </w:r>
    </w:p>
    <w:p w14:paraId="6CC832B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[8]</w:t>
      </w:r>
      <w:r w:rsidRPr="009B5FEF">
        <w:rPr>
          <w:rFonts w:cs="Arial"/>
          <w:noProof/>
          <w:szCs w:val="24"/>
        </w:rPr>
        <w:tab/>
        <w:t xml:space="preserve">M. V. Powers-Fletcher, B. A. Kendall, A. T. Griffin, and K. E. Hanson, “Filamentous Fungi,” in </w:t>
      </w:r>
      <w:r w:rsidRPr="009B5FEF">
        <w:rPr>
          <w:rFonts w:cs="Arial"/>
          <w:i/>
          <w:iCs/>
          <w:noProof/>
          <w:szCs w:val="24"/>
        </w:rPr>
        <w:t>Diagnostic Microbiology of the Immunocompromised Host, Second Edition</w:t>
      </w:r>
      <w:r w:rsidRPr="009B5FEF">
        <w:rPr>
          <w:rFonts w:cs="Arial"/>
          <w:noProof/>
          <w:szCs w:val="24"/>
        </w:rPr>
        <w:t>, vol. 4, no. 3, American Society of Microbiology, 2016, pp. 311–341.</w:t>
      </w:r>
    </w:p>
    <w:p w14:paraId="574F678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[9]</w:t>
      </w:r>
      <w:r w:rsidRPr="009B5FEF">
        <w:rPr>
          <w:rFonts w:cs="Arial"/>
          <w:noProof/>
          <w:szCs w:val="24"/>
        </w:rPr>
        <w:tab/>
        <w:t>H. Babich and G. Stotzky, “Abiotic Factors Affecting the Toxicity of Lead to Fungi,” 1979.</w:t>
      </w:r>
    </w:p>
    <w:p w14:paraId="1C42C0F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[10]</w:t>
      </w:r>
      <w:r w:rsidRPr="009B5FEF">
        <w:rPr>
          <w:rFonts w:cs="Arial"/>
          <w:noProof/>
          <w:szCs w:val="24"/>
        </w:rPr>
        <w:tab/>
        <w:t xml:space="preserve">T. Emri </w:t>
      </w:r>
      <w:r w:rsidRPr="009B5FEF">
        <w:rPr>
          <w:rFonts w:cs="Arial"/>
          <w:i/>
          <w:iCs/>
          <w:noProof/>
          <w:szCs w:val="24"/>
        </w:rPr>
        <w:t>et al.</w:t>
      </w:r>
      <w:r w:rsidRPr="009B5FEF">
        <w:rPr>
          <w:rFonts w:cs="Arial"/>
          <w:noProof/>
          <w:szCs w:val="24"/>
        </w:rPr>
        <w:t xml:space="preserve">, “Core oxidative stress response in Aspergillus nidulans,” </w:t>
      </w:r>
      <w:r w:rsidRPr="009B5FEF">
        <w:rPr>
          <w:rFonts w:cs="Arial"/>
          <w:i/>
          <w:iCs/>
          <w:noProof/>
          <w:szCs w:val="24"/>
        </w:rPr>
        <w:t>BMC Genomics</w:t>
      </w:r>
      <w:r w:rsidRPr="009B5FEF">
        <w:rPr>
          <w:rFonts w:cs="Arial"/>
          <w:noProof/>
          <w:szCs w:val="24"/>
        </w:rPr>
        <w:t>, vol. 16, no. 1, 2015.</w:t>
      </w:r>
    </w:p>
    <w:p w14:paraId="47F19C4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[11]</w:t>
      </w:r>
      <w:r w:rsidRPr="009B5FEF">
        <w:rPr>
          <w:rFonts w:cs="Arial"/>
          <w:noProof/>
          <w:szCs w:val="24"/>
        </w:rPr>
        <w:tab/>
        <w:t xml:space="preserve">D. Kültz, “MOLECULAR AND EVOLUTIONARY BASIS OF THE CELLULAR STRESS RESPONSE,” </w:t>
      </w:r>
      <w:r w:rsidRPr="009B5FEF">
        <w:rPr>
          <w:rFonts w:cs="Arial"/>
          <w:i/>
          <w:iCs/>
          <w:noProof/>
          <w:szCs w:val="24"/>
        </w:rPr>
        <w:t>Annu. Rev. Physiol.</w:t>
      </w:r>
      <w:r w:rsidRPr="009B5FEF">
        <w:rPr>
          <w:rFonts w:cs="Arial"/>
          <w:noProof/>
          <w:szCs w:val="24"/>
        </w:rPr>
        <w:t>, vol. 67, no. 1, pp. 225–257, Mar. 2005.</w:t>
      </w:r>
    </w:p>
    <w:p w14:paraId="1B05DDE9"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[12]</w:t>
      </w:r>
      <w:r w:rsidRPr="009B5FEF">
        <w:rPr>
          <w:rFonts w:cs="Arial"/>
          <w:noProof/>
          <w:szCs w:val="24"/>
        </w:rPr>
        <w:tab/>
        <w:t xml:space="preserve">D. Hagiwara, K. Sakamoto, K. Abe, and K. Gomi, “Signaling pathways for stress responses and adaptation in Aspergillus species: Stress biology in the post-genomic era,” </w:t>
      </w:r>
      <w:r w:rsidRPr="009B5FEF">
        <w:rPr>
          <w:rFonts w:cs="Arial"/>
          <w:i/>
          <w:iCs/>
          <w:noProof/>
          <w:szCs w:val="24"/>
        </w:rPr>
        <w:t>Biosci. Biotechnol. Biochem.</w:t>
      </w:r>
      <w:r w:rsidRPr="009B5FEF">
        <w:rPr>
          <w:rFonts w:cs="Arial"/>
          <w:noProof/>
          <w:szCs w:val="24"/>
        </w:rPr>
        <w:t>, vol. 80, no. 9, pp. 1667–1680, 2016.</w:t>
      </w:r>
    </w:p>
    <w:p w14:paraId="4B1F065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[13]</w:t>
      </w:r>
      <w:r w:rsidRPr="009B5FEF">
        <w:rPr>
          <w:rFonts w:cs="Arial"/>
          <w:noProof/>
          <w:szCs w:val="24"/>
        </w:rPr>
        <w:tab/>
        <w:t>M. I. Simon, M. P. Strathmann, and N. Gautam, “Diversity of Proteins in Signal Transduction,” vol. 252, no. 5007, pp. 802–808, 1991.</w:t>
      </w:r>
    </w:p>
    <w:p w14:paraId="00440C0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[14]</w:t>
      </w:r>
      <w:r w:rsidRPr="009B5FEF">
        <w:rPr>
          <w:rFonts w:cs="Arial"/>
          <w:noProof/>
          <w:szCs w:val="24"/>
        </w:rPr>
        <w:tab/>
        <w:t xml:space="preserve">S. Rens-Domiano and H. E. Hamm, “Structural and functional relationships of heterotrimeric G-proteins,” </w:t>
      </w:r>
      <w:r w:rsidRPr="009B5FEF">
        <w:rPr>
          <w:rFonts w:cs="Arial"/>
          <w:i/>
          <w:iCs/>
          <w:noProof/>
          <w:szCs w:val="24"/>
        </w:rPr>
        <w:t>Faseb J</w:t>
      </w:r>
      <w:r w:rsidRPr="009B5FEF">
        <w:rPr>
          <w:rFonts w:cs="Arial"/>
          <w:noProof/>
          <w:szCs w:val="24"/>
        </w:rPr>
        <w:t>, vol. 9, no. 11, pp. 1059–1066, 1995.</w:t>
      </w:r>
    </w:p>
    <w:p w14:paraId="4D8D639F"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[15]</w:t>
      </w:r>
      <w:r w:rsidRPr="009B5FEF">
        <w:rPr>
          <w:rFonts w:cs="Arial"/>
          <w:noProof/>
          <w:szCs w:val="24"/>
        </w:rPr>
        <w:tab/>
        <w:t xml:space="preserve">L. Li, S. J. Wright, S. Krystofova, G. Park, and K. A. Borkovich, “Heterotrimeric G Protein Signaling in Filamentous Fungi,” </w:t>
      </w:r>
      <w:r w:rsidRPr="009B5FEF">
        <w:rPr>
          <w:rFonts w:cs="Arial"/>
          <w:i/>
          <w:iCs/>
          <w:noProof/>
          <w:szCs w:val="24"/>
        </w:rPr>
        <w:t>Annu. Rev. Microbiol.</w:t>
      </w:r>
      <w:r w:rsidRPr="009B5FEF">
        <w:rPr>
          <w:rFonts w:cs="Arial"/>
          <w:noProof/>
          <w:szCs w:val="24"/>
        </w:rPr>
        <w:t>, vol. 61, no. 1, pp. 423–452, 2007.</w:t>
      </w:r>
    </w:p>
    <w:p w14:paraId="44339BC3"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[16]</w:t>
      </w:r>
      <w:r w:rsidRPr="009B5FEF">
        <w:rPr>
          <w:rFonts w:cs="Arial"/>
          <w:noProof/>
          <w:szCs w:val="24"/>
        </w:rPr>
        <w:tab/>
        <w:t xml:space="preserve">S. Liu and R. a Dean, “G protein alpha subunit genes control growth, development, and pathogenicity of Magnaporthe grisea.,” </w:t>
      </w:r>
      <w:r w:rsidRPr="009B5FEF">
        <w:rPr>
          <w:rFonts w:cs="Arial"/>
          <w:i/>
          <w:iCs/>
          <w:noProof/>
          <w:szCs w:val="24"/>
        </w:rPr>
        <w:t>Mol. Plant. Microbe. Interact.</w:t>
      </w:r>
      <w:r w:rsidRPr="009B5FEF">
        <w:rPr>
          <w:rFonts w:cs="Arial"/>
          <w:noProof/>
          <w:szCs w:val="24"/>
        </w:rPr>
        <w:t>, vol. 10, no. 9, pp. 1075–86, 1997.</w:t>
      </w:r>
    </w:p>
    <w:p w14:paraId="0AEB5744"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[17]</w:t>
      </w:r>
      <w:r w:rsidRPr="009B5FEF">
        <w:rPr>
          <w:rFonts w:cs="Arial"/>
          <w:noProof/>
          <w:szCs w:val="24"/>
        </w:rPr>
        <w:tab/>
        <w:t xml:space="preserve">Y. Liu </w:t>
      </w:r>
      <w:r w:rsidRPr="009B5FEF">
        <w:rPr>
          <w:rFonts w:cs="Arial"/>
          <w:i/>
          <w:iCs/>
          <w:noProof/>
          <w:szCs w:val="24"/>
        </w:rPr>
        <w:t>et al.</w:t>
      </w:r>
      <w:r w:rsidRPr="009B5FEF">
        <w:rPr>
          <w:rFonts w:cs="Arial"/>
          <w:noProof/>
          <w:szCs w:val="24"/>
        </w:rPr>
        <w:t xml:space="preserve">, “G Protein α Subunit GpaB is Required for Asexual Development, Aflatoxin Biosynthesis and Pathogenicity by Regulating cAMP Signaling in Aspergillus flavus.,” </w:t>
      </w:r>
      <w:r w:rsidRPr="009B5FEF">
        <w:rPr>
          <w:rFonts w:cs="Arial"/>
          <w:i/>
          <w:iCs/>
          <w:noProof/>
          <w:szCs w:val="24"/>
        </w:rPr>
        <w:t>Toxins (Basel).</w:t>
      </w:r>
      <w:r w:rsidRPr="009B5FEF">
        <w:rPr>
          <w:rFonts w:cs="Arial"/>
          <w:noProof/>
          <w:szCs w:val="24"/>
        </w:rPr>
        <w:t>, vol. 10, no. 3, Mar. 2018.</w:t>
      </w:r>
    </w:p>
    <w:p w14:paraId="017F93D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[18]</w:t>
      </w:r>
      <w:r w:rsidRPr="009B5FEF">
        <w:rPr>
          <w:rFonts w:cs="Arial"/>
          <w:noProof/>
          <w:szCs w:val="24"/>
        </w:rPr>
        <w:tab/>
        <w:t xml:space="preserve">M. Bölker, “Sex and crime: Heterotrimeric G proteins in fungal mating and pathogenesis,” </w:t>
      </w:r>
      <w:r w:rsidRPr="009B5FEF">
        <w:rPr>
          <w:rFonts w:cs="Arial"/>
          <w:i/>
          <w:iCs/>
          <w:noProof/>
          <w:szCs w:val="24"/>
        </w:rPr>
        <w:t>Fungal Genet. Biol.</w:t>
      </w:r>
      <w:r w:rsidRPr="009B5FEF">
        <w:rPr>
          <w:rFonts w:cs="Arial"/>
          <w:noProof/>
          <w:szCs w:val="24"/>
        </w:rPr>
        <w:t>, vol. 25, no. 3, pp. 143–156, 1998.</w:t>
      </w:r>
    </w:p>
    <w:p w14:paraId="165835B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[19]</w:t>
      </w:r>
      <w:r w:rsidRPr="009B5FEF">
        <w:rPr>
          <w:rFonts w:cs="Arial"/>
          <w:noProof/>
          <w:szCs w:val="24"/>
        </w:rPr>
        <w:tab/>
        <w:t>C. G. Alvaro and J. Thorner, “Heterotrimeric G Protein-coupled Receptor Signaling in Yeast Mating Pheromone Response *,” 2016.</w:t>
      </w:r>
    </w:p>
    <w:p w14:paraId="511087D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[20]</w:t>
      </w:r>
      <w:r w:rsidRPr="009B5FEF">
        <w:rPr>
          <w:rFonts w:cs="Arial"/>
          <w:noProof/>
          <w:szCs w:val="24"/>
        </w:rPr>
        <w:tab/>
        <w:t xml:space="preserve">G. M. TRUESDELL, Z. YANG, and M. B. DICKMAN, “A Gα subunit gene from the phytopathogenic fungus Colletotrichum trifolii is required for conidial germination,” </w:t>
      </w:r>
      <w:r w:rsidRPr="009B5FEF">
        <w:rPr>
          <w:rFonts w:cs="Arial"/>
          <w:i/>
          <w:iCs/>
          <w:noProof/>
          <w:szCs w:val="24"/>
        </w:rPr>
        <w:t>Physiol. Mol. Plant Pathol.</w:t>
      </w:r>
      <w:r w:rsidRPr="009B5FEF">
        <w:rPr>
          <w:rFonts w:cs="Arial"/>
          <w:noProof/>
          <w:szCs w:val="24"/>
        </w:rPr>
        <w:t>, vol. 56, no. 3, pp. 131–140, Mar. 2000.</w:t>
      </w:r>
    </w:p>
    <w:p w14:paraId="02372AF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[21]</w:t>
      </w:r>
      <w:r w:rsidRPr="009B5FEF">
        <w:rPr>
          <w:rFonts w:cs="Arial"/>
          <w:noProof/>
          <w:szCs w:val="24"/>
        </w:rPr>
        <w:tab/>
        <w:t xml:space="preserve">G. E. Turner and K. A. Borkovich, “Identification of a G protein α subunit from Neurospora crassa that is a member of the G(i) family,” </w:t>
      </w:r>
      <w:r w:rsidRPr="009B5FEF">
        <w:rPr>
          <w:rFonts w:cs="Arial"/>
          <w:i/>
          <w:iCs/>
          <w:noProof/>
          <w:szCs w:val="24"/>
        </w:rPr>
        <w:t>J. Biol. Chem.</w:t>
      </w:r>
      <w:r w:rsidRPr="009B5FEF">
        <w:rPr>
          <w:rFonts w:cs="Arial"/>
          <w:noProof/>
          <w:szCs w:val="24"/>
        </w:rPr>
        <w:t>, vol. 268, no. 20, pp. 14805–14811, 1993.</w:t>
      </w:r>
    </w:p>
    <w:p w14:paraId="19781336"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[22]</w:t>
      </w:r>
      <w:r w:rsidRPr="009B5FEF">
        <w:rPr>
          <w:rFonts w:cs="Arial"/>
          <w:noProof/>
          <w:szCs w:val="24"/>
        </w:rPr>
        <w:tab/>
        <w:t xml:space="preserve">F. D. Ivey, P. N. Hodge, G. E. Turner, and K. A. Borkovich, “The G alpha i homologue gna-1 controls multiple differentiation pathways in Neurospora crassa,” </w:t>
      </w:r>
      <w:r w:rsidRPr="009B5FEF">
        <w:rPr>
          <w:rFonts w:cs="Arial"/>
          <w:i/>
          <w:iCs/>
          <w:noProof/>
          <w:szCs w:val="24"/>
        </w:rPr>
        <w:t>Mol Biol Cell</w:t>
      </w:r>
      <w:r w:rsidRPr="009B5FEF">
        <w:rPr>
          <w:rFonts w:cs="Arial"/>
          <w:noProof/>
          <w:szCs w:val="24"/>
        </w:rPr>
        <w:t>, vol. 7, no. 8, pp. 1283–1297, 1996.</w:t>
      </w:r>
    </w:p>
    <w:p w14:paraId="2E85AB0E"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[23]</w:t>
      </w:r>
      <w:r w:rsidRPr="009B5FEF">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9B5FEF">
        <w:rPr>
          <w:rFonts w:cs="Arial"/>
          <w:i/>
          <w:iCs/>
          <w:noProof/>
          <w:szCs w:val="24"/>
        </w:rPr>
        <w:t>Fungal Genet. Biol.</w:t>
      </w:r>
      <w:r w:rsidRPr="009B5FEF">
        <w:rPr>
          <w:rFonts w:cs="Arial"/>
          <w:noProof/>
          <w:szCs w:val="24"/>
        </w:rPr>
        <w:t>, vol. 48, no. 6, pp. 631–640, 2011.</w:t>
      </w:r>
    </w:p>
    <w:p w14:paraId="58FFF78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[24]</w:t>
      </w:r>
      <w:r w:rsidRPr="009B5FEF">
        <w:rPr>
          <w:rFonts w:cs="Arial"/>
          <w:noProof/>
          <w:szCs w:val="24"/>
        </w:rPr>
        <w:tab/>
        <w:t xml:space="preserve">E. Regenfelder, T. Spellig, A. Hartmann, S. Lauenstein, M. Bölker, and R. Kahmann, “G proteins in Ustilago maydis: transmission of multiple signals?,” </w:t>
      </w:r>
      <w:r w:rsidRPr="009B5FEF">
        <w:rPr>
          <w:rFonts w:cs="Arial"/>
          <w:i/>
          <w:iCs/>
          <w:noProof/>
          <w:szCs w:val="24"/>
        </w:rPr>
        <w:t>EMBO J.</w:t>
      </w:r>
      <w:r w:rsidRPr="009B5FEF">
        <w:rPr>
          <w:rFonts w:cs="Arial"/>
          <w:noProof/>
          <w:szCs w:val="24"/>
        </w:rPr>
        <w:t>, vol. 16, no. 8, pp. 1934–1942, Apr. 1997.</w:t>
      </w:r>
    </w:p>
    <w:p w14:paraId="6EC8B04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[25]</w:t>
      </w:r>
      <w:r w:rsidRPr="009B5FEF">
        <w:rPr>
          <w:rFonts w:cs="Arial"/>
          <w:noProof/>
          <w:szCs w:val="24"/>
        </w:rPr>
        <w:tab/>
        <w:t xml:space="preserve">H. Liu, A. Suresh, F. S. Willard, D. P. Siderovski, S. Lu, and N. I. Naqvi, “Rgs1 regulates multiple Gα subunits in Magnaporthe pathogenesis, asexual growth and thigmotropism,” </w:t>
      </w:r>
      <w:r w:rsidRPr="009B5FEF">
        <w:rPr>
          <w:rFonts w:cs="Arial"/>
          <w:i/>
          <w:iCs/>
          <w:noProof/>
          <w:szCs w:val="24"/>
        </w:rPr>
        <w:t>EMBO J.</w:t>
      </w:r>
      <w:r w:rsidRPr="009B5FEF">
        <w:rPr>
          <w:rFonts w:cs="Arial"/>
          <w:noProof/>
          <w:szCs w:val="24"/>
        </w:rPr>
        <w:t>, vol. 26, no. 3, pp. 690–700, Feb. 2007.</w:t>
      </w:r>
    </w:p>
    <w:p w14:paraId="241FFF7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[26]</w:t>
      </w:r>
      <w:r w:rsidRPr="009B5FEF">
        <w:rPr>
          <w:rFonts w:cs="Arial"/>
          <w:noProof/>
          <w:szCs w:val="24"/>
        </w:rPr>
        <w:tab/>
        <w:t xml:space="preserve">D. M. Berman, T. M. Wilkie, and A. G. Gilman, “GAIP and RGS4 are GTPase-activating proteins for the G(i) subfamily of G protein α subunits,” </w:t>
      </w:r>
      <w:r w:rsidRPr="009B5FEF">
        <w:rPr>
          <w:rFonts w:cs="Arial"/>
          <w:i/>
          <w:iCs/>
          <w:noProof/>
          <w:szCs w:val="24"/>
        </w:rPr>
        <w:t>Cell</w:t>
      </w:r>
      <w:r w:rsidRPr="009B5FEF">
        <w:rPr>
          <w:rFonts w:cs="Arial"/>
          <w:noProof/>
          <w:szCs w:val="24"/>
        </w:rPr>
        <w:t>, vol. 86, no. 3, pp. 445–452, 1996.</w:t>
      </w:r>
    </w:p>
    <w:p w14:paraId="7A9775E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[27]</w:t>
      </w:r>
      <w:r w:rsidRPr="009B5FEF">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9B5FEF">
        <w:rPr>
          <w:rFonts w:cs="Arial"/>
          <w:i/>
          <w:iCs/>
          <w:noProof/>
          <w:szCs w:val="24"/>
        </w:rPr>
        <w:t>Mol. Microbiol.</w:t>
      </w:r>
      <w:r w:rsidRPr="009B5FEF">
        <w:rPr>
          <w:rFonts w:cs="Arial"/>
          <w:noProof/>
          <w:szCs w:val="24"/>
        </w:rPr>
        <w:t>, vol. 53, no. 2, pp. 529–540, 2004.</w:t>
      </w:r>
    </w:p>
    <w:p w14:paraId="1F940A2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[28]</w:t>
      </w:r>
      <w:r w:rsidRPr="009B5FEF">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9B5FEF">
        <w:rPr>
          <w:rFonts w:cs="Arial"/>
          <w:i/>
          <w:iCs/>
          <w:noProof/>
          <w:szCs w:val="24"/>
        </w:rPr>
        <w:t>Eukaryot. Cell</w:t>
      </w:r>
      <w:r w:rsidRPr="009B5FEF">
        <w:rPr>
          <w:rFonts w:cs="Arial"/>
          <w:noProof/>
          <w:szCs w:val="24"/>
        </w:rPr>
        <w:t>, vol. 1, no. 3, pp. 440–447, 2002.</w:t>
      </w:r>
    </w:p>
    <w:p w14:paraId="0D57043E"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[29]</w:t>
      </w:r>
      <w:r w:rsidRPr="009B5FEF">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9B5FEF">
        <w:rPr>
          <w:rFonts w:cs="Arial"/>
          <w:i/>
          <w:iCs/>
          <w:noProof/>
          <w:szCs w:val="24"/>
        </w:rPr>
        <w:t>Eukaryot. Cell</w:t>
      </w:r>
      <w:r w:rsidRPr="009B5FEF">
        <w:rPr>
          <w:rFonts w:cs="Arial"/>
          <w:noProof/>
          <w:szCs w:val="24"/>
        </w:rPr>
        <w:t>, vol. 1, no. 4, pp. 634–642, 2002.</w:t>
      </w:r>
    </w:p>
    <w:p w14:paraId="5E4A7239"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[30]</w:t>
      </w:r>
      <w:r w:rsidRPr="009B5FEF">
        <w:rPr>
          <w:rFonts w:cs="Arial"/>
          <w:noProof/>
          <w:szCs w:val="24"/>
        </w:rPr>
        <w:tab/>
        <w:t xml:space="preserve">S. J. Wright, R. Inchausti, C. J. Eaton, S. Krystofova, K. A. Borkovich </w:t>
      </w:r>
      <w:dir w:val="rtl">
        <w:r w:rsidRPr="009B5FEF">
          <w:rPr>
            <w:rFonts w:cs="Arial"/>
            <w:noProof/>
            <w:szCs w:val="24"/>
          </w:rPr>
          <w:t xml:space="preserve">3, and ٭. </w:t>
        </w:r>
        <w:dir w:val="rtl">
          <w:r w:rsidRPr="009B5FEF">
            <w:rPr>
              <w:rFonts w:cs="Arial"/>
              <w:noProof/>
              <w:szCs w:val="24"/>
            </w:rPr>
            <w:t>٭</w:t>
          </w:r>
          <w:r w:rsidRPr="009B5FEF">
            <w:rPr>
              <w:rFonts w:cs="Arial"/>
              <w:noProof/>
              <w:szCs w:val="24"/>
            </w:rPr>
            <w:t>‬, “RIC8 is a guanine-nucleotide exchange factor for Gα subunits that regulates growth and development in Neurospora crassa.”</w:t>
          </w:r>
        </w:dir>
      </w:dir>
    </w:p>
    <w:p w14:paraId="690CDB4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[31]</w:t>
      </w:r>
      <w:r w:rsidRPr="009B5FEF">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9B5FEF">
        <w:rPr>
          <w:rFonts w:cs="Arial"/>
          <w:i/>
          <w:iCs/>
          <w:noProof/>
          <w:szCs w:val="24"/>
        </w:rPr>
        <w:t>PLoS One</w:t>
      </w:r>
      <w:r w:rsidRPr="009B5FEF">
        <w:rPr>
          <w:rFonts w:cs="Arial"/>
          <w:noProof/>
          <w:szCs w:val="24"/>
        </w:rPr>
        <w:t>, vol. 7, no. 10, p. e48026, Oct. 2012.</w:t>
      </w:r>
    </w:p>
    <w:p w14:paraId="2D454C8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[32]</w:t>
      </w:r>
      <w:r w:rsidRPr="009B5FEF">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9B5FEF">
        <w:rPr>
          <w:rFonts w:cs="Arial"/>
          <w:i/>
          <w:iCs/>
          <w:noProof/>
          <w:szCs w:val="24"/>
        </w:rPr>
        <w:t>BMC Microbiol.</w:t>
      </w:r>
      <w:r w:rsidRPr="009B5FEF">
        <w:rPr>
          <w:rFonts w:cs="Arial"/>
          <w:noProof/>
          <w:szCs w:val="24"/>
        </w:rPr>
        <w:t>, vol. 10, no. 1, p. 317, 2010.</w:t>
      </w:r>
    </w:p>
    <w:p w14:paraId="56966635"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[33]</w:t>
      </w:r>
      <w:r w:rsidRPr="009B5FEF">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9B5FEF">
        <w:rPr>
          <w:rFonts w:cs="Arial"/>
          <w:i/>
          <w:iCs/>
          <w:noProof/>
          <w:szCs w:val="24"/>
        </w:rPr>
        <w:t>Biomolecules</w:t>
      </w:r>
      <w:r w:rsidRPr="009B5FEF">
        <w:rPr>
          <w:rFonts w:cs="Arial"/>
          <w:noProof/>
          <w:szCs w:val="24"/>
        </w:rPr>
        <w:t>, vol. 5, no. 2, pp. 318–42, Apr. 2015.</w:t>
      </w:r>
    </w:p>
    <w:p w14:paraId="62DBE6CE"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[34]</w:t>
      </w:r>
      <w:r w:rsidRPr="009B5FEF">
        <w:rPr>
          <w:rFonts w:cs="Arial"/>
          <w:noProof/>
          <w:szCs w:val="24"/>
        </w:rPr>
        <w:tab/>
        <w:t xml:space="preserve">E. Birben, U. M. Sahiner, C. Sackesen, S. Erzurum, and O. Kalayci, “Oxidative stress and antioxidant defense.,” </w:t>
      </w:r>
      <w:r w:rsidRPr="009B5FEF">
        <w:rPr>
          <w:rFonts w:cs="Arial"/>
          <w:i/>
          <w:iCs/>
          <w:noProof/>
          <w:szCs w:val="24"/>
        </w:rPr>
        <w:t>World Allergy Organ. J.</w:t>
      </w:r>
      <w:r w:rsidRPr="009B5FEF">
        <w:rPr>
          <w:rFonts w:cs="Arial"/>
          <w:noProof/>
          <w:szCs w:val="24"/>
        </w:rPr>
        <w:t>, vol. 5, no. 1, pp. 9–19, Jan. 2012.</w:t>
      </w:r>
    </w:p>
    <w:p w14:paraId="293247B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[35]</w:t>
      </w:r>
      <w:r w:rsidRPr="009B5FEF">
        <w:rPr>
          <w:rFonts w:cs="Arial"/>
          <w:noProof/>
          <w:szCs w:val="24"/>
        </w:rPr>
        <w:tab/>
        <w:t xml:space="preserve">D. Trachootham, W. Lu, M. A. Ogasawara, R.-D. V. Nilsa, and P. Huang, “Redox regulation of cell survival.,” </w:t>
      </w:r>
      <w:r w:rsidRPr="009B5FEF">
        <w:rPr>
          <w:rFonts w:cs="Arial"/>
          <w:i/>
          <w:iCs/>
          <w:noProof/>
          <w:szCs w:val="24"/>
        </w:rPr>
        <w:t>Antioxid. Redox Signal.</w:t>
      </w:r>
      <w:r w:rsidRPr="009B5FEF">
        <w:rPr>
          <w:rFonts w:cs="Arial"/>
          <w:noProof/>
          <w:szCs w:val="24"/>
        </w:rPr>
        <w:t>, vol. 10, no. 8, pp. 1343–74, Aug. 2008.</w:t>
      </w:r>
    </w:p>
    <w:p w14:paraId="08F66AB6"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[36]</w:t>
      </w:r>
      <w:r w:rsidRPr="009B5FEF">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9B5FEF">
        <w:rPr>
          <w:rFonts w:cs="Arial"/>
          <w:i/>
          <w:iCs/>
          <w:noProof/>
          <w:szCs w:val="24"/>
        </w:rPr>
        <w:t>Int. Microbiol.</w:t>
      </w:r>
      <w:r w:rsidRPr="009B5FEF">
        <w:rPr>
          <w:rFonts w:cs="Arial"/>
          <w:noProof/>
          <w:szCs w:val="24"/>
        </w:rPr>
        <w:t>, vol. 12, no. 2, pp. 123–9, Jun. 2009.</w:t>
      </w:r>
    </w:p>
    <w:p w14:paraId="70688E2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[37]</w:t>
      </w:r>
      <w:r w:rsidRPr="009B5FEF">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9B5FEF">
        <w:rPr>
          <w:rFonts w:cs="Arial"/>
          <w:i/>
          <w:iCs/>
          <w:noProof/>
          <w:szCs w:val="24"/>
        </w:rPr>
        <w:t>Fungal Genet. Biol.</w:t>
      </w:r>
      <w:r w:rsidRPr="009B5FEF">
        <w:rPr>
          <w:rFonts w:cs="Arial"/>
          <w:noProof/>
          <w:szCs w:val="24"/>
        </w:rPr>
        <w:t>, vol. 48, no. 6, pp. 641–649, 2011.</w:t>
      </w:r>
    </w:p>
    <w:p w14:paraId="762327D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[38]</w:t>
      </w:r>
      <w:r w:rsidRPr="009B5FEF">
        <w:rPr>
          <w:rFonts w:cs="Arial"/>
          <w:noProof/>
          <w:szCs w:val="24"/>
        </w:rPr>
        <w:tab/>
        <w:t xml:space="preserve">R. O. García-Rico </w:t>
      </w:r>
      <w:r w:rsidRPr="009B5FEF">
        <w:rPr>
          <w:rFonts w:cs="Arial"/>
          <w:i/>
          <w:iCs/>
          <w:noProof/>
          <w:szCs w:val="24"/>
        </w:rPr>
        <w:t>et al.</w:t>
      </w:r>
      <w:r w:rsidRPr="009B5FEF">
        <w:rPr>
          <w:rFonts w:cs="Arial"/>
          <w:noProof/>
          <w:szCs w:val="24"/>
        </w:rPr>
        <w:t xml:space="preserve">, “Heterotrimeric G protein alpha subunit controls growth, stress response, extracellular protease activity, and cyclopiazonic acid production in Penicillium camemberti,” </w:t>
      </w:r>
      <w:r w:rsidRPr="009B5FEF">
        <w:rPr>
          <w:rFonts w:cs="Arial"/>
          <w:i/>
          <w:iCs/>
          <w:noProof/>
          <w:szCs w:val="24"/>
        </w:rPr>
        <w:t>Fungal Biol.</w:t>
      </w:r>
      <w:r w:rsidRPr="009B5FEF">
        <w:rPr>
          <w:rFonts w:cs="Arial"/>
          <w:noProof/>
          <w:szCs w:val="24"/>
        </w:rPr>
        <w:t>, vol. 121, no. 9, pp. 754–762, Sep. 2017.</w:t>
      </w:r>
    </w:p>
    <w:p w14:paraId="3DBB644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[39]</w:t>
      </w:r>
      <w:r w:rsidRPr="009B5FEF">
        <w:rPr>
          <w:rFonts w:cs="Arial"/>
          <w:noProof/>
          <w:szCs w:val="24"/>
        </w:rPr>
        <w:tab/>
        <w:t xml:space="preserve">U. Carrasco-Navarro </w:t>
      </w:r>
      <w:r w:rsidRPr="009B5FEF">
        <w:rPr>
          <w:rFonts w:cs="Arial"/>
          <w:i/>
          <w:iCs/>
          <w:noProof/>
          <w:szCs w:val="24"/>
        </w:rPr>
        <w:t>et al.</w:t>
      </w:r>
      <w:r w:rsidRPr="009B5FEF">
        <w:rPr>
          <w:rFonts w:cs="Arial"/>
          <w:noProof/>
          <w:szCs w:val="24"/>
        </w:rPr>
        <w:t xml:space="preserve">, “Proteomic analysis of the signaling pathway mediated by the heterotrimeric Ga protein Pga1 of Penicillium chrysogenum,” </w:t>
      </w:r>
      <w:r w:rsidRPr="009B5FEF">
        <w:rPr>
          <w:rFonts w:cs="Arial"/>
          <w:i/>
          <w:iCs/>
          <w:noProof/>
          <w:szCs w:val="24"/>
        </w:rPr>
        <w:t>Microb. Cell Fact.</w:t>
      </w:r>
      <w:r w:rsidRPr="009B5FEF">
        <w:rPr>
          <w:rFonts w:cs="Arial"/>
          <w:noProof/>
          <w:szCs w:val="24"/>
        </w:rPr>
        <w:t>, vol. 15, no. 1, pp. 1–17, 2016.</w:t>
      </w:r>
    </w:p>
    <w:p w14:paraId="5901D7A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[40]</w:t>
      </w:r>
      <w:r w:rsidRPr="009B5FEF">
        <w:rPr>
          <w:rFonts w:cs="Arial"/>
          <w:noProof/>
          <w:szCs w:val="24"/>
        </w:rPr>
        <w:tab/>
        <w:t xml:space="preserve">Q. Yang and K. A. Borkovich, “Mutational activation of a Gα(i) causes uncontrolled proliferation of aerial hyphae and increased sensitivity to heat and oxidative stress in Neurospora crassa,” </w:t>
      </w:r>
      <w:r w:rsidRPr="009B5FEF">
        <w:rPr>
          <w:rFonts w:cs="Arial"/>
          <w:i/>
          <w:iCs/>
          <w:noProof/>
          <w:szCs w:val="24"/>
        </w:rPr>
        <w:t>Genetics</w:t>
      </w:r>
      <w:r w:rsidRPr="009B5FEF">
        <w:rPr>
          <w:rFonts w:cs="Arial"/>
          <w:noProof/>
          <w:szCs w:val="24"/>
        </w:rPr>
        <w:t>, vol. 151, no. 1, pp. 107–117, 1999.</w:t>
      </w:r>
    </w:p>
    <w:p w14:paraId="36BBB4F5"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[41]</w:t>
      </w:r>
      <w:r w:rsidRPr="009B5FEF">
        <w:rPr>
          <w:rFonts w:cs="Arial"/>
          <w:noProof/>
          <w:szCs w:val="24"/>
        </w:rPr>
        <w:tab/>
        <w:t xml:space="preserve">A. M. Kays, P. S. Rowley, R. A. Baasiri, and K. A. Borkovich, “Regulation of conidiation and adenylyl cyclase levels by the Galpha protein GNA-3 in Neurospora crassa,” </w:t>
      </w:r>
      <w:r w:rsidRPr="009B5FEF">
        <w:rPr>
          <w:rFonts w:cs="Arial"/>
          <w:i/>
          <w:iCs/>
          <w:noProof/>
          <w:szCs w:val="24"/>
        </w:rPr>
        <w:t>Mol Cell Biol</w:t>
      </w:r>
      <w:r w:rsidRPr="009B5FEF">
        <w:rPr>
          <w:rFonts w:cs="Arial"/>
          <w:noProof/>
          <w:szCs w:val="24"/>
        </w:rPr>
        <w:t>, vol. 20, no. 20, pp. 7693–7705, 2000.</w:t>
      </w:r>
    </w:p>
    <w:p w14:paraId="5A19DBD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[42]</w:t>
      </w:r>
      <w:r w:rsidRPr="009B5FEF">
        <w:rPr>
          <w:rFonts w:cs="Arial"/>
          <w:noProof/>
          <w:szCs w:val="24"/>
        </w:rPr>
        <w:tab/>
        <w:t xml:space="preserve">F. D. Ivey, Q. Yang, and K. A. Borkovich, “Positive Regulation of Adenylyl Cyclase Activity by a GαiHomolog inNeurospora crassa,” </w:t>
      </w:r>
      <w:r w:rsidRPr="009B5FEF">
        <w:rPr>
          <w:rFonts w:cs="Arial"/>
          <w:i/>
          <w:iCs/>
          <w:noProof/>
          <w:szCs w:val="24"/>
        </w:rPr>
        <w:t>Fungal Genet. Biol.</w:t>
      </w:r>
      <w:r w:rsidRPr="009B5FEF">
        <w:rPr>
          <w:rFonts w:cs="Arial"/>
          <w:noProof/>
          <w:szCs w:val="24"/>
        </w:rPr>
        <w:t>, vol. 26, no. 1, pp. 48–61, Feb. 1999.</w:t>
      </w:r>
    </w:p>
    <w:p w14:paraId="2D12BF56"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[43]</w:t>
      </w:r>
      <w:r w:rsidRPr="009B5FEF">
        <w:rPr>
          <w:rFonts w:cs="Arial"/>
          <w:noProof/>
          <w:szCs w:val="24"/>
        </w:rPr>
        <w:tab/>
        <w:t xml:space="preserve">A. M. Kays and K. A. Borkovich, “Severe Impairment of Growth and Differentiation in a Neurospora crassa Mutant Lacking All Heterotrimeric G?? Proteins,” </w:t>
      </w:r>
      <w:r w:rsidRPr="009B5FEF">
        <w:rPr>
          <w:rFonts w:cs="Arial"/>
          <w:i/>
          <w:iCs/>
          <w:noProof/>
          <w:szCs w:val="24"/>
        </w:rPr>
        <w:t>Genetics</w:t>
      </w:r>
      <w:r w:rsidRPr="009B5FEF">
        <w:rPr>
          <w:rFonts w:cs="Arial"/>
          <w:noProof/>
          <w:szCs w:val="24"/>
        </w:rPr>
        <w:t>, vol. 166, no. 3, pp. 1229–1240, 2004.</w:t>
      </w:r>
    </w:p>
    <w:p w14:paraId="43431AF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[44]</w:t>
      </w:r>
      <w:r w:rsidRPr="009B5FEF">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9B5FEF">
        <w:rPr>
          <w:rFonts w:cs="Arial"/>
          <w:i/>
          <w:iCs/>
          <w:noProof/>
          <w:szCs w:val="24"/>
        </w:rPr>
        <w:t>Biochem. Biophys. Res. Commun.</w:t>
      </w:r>
      <w:r w:rsidRPr="009B5FEF">
        <w:rPr>
          <w:rFonts w:cs="Arial"/>
          <w:noProof/>
          <w:szCs w:val="24"/>
        </w:rPr>
        <w:t>, vol. 327, no. 1, pp. 311–319, Feb. 2005.</w:t>
      </w:r>
    </w:p>
    <w:p w14:paraId="006F2019"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[45]</w:t>
      </w:r>
      <w:r w:rsidRPr="009B5FEF">
        <w:rPr>
          <w:rFonts w:cs="Arial"/>
          <w:noProof/>
          <w:szCs w:val="24"/>
        </w:rPr>
        <w:tab/>
        <w:t xml:space="preserve">A. Dantas, A. Day, M. Ikeh, I. Kos, B. Achan, and J. Quinn, “Oxidative Stress Responses in the Human Fungal Pathogen, Candida albicans,” </w:t>
      </w:r>
      <w:r w:rsidRPr="009B5FEF">
        <w:rPr>
          <w:rFonts w:cs="Arial"/>
          <w:i/>
          <w:iCs/>
          <w:noProof/>
          <w:szCs w:val="24"/>
        </w:rPr>
        <w:t>Biomolecules</w:t>
      </w:r>
      <w:r w:rsidRPr="009B5FEF">
        <w:rPr>
          <w:rFonts w:cs="Arial"/>
          <w:noProof/>
          <w:szCs w:val="24"/>
        </w:rPr>
        <w:t>, vol. 5, no. 1, pp. 142–165, Feb. 2015.</w:t>
      </w:r>
    </w:p>
    <w:p w14:paraId="422F1DCC"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[46]</w:t>
      </w:r>
      <w:r w:rsidRPr="009B5FEF">
        <w:rPr>
          <w:rFonts w:cs="Arial"/>
          <w:noProof/>
          <w:szCs w:val="24"/>
        </w:rPr>
        <w:tab/>
        <w:t xml:space="preserve">D. Wilson </w:t>
      </w:r>
      <w:r w:rsidRPr="009B5FEF">
        <w:rPr>
          <w:rFonts w:cs="Arial"/>
          <w:i/>
          <w:iCs/>
          <w:noProof/>
          <w:szCs w:val="24"/>
        </w:rPr>
        <w:t>et al.</w:t>
      </w:r>
      <w:r w:rsidRPr="009B5FEF">
        <w:rPr>
          <w:rFonts w:cs="Arial"/>
          <w:noProof/>
          <w:szCs w:val="24"/>
        </w:rPr>
        <w:t xml:space="preserve">, “Deletion of the high-affinity cAMP phosphodiesterase encoded by PDE2 affects stress responses and virulence in Candida albicans,” </w:t>
      </w:r>
      <w:r w:rsidRPr="009B5FEF">
        <w:rPr>
          <w:rFonts w:cs="Arial"/>
          <w:i/>
          <w:iCs/>
          <w:noProof/>
          <w:szCs w:val="24"/>
        </w:rPr>
        <w:t>Mol. Microbiol.</w:t>
      </w:r>
      <w:r w:rsidRPr="009B5FEF">
        <w:rPr>
          <w:rFonts w:cs="Arial"/>
          <w:noProof/>
          <w:szCs w:val="24"/>
        </w:rPr>
        <w:t>, vol. 65, no. 4, pp. 841–856, Aug. 2007.</w:t>
      </w:r>
    </w:p>
    <w:p w14:paraId="2496F63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[47]</w:t>
      </w:r>
      <w:r w:rsidRPr="009B5FEF">
        <w:rPr>
          <w:rFonts w:cs="Arial"/>
          <w:noProof/>
          <w:szCs w:val="24"/>
        </w:rPr>
        <w:tab/>
        <w:t xml:space="preserve">W. H. Mager, A. H. de Boer, M. H. Siderius, and H. P. Voss, “Cellular responses to oxidative and osmotic stress.,” </w:t>
      </w:r>
      <w:r w:rsidRPr="009B5FEF">
        <w:rPr>
          <w:rFonts w:cs="Arial"/>
          <w:i/>
          <w:iCs/>
          <w:noProof/>
          <w:szCs w:val="24"/>
        </w:rPr>
        <w:t>Cell Stress Chaperones</w:t>
      </w:r>
      <w:r w:rsidRPr="009B5FEF">
        <w:rPr>
          <w:rFonts w:cs="Arial"/>
          <w:noProof/>
          <w:szCs w:val="24"/>
        </w:rPr>
        <w:t>, vol. 5, no. 2, pp. 73–5, Apr. 2000.</w:t>
      </w:r>
    </w:p>
    <w:p w14:paraId="4E70C937"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[48]</w:t>
      </w:r>
      <w:r w:rsidRPr="009B5FEF">
        <w:rPr>
          <w:rFonts w:cs="Arial"/>
          <w:noProof/>
          <w:szCs w:val="24"/>
        </w:rPr>
        <w:tab/>
        <w:t xml:space="preserve">R. A. Baasiri, X. Lu, P. S. Rowley, G. E. Turner, and K. A. Borkovich, “Overlapping functions for two G protein alpha subunits in Neurospora crassa.,” </w:t>
      </w:r>
      <w:r w:rsidRPr="009B5FEF">
        <w:rPr>
          <w:rFonts w:cs="Arial"/>
          <w:i/>
          <w:iCs/>
          <w:noProof/>
          <w:szCs w:val="24"/>
        </w:rPr>
        <w:t>Genetics</w:t>
      </w:r>
      <w:r w:rsidRPr="009B5FEF">
        <w:rPr>
          <w:rFonts w:cs="Arial"/>
          <w:noProof/>
          <w:szCs w:val="24"/>
        </w:rPr>
        <w:t>, vol. 147, no. 1, pp. 137–45, 1997.</w:t>
      </w:r>
    </w:p>
    <w:p w14:paraId="57E41B05"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[49]</w:t>
      </w:r>
      <w:r w:rsidRPr="009B5FEF">
        <w:rPr>
          <w:rFonts w:cs="Arial"/>
          <w:noProof/>
          <w:szCs w:val="24"/>
        </w:rPr>
        <w:tab/>
        <w:t xml:space="preserve">S. Zuber, M. J. Hynes, and A. Andrianopoulos, “The G-protein alpha-subunit GasC plays a major role in germination in the dimorphic fungus Penicillium marneffei,” </w:t>
      </w:r>
      <w:r w:rsidRPr="009B5FEF">
        <w:rPr>
          <w:rFonts w:cs="Arial"/>
          <w:i/>
          <w:iCs/>
          <w:noProof/>
          <w:szCs w:val="24"/>
        </w:rPr>
        <w:t>Genetics</w:t>
      </w:r>
      <w:r w:rsidRPr="009B5FEF">
        <w:rPr>
          <w:rFonts w:cs="Arial"/>
          <w:noProof/>
          <w:szCs w:val="24"/>
        </w:rPr>
        <w:t>, vol. 164, no. 2, pp. 487–499, 2003.</w:t>
      </w:r>
    </w:p>
    <w:p w14:paraId="64ED7910"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[50]</w:t>
      </w:r>
      <w:r w:rsidRPr="009B5FEF">
        <w:rPr>
          <w:rFonts w:cs="Arial"/>
          <w:noProof/>
          <w:szCs w:val="24"/>
        </w:rPr>
        <w:tab/>
        <w:t xml:space="preserve">H. H. Kampinga, “Chaperones in Preventing Protein Denaturation in Living Cells and Protecting Against Cellular Stress,” in </w:t>
      </w:r>
      <w:r w:rsidRPr="009B5FEF">
        <w:rPr>
          <w:rFonts w:cs="Arial"/>
          <w:i/>
          <w:iCs/>
          <w:noProof/>
          <w:szCs w:val="24"/>
        </w:rPr>
        <w:t>Molecular Chaperones in Health and Disease</w:t>
      </w:r>
      <w:r w:rsidRPr="009B5FEF">
        <w:rPr>
          <w:rFonts w:cs="Arial"/>
          <w:noProof/>
          <w:szCs w:val="24"/>
        </w:rPr>
        <w:t>, Berlin/Heidelberg: Springer-Verlag, 2006, pp. 1–42.</w:t>
      </w:r>
    </w:p>
    <w:p w14:paraId="054A4A62"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[51]</w:t>
      </w:r>
      <w:r w:rsidRPr="009B5FEF">
        <w:rPr>
          <w:rFonts w:cs="Arial"/>
          <w:noProof/>
          <w:szCs w:val="24"/>
        </w:rPr>
        <w:tab/>
        <w:t xml:space="preserve">V. M. Tereshina, “Thermotolerance in Fungi: The Role of Heat Shock Proteins and Trehalose,” </w:t>
      </w:r>
      <w:r w:rsidRPr="009B5FEF">
        <w:rPr>
          <w:rFonts w:cs="Arial"/>
          <w:i/>
          <w:iCs/>
          <w:noProof/>
          <w:szCs w:val="24"/>
        </w:rPr>
        <w:t>Microbiology</w:t>
      </w:r>
      <w:r w:rsidRPr="009B5FEF">
        <w:rPr>
          <w:rFonts w:cs="Arial"/>
          <w:noProof/>
          <w:szCs w:val="24"/>
        </w:rPr>
        <w:t>, vol. 74, no. 3, pp. 247–257, May 2005.</w:t>
      </w:r>
    </w:p>
    <w:p w14:paraId="0E1456D7"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[52]</w:t>
      </w:r>
      <w:r w:rsidRPr="009B5FEF">
        <w:rPr>
          <w:rFonts w:cs="Arial"/>
          <w:noProof/>
          <w:szCs w:val="24"/>
        </w:rPr>
        <w:tab/>
        <w:t xml:space="preserve">N. B. Gusev, N. V Bogatcheva, and S. B. Marston, “Structure and properties of small heat shock proteins (sHsp) and their interaction with cytoskeleton proteins.,” </w:t>
      </w:r>
      <w:r w:rsidRPr="009B5FEF">
        <w:rPr>
          <w:rFonts w:cs="Arial"/>
          <w:i/>
          <w:iCs/>
          <w:noProof/>
          <w:szCs w:val="24"/>
        </w:rPr>
        <w:t>Biochemistry. (Mosc).</w:t>
      </w:r>
      <w:r w:rsidRPr="009B5FEF">
        <w:rPr>
          <w:rFonts w:cs="Arial"/>
          <w:noProof/>
          <w:szCs w:val="24"/>
        </w:rPr>
        <w:t>, vol. 67, no. 5, pp. 511–9, May 2002.</w:t>
      </w:r>
    </w:p>
    <w:p w14:paraId="3D54234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[53]</w:t>
      </w:r>
      <w:r w:rsidRPr="009B5FEF">
        <w:rPr>
          <w:rFonts w:cs="Arial"/>
          <w:noProof/>
          <w:szCs w:val="24"/>
        </w:rPr>
        <w:tab/>
        <w:t xml:space="preserve">S. Tiwari, R. Thakur, and J. Shankar, “Role of Heat-Shock Proteins in Cellular Function and in the Biology of Fungi,” </w:t>
      </w:r>
      <w:r w:rsidRPr="009B5FEF">
        <w:rPr>
          <w:rFonts w:cs="Arial"/>
          <w:i/>
          <w:iCs/>
          <w:noProof/>
          <w:szCs w:val="24"/>
        </w:rPr>
        <w:t>Biotechnol. Res. Int.</w:t>
      </w:r>
      <w:r w:rsidRPr="009B5FEF">
        <w:rPr>
          <w:rFonts w:cs="Arial"/>
          <w:noProof/>
          <w:szCs w:val="24"/>
        </w:rPr>
        <w:t>, vol. 2015, pp. 1–11, Dec. 2015.</w:t>
      </w:r>
    </w:p>
    <w:p w14:paraId="5FDA95A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[54]</w:t>
      </w:r>
      <w:r w:rsidRPr="009B5FEF">
        <w:rPr>
          <w:rFonts w:cs="Arial"/>
          <w:noProof/>
          <w:szCs w:val="24"/>
        </w:rPr>
        <w:tab/>
        <w:t xml:space="preserve">J. Wu, M. Wang, L. Zhou, and D. Yu, “Small heat shock proteins, phylogeny in filamentous fungi and expression analyses in Aspergillus nidulans,” </w:t>
      </w:r>
      <w:r w:rsidRPr="009B5FEF">
        <w:rPr>
          <w:rFonts w:cs="Arial"/>
          <w:i/>
          <w:iCs/>
          <w:noProof/>
          <w:szCs w:val="24"/>
        </w:rPr>
        <w:t>Gene</w:t>
      </w:r>
      <w:r w:rsidRPr="009B5FEF">
        <w:rPr>
          <w:rFonts w:cs="Arial"/>
          <w:noProof/>
          <w:szCs w:val="24"/>
        </w:rPr>
        <w:t>, vol. 575, pp. 675–679, 2016.</w:t>
      </w:r>
    </w:p>
    <w:p w14:paraId="5FAC750B"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[55]</w:t>
      </w:r>
      <w:r w:rsidRPr="009B5FEF">
        <w:rPr>
          <w:rFonts w:cs="Arial"/>
          <w:noProof/>
          <w:szCs w:val="24"/>
        </w:rPr>
        <w:tab/>
        <w:t xml:space="preserve">R. B. Raggam, H. J. F. Salzer, E. Marth, B. Heiling, A. H. Paulitsch, and W. Buzina, “Molecular detection and characterisation of fungal heat shock protein 60,” </w:t>
      </w:r>
      <w:r w:rsidRPr="009B5FEF">
        <w:rPr>
          <w:rFonts w:cs="Arial"/>
          <w:i/>
          <w:iCs/>
          <w:noProof/>
          <w:szCs w:val="24"/>
        </w:rPr>
        <w:t>Mycoses</w:t>
      </w:r>
      <w:r w:rsidRPr="009B5FEF">
        <w:rPr>
          <w:rFonts w:cs="Arial"/>
          <w:noProof/>
          <w:szCs w:val="24"/>
        </w:rPr>
        <w:t>, vol. 54, no. 5, pp. e394–e399, Sep. 2011.</w:t>
      </w:r>
    </w:p>
    <w:p w14:paraId="7613227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[56]</w:t>
      </w:r>
      <w:r w:rsidRPr="009B5FEF">
        <w:rPr>
          <w:rFonts w:cs="Arial"/>
          <w:noProof/>
          <w:szCs w:val="24"/>
        </w:rPr>
        <w:tab/>
        <w:t xml:space="preserve">M. Kapoor, C. A. Curle, and C. Runham, “The hsp70 gene family of Neurospora crassa: cloning, sequence analysis, expression, and genetic mapping of the major stress-inducible member.,” </w:t>
      </w:r>
      <w:r w:rsidRPr="009B5FEF">
        <w:rPr>
          <w:rFonts w:cs="Arial"/>
          <w:i/>
          <w:iCs/>
          <w:noProof/>
          <w:szCs w:val="24"/>
        </w:rPr>
        <w:t>J. Bacteriol.</w:t>
      </w:r>
      <w:r w:rsidRPr="009B5FEF">
        <w:rPr>
          <w:rFonts w:cs="Arial"/>
          <w:noProof/>
          <w:szCs w:val="24"/>
        </w:rPr>
        <w:t>, vol. 177, no. 1, pp. 212–21, Jan. 1995.</w:t>
      </w:r>
    </w:p>
    <w:p w14:paraId="571E895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[57]</w:t>
      </w:r>
      <w:r w:rsidRPr="009B5FEF">
        <w:rPr>
          <w:rFonts w:cs="Arial"/>
          <w:noProof/>
          <w:szCs w:val="24"/>
        </w:rPr>
        <w:tab/>
        <w:t xml:space="preserve">D.-C. Bui </w:t>
      </w:r>
      <w:r w:rsidRPr="009B5FEF">
        <w:rPr>
          <w:rFonts w:cs="Arial"/>
          <w:i/>
          <w:iCs/>
          <w:noProof/>
          <w:szCs w:val="24"/>
        </w:rPr>
        <w:t>et al.</w:t>
      </w:r>
      <w:r w:rsidRPr="009B5FEF">
        <w:rPr>
          <w:rFonts w:cs="Arial"/>
          <w:noProof/>
          <w:szCs w:val="24"/>
        </w:rPr>
        <w:t xml:space="preserve">, “Heat shock protein 90 is required for sexual and asexual development, virulence, and heat shock response in Fusarium graminearum,” </w:t>
      </w:r>
      <w:r w:rsidRPr="009B5FEF">
        <w:rPr>
          <w:rFonts w:cs="Arial"/>
          <w:i/>
          <w:iCs/>
          <w:noProof/>
          <w:szCs w:val="24"/>
        </w:rPr>
        <w:t>Sci. Rep.</w:t>
      </w:r>
      <w:r w:rsidRPr="009B5FEF">
        <w:rPr>
          <w:rFonts w:cs="Arial"/>
          <w:noProof/>
          <w:szCs w:val="24"/>
        </w:rPr>
        <w:t>, vol. 6, no. 1, p. 28154, Sep. 2016.</w:t>
      </w:r>
    </w:p>
    <w:p w14:paraId="4987EBE1"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[58]</w:t>
      </w:r>
      <w:r w:rsidRPr="009B5FEF">
        <w:rPr>
          <w:rFonts w:cs="Arial"/>
          <w:noProof/>
          <w:szCs w:val="24"/>
        </w:rPr>
        <w:tab/>
        <w:t xml:space="preserve">E. Boy-Marcotte </w:t>
      </w:r>
      <w:r w:rsidRPr="009B5FEF">
        <w:rPr>
          <w:rFonts w:cs="Arial"/>
          <w:i/>
          <w:iCs/>
          <w:noProof/>
          <w:szCs w:val="24"/>
        </w:rPr>
        <w:t>et al.</w:t>
      </w:r>
      <w:r w:rsidRPr="009B5FEF">
        <w:rPr>
          <w:rFonts w:cs="Arial"/>
          <w:noProof/>
          <w:szCs w:val="24"/>
        </w:rPr>
        <w:t xml:space="preserve">, “The heat shock response in yeast: differential regulations and contributions of the Msn2p/Msn4p and Hsf1p regulons,” </w:t>
      </w:r>
      <w:r w:rsidRPr="009B5FEF">
        <w:rPr>
          <w:rFonts w:cs="Arial"/>
          <w:i/>
          <w:iCs/>
          <w:noProof/>
          <w:szCs w:val="24"/>
        </w:rPr>
        <w:t>Mol. Microbiol.</w:t>
      </w:r>
      <w:r w:rsidRPr="009B5FEF">
        <w:rPr>
          <w:rFonts w:cs="Arial"/>
          <w:noProof/>
          <w:szCs w:val="24"/>
        </w:rPr>
        <w:t>, vol. 33, no. 2, pp. 274–283, Jul. 1999.</w:t>
      </w:r>
    </w:p>
    <w:p w14:paraId="7E70FAB0"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[59]</w:t>
      </w:r>
      <w:r w:rsidRPr="009B5FEF">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9B5FEF">
        <w:rPr>
          <w:rFonts w:cs="Arial"/>
          <w:i/>
          <w:iCs/>
          <w:noProof/>
          <w:szCs w:val="24"/>
        </w:rPr>
        <w:t>Eukaryot. Cell</w:t>
      </w:r>
      <w:r w:rsidRPr="009B5FEF">
        <w:rPr>
          <w:rFonts w:cs="Arial"/>
          <w:noProof/>
          <w:szCs w:val="24"/>
        </w:rPr>
        <w:t>, vol. 7, no. 9, pp. 1573–81, Sep. 2008.</w:t>
      </w:r>
    </w:p>
    <w:p w14:paraId="4F4E3DF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[60]</w:t>
      </w:r>
      <w:r w:rsidRPr="009B5FEF">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9B5FEF">
        <w:rPr>
          <w:rFonts w:cs="Arial"/>
          <w:i/>
          <w:iCs/>
          <w:noProof/>
          <w:szCs w:val="24"/>
        </w:rPr>
        <w:t>EMBO J.</w:t>
      </w:r>
      <w:r w:rsidRPr="009B5FEF">
        <w:rPr>
          <w:rFonts w:cs="Arial"/>
          <w:noProof/>
          <w:szCs w:val="24"/>
        </w:rPr>
        <w:t>, vol. 15, no. 9, pp. 2227–35, May 1996.</w:t>
      </w:r>
    </w:p>
    <w:p w14:paraId="07AC8C65"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[61]</w:t>
      </w:r>
      <w:r w:rsidRPr="009B5FEF">
        <w:rPr>
          <w:rFonts w:cs="Arial"/>
          <w:noProof/>
          <w:szCs w:val="24"/>
        </w:rPr>
        <w:tab/>
        <w:t xml:space="preserve">H. G. Dohlman and J. Thorner, “Regulation of G Protein–Initiated Signal Transduction in Yeast: Paradigms and Principles,” </w:t>
      </w:r>
      <w:r w:rsidRPr="009B5FEF">
        <w:rPr>
          <w:rFonts w:cs="Arial"/>
          <w:i/>
          <w:iCs/>
          <w:noProof/>
          <w:szCs w:val="24"/>
        </w:rPr>
        <w:t>Annu. Rev. Biochem.</w:t>
      </w:r>
      <w:r w:rsidRPr="009B5FEF">
        <w:rPr>
          <w:rFonts w:cs="Arial"/>
          <w:noProof/>
          <w:szCs w:val="24"/>
        </w:rPr>
        <w:t>, vol. 70, no. 1, pp. 703–754, Jun. 2001.</w:t>
      </w:r>
    </w:p>
    <w:p w14:paraId="0192B9BD"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[62]</w:t>
      </w:r>
      <w:r w:rsidRPr="009B5FEF">
        <w:rPr>
          <w:rFonts w:cs="Arial"/>
          <w:noProof/>
          <w:szCs w:val="24"/>
        </w:rPr>
        <w:tab/>
        <w:t>Y. Xue and J. P. Hirsch, “GPR1 encodes a putative G protein-coupled receptor that associates with the Gpa2p G α subunit and functions in a Ras-independent pathway,” 1996.</w:t>
      </w:r>
    </w:p>
    <w:p w14:paraId="74EC403A"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[63]</w:t>
      </w:r>
      <w:r w:rsidRPr="009B5FEF">
        <w:rPr>
          <w:rFonts w:cs="Arial"/>
          <w:noProof/>
          <w:szCs w:val="24"/>
        </w:rPr>
        <w:tab/>
        <w:t xml:space="preserve">M. Whiteway </w:t>
      </w:r>
      <w:r w:rsidRPr="009B5FEF">
        <w:rPr>
          <w:rFonts w:cs="Arial"/>
          <w:i/>
          <w:iCs/>
          <w:noProof/>
          <w:szCs w:val="24"/>
        </w:rPr>
        <w:t>et al.</w:t>
      </w:r>
      <w:r w:rsidRPr="009B5FEF">
        <w:rPr>
          <w:rFonts w:cs="Arial"/>
          <w:noProof/>
          <w:szCs w:val="24"/>
        </w:rPr>
        <w:t xml:space="preserve">, “The STE4 and STE18 genes of yeast encode potential beta and gamma subunits of the mating factor receptor-coupled G protein.,” </w:t>
      </w:r>
      <w:r w:rsidRPr="009B5FEF">
        <w:rPr>
          <w:rFonts w:cs="Arial"/>
          <w:i/>
          <w:iCs/>
          <w:noProof/>
          <w:szCs w:val="24"/>
        </w:rPr>
        <w:t>Cell</w:t>
      </w:r>
      <w:r w:rsidRPr="009B5FEF">
        <w:rPr>
          <w:rFonts w:cs="Arial"/>
          <w:noProof/>
          <w:szCs w:val="24"/>
        </w:rPr>
        <w:t>, vol. 56, no. 3, pp. 467–77, Feb. 1989.</w:t>
      </w:r>
    </w:p>
    <w:p w14:paraId="2668F69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[64]</w:t>
      </w:r>
      <w:r w:rsidRPr="009B5FEF">
        <w:rPr>
          <w:rFonts w:cs="Arial"/>
          <w:noProof/>
          <w:szCs w:val="24"/>
        </w:rPr>
        <w:tab/>
        <w:t xml:space="preserve">S. Jain, K. Akiyama, R. Takata, and T. Ohguchi, “Signaling via the G protein Î± subunit FGA2 is necessary for pathogenesis in </w:t>
      </w:r>
      <w:r w:rsidRPr="009B5FEF">
        <w:rPr>
          <w:rFonts w:cs="Arial"/>
          <w:i/>
          <w:iCs/>
          <w:noProof/>
          <w:szCs w:val="24"/>
        </w:rPr>
        <w:t>Fusarium oxysporum</w:t>
      </w:r>
      <w:r w:rsidRPr="009B5FEF">
        <w:rPr>
          <w:rFonts w:cs="Arial"/>
          <w:noProof/>
          <w:szCs w:val="24"/>
        </w:rPr>
        <w:t xml:space="preserve">,” </w:t>
      </w:r>
      <w:r w:rsidRPr="009B5FEF">
        <w:rPr>
          <w:rFonts w:cs="Arial"/>
          <w:i/>
          <w:iCs/>
          <w:noProof/>
          <w:szCs w:val="24"/>
        </w:rPr>
        <w:t>FEMS Microbiol. Lett.</w:t>
      </w:r>
      <w:r w:rsidRPr="009B5FEF">
        <w:rPr>
          <w:rFonts w:cs="Arial"/>
          <w:noProof/>
          <w:szCs w:val="24"/>
        </w:rPr>
        <w:t>, vol. 243, no. 1, pp. 165–172, Feb. 2005.</w:t>
      </w:r>
    </w:p>
    <w:p w14:paraId="23C8FE76"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[65]</w:t>
      </w:r>
      <w:r w:rsidRPr="009B5FEF">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9B5FEF">
        <w:rPr>
          <w:rFonts w:cs="Arial"/>
          <w:i/>
          <w:iCs/>
          <w:noProof/>
          <w:szCs w:val="24"/>
        </w:rPr>
        <w:t>Int. Microbiol.</w:t>
      </w:r>
      <w:r w:rsidRPr="009B5FEF">
        <w:rPr>
          <w:rFonts w:cs="Arial"/>
          <w:noProof/>
          <w:szCs w:val="24"/>
        </w:rPr>
        <w:t>, vol. 12, no. 2, pp. 123–129, 2009.</w:t>
      </w:r>
    </w:p>
    <w:p w14:paraId="70D6B527"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[66]</w:t>
      </w:r>
      <w:r w:rsidRPr="009B5FEF">
        <w:rPr>
          <w:rFonts w:cs="Arial"/>
          <w:noProof/>
          <w:szCs w:val="24"/>
        </w:rPr>
        <w:tab/>
        <w:t xml:space="preserve">S. Colombo </w:t>
      </w:r>
      <w:r w:rsidRPr="009B5FEF">
        <w:rPr>
          <w:rFonts w:cs="Arial"/>
          <w:i/>
          <w:iCs/>
          <w:noProof/>
          <w:szCs w:val="24"/>
        </w:rPr>
        <w:t>et al.</w:t>
      </w:r>
      <w:r w:rsidRPr="009B5FEF">
        <w:rPr>
          <w:rFonts w:cs="Arial"/>
          <w:noProof/>
          <w:szCs w:val="24"/>
        </w:rPr>
        <w:t>, “Involvement of distinct G-proteins, Gpa2 and Ras, in glucose-and intracellular acidification-induced cAMP signalling in the yeast Saccharomyces cerevisiae,” 1998.</w:t>
      </w:r>
    </w:p>
    <w:p w14:paraId="77F09386"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[67]</w:t>
      </w:r>
      <w:r w:rsidRPr="009B5FEF">
        <w:rPr>
          <w:rFonts w:cs="Arial"/>
          <w:noProof/>
          <w:szCs w:val="24"/>
        </w:rPr>
        <w:tab/>
        <w:t xml:space="preserve">K. A. Borkovich, F. W. Farrelly, D. B. Finkelstein, J. Taulien, and S. Lindquist, “hsp82 is an essential protein that is required in higher concentrations for growth of cells at higher temperatures.,” </w:t>
      </w:r>
      <w:r w:rsidRPr="009B5FEF">
        <w:rPr>
          <w:rFonts w:cs="Arial"/>
          <w:i/>
          <w:iCs/>
          <w:noProof/>
          <w:szCs w:val="24"/>
        </w:rPr>
        <w:t>Mol. Cell. Biol.</w:t>
      </w:r>
      <w:r w:rsidRPr="009B5FEF">
        <w:rPr>
          <w:rFonts w:cs="Arial"/>
          <w:noProof/>
          <w:szCs w:val="24"/>
        </w:rPr>
        <w:t>, vol. 9, no. 9, pp. 3919–30, Sep. 1989.</w:t>
      </w:r>
    </w:p>
    <w:p w14:paraId="63586D58"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[68]</w:t>
      </w:r>
      <w:r w:rsidRPr="009B5FEF">
        <w:rPr>
          <w:rFonts w:cs="Arial"/>
          <w:noProof/>
          <w:szCs w:val="24"/>
        </w:rPr>
        <w:tab/>
        <w:t xml:space="preserve">W. R. Boorstein and E. A. Craig, “Structure and regulation of the SSA4 HSP70 gene of Saccharomyces cerevisiae.,” </w:t>
      </w:r>
      <w:r w:rsidRPr="009B5FEF">
        <w:rPr>
          <w:rFonts w:cs="Arial"/>
          <w:i/>
          <w:iCs/>
          <w:noProof/>
          <w:szCs w:val="24"/>
        </w:rPr>
        <w:t>J. Biol. Chem.</w:t>
      </w:r>
      <w:r w:rsidRPr="009B5FEF">
        <w:rPr>
          <w:rFonts w:cs="Arial"/>
          <w:noProof/>
          <w:szCs w:val="24"/>
        </w:rPr>
        <w:t>, vol. 265, no. 31, pp. 18912–21, Nov. 1990.</w:t>
      </w:r>
    </w:p>
    <w:p w14:paraId="5267B7F0" w14:textId="77777777" w:rsidR="009B5FEF" w:rsidRPr="009B5FEF" w:rsidRDefault="009B5FEF" w:rsidP="002323D7">
      <w:pPr>
        <w:widowControl w:val="0"/>
        <w:autoSpaceDE w:val="0"/>
        <w:autoSpaceDN w:val="0"/>
        <w:adjustRightInd w:val="0"/>
        <w:spacing w:after="0" w:line="360" w:lineRule="auto"/>
        <w:ind w:hanging="640"/>
        <w:rPr>
          <w:rFonts w:cs="Arial"/>
          <w:noProof/>
          <w:szCs w:val="24"/>
        </w:rPr>
      </w:pPr>
      <w:r w:rsidRPr="009B5FEF">
        <w:rPr>
          <w:rFonts w:cs="Arial"/>
          <w:noProof/>
          <w:szCs w:val="24"/>
        </w:rPr>
        <w:t>[69]</w:t>
      </w:r>
      <w:r w:rsidRPr="009B5FEF">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9B5FEF">
        <w:rPr>
          <w:rFonts w:cs="Arial"/>
          <w:i/>
          <w:iCs/>
          <w:noProof/>
          <w:szCs w:val="24"/>
        </w:rPr>
        <w:t>Microbiology</w:t>
      </w:r>
      <w:r w:rsidRPr="009B5FEF">
        <w:rPr>
          <w:rFonts w:cs="Arial"/>
          <w:noProof/>
          <w:szCs w:val="24"/>
        </w:rPr>
        <w:t>, vol. 150, no. 12, pp. 4033–4043, 2004.</w:t>
      </w:r>
    </w:p>
    <w:p w14:paraId="70084C66" w14:textId="77777777" w:rsidR="009B5FEF" w:rsidRPr="009B5FEF" w:rsidRDefault="009B5FEF" w:rsidP="002323D7">
      <w:pPr>
        <w:widowControl w:val="0"/>
        <w:autoSpaceDE w:val="0"/>
        <w:autoSpaceDN w:val="0"/>
        <w:adjustRightInd w:val="0"/>
        <w:spacing w:after="0" w:line="360" w:lineRule="auto"/>
        <w:ind w:hanging="640"/>
        <w:rPr>
          <w:rFonts w:cs="Arial"/>
          <w:noProof/>
        </w:rPr>
      </w:pPr>
      <w:r w:rsidRPr="009B5FEF">
        <w:rPr>
          <w:rFonts w:cs="Arial"/>
          <w:noProof/>
          <w:szCs w:val="24"/>
        </w:rPr>
        <w:t>[70]</w:t>
      </w:r>
      <w:r w:rsidRPr="009B5FEF">
        <w:rPr>
          <w:rFonts w:cs="Arial"/>
          <w:noProof/>
          <w:szCs w:val="24"/>
        </w:rPr>
        <w:tab/>
        <w:t xml:space="preserve">J.-H. Yu, “Heterotrimeric G protein signaling and RGSs in Aspergillus nidulans,” </w:t>
      </w:r>
      <w:r w:rsidRPr="009B5FEF">
        <w:rPr>
          <w:rFonts w:cs="Arial"/>
          <w:i/>
          <w:iCs/>
          <w:noProof/>
          <w:szCs w:val="24"/>
        </w:rPr>
        <w:t>J. Microbiol. Microbiol. Soc. Korea</w:t>
      </w:r>
      <w:r w:rsidRPr="009B5FEF">
        <w:rPr>
          <w:rFonts w:cs="Arial"/>
          <w:noProof/>
          <w:szCs w:val="24"/>
        </w:rPr>
        <w:t>, vol. 44, no. 2, pp. 145–154, 2006.</w:t>
      </w:r>
    </w:p>
    <w:p w14:paraId="27033E25" w14:textId="0FA9CCF6" w:rsidR="00B934EF" w:rsidRPr="001133CE" w:rsidRDefault="00B934EF" w:rsidP="002323D7">
      <w:pPr>
        <w:spacing w:after="0" w:line="360" w:lineRule="auto"/>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CC194" w14:textId="77777777" w:rsidR="00CB5F25" w:rsidRDefault="00CB5F25" w:rsidP="0076361C">
      <w:pPr>
        <w:spacing w:after="0" w:line="240" w:lineRule="auto"/>
      </w:pPr>
      <w:r>
        <w:separator/>
      </w:r>
    </w:p>
  </w:endnote>
  <w:endnote w:type="continuationSeparator" w:id="0">
    <w:p w14:paraId="749D7A0B" w14:textId="77777777" w:rsidR="00CB5F25" w:rsidRDefault="00CB5F25"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5F034897" w:rsidR="001E0D3E" w:rsidRDefault="001E0D3E">
        <w:pPr>
          <w:pStyle w:val="Piedepgina"/>
          <w:jc w:val="right"/>
        </w:pPr>
        <w:r>
          <w:fldChar w:fldCharType="begin"/>
        </w:r>
        <w:r>
          <w:instrText>PAGE   \* MERGEFORMAT</w:instrText>
        </w:r>
        <w:r>
          <w:fldChar w:fldCharType="separate"/>
        </w:r>
        <w:r w:rsidR="00CB5F25" w:rsidRPr="00CB5F25">
          <w:rPr>
            <w:noProof/>
            <w:lang w:val="es-ES"/>
          </w:rPr>
          <w:t>1</w:t>
        </w:r>
        <w:r>
          <w:fldChar w:fldCharType="end"/>
        </w:r>
      </w:p>
    </w:sdtContent>
  </w:sdt>
  <w:p w14:paraId="20458E42" w14:textId="77777777" w:rsidR="001E0D3E" w:rsidRDefault="001E0D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47833" w14:textId="77777777" w:rsidR="00CB5F25" w:rsidRDefault="00CB5F25" w:rsidP="0076361C">
      <w:pPr>
        <w:spacing w:after="0" w:line="240" w:lineRule="auto"/>
      </w:pPr>
      <w:r>
        <w:separator/>
      </w:r>
    </w:p>
  </w:footnote>
  <w:footnote w:type="continuationSeparator" w:id="0">
    <w:p w14:paraId="715A634A" w14:textId="77777777" w:rsidR="00CB5F25" w:rsidRDefault="00CB5F25"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1B28"/>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4399"/>
    <w:rsid w:val="004A5D54"/>
    <w:rsid w:val="004A7D39"/>
    <w:rsid w:val="004B011C"/>
    <w:rsid w:val="004B1511"/>
    <w:rsid w:val="004B20F4"/>
    <w:rsid w:val="004B3499"/>
    <w:rsid w:val="004B5BAB"/>
    <w:rsid w:val="004C57ED"/>
    <w:rsid w:val="004D02D0"/>
    <w:rsid w:val="004D30E4"/>
    <w:rsid w:val="004E0D7E"/>
    <w:rsid w:val="004E21AF"/>
    <w:rsid w:val="004E7807"/>
    <w:rsid w:val="004F3734"/>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B75DC"/>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189A"/>
    <w:rsid w:val="0086425A"/>
    <w:rsid w:val="00870084"/>
    <w:rsid w:val="00870584"/>
    <w:rsid w:val="0087329F"/>
    <w:rsid w:val="00882B84"/>
    <w:rsid w:val="008852D8"/>
    <w:rsid w:val="00893A88"/>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0543E"/>
    <w:rsid w:val="00B11FFA"/>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9B70F08B-AB22-41EC-A33E-A1CFFAEE6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11366</TotalTime>
  <Pages>32</Pages>
  <Words>50451</Words>
  <Characters>277482</Characters>
  <Application>Microsoft Office Word</Application>
  <DocSecurity>0</DocSecurity>
  <Lines>2312</Lines>
  <Paragraphs>654</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327279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131</cp:revision>
  <cp:lastPrinted>2018-10-10T04:01:00Z</cp:lastPrinted>
  <dcterms:created xsi:type="dcterms:W3CDTF">2018-10-07T08:04:00Z</dcterms:created>
  <dcterms:modified xsi:type="dcterms:W3CDTF">2018-11-06T01:12:00Z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