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6"/>
          <w:szCs w:val="36"/>
        </w:rPr>
      </w:pPr>
      <w:r w:rsidDel="00000000" w:rsidR="00000000" w:rsidRPr="00000000">
        <w:rPr>
          <w:b w:val="1"/>
          <w:bCs w:val="1"/>
          <w:sz w:val="48"/>
          <w:szCs w:val="48"/>
          <w:rtl w:val="0"/>
        </w:rPr>
        <w:t xml:space="preserve">Blockchain: </w:t>
        <w:br w:type="textWrapping"/>
        <w:t xml:space="preserve">Sistematización del Tema de Investigación </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Línea de Investigación:</w:t>
      </w:r>
    </w:p>
    <w:p w:rsidR="00000000" w:rsidDel="00000000" w:rsidP="00000000" w:rsidRDefault="00000000" w:rsidRPr="00000000" w14:paraId="00000003">
      <w:pPr>
        <w:rPr/>
      </w:pPr>
      <w:r w:rsidDel="00000000" w:rsidR="00000000" w:rsidRPr="00000000">
        <w:rPr>
          <w:rtl w:val="0"/>
        </w:rPr>
        <w:t xml:space="preserve">Blockchain aplicada a la trazabilidad</w:t>
      </w:r>
    </w:p>
    <w:p w:rsidR="00000000" w:rsidDel="00000000" w:rsidP="00000000" w:rsidRDefault="00000000" w:rsidRPr="00000000" w14:paraId="00000004">
      <w:pPr>
        <w:rPr/>
      </w:pPr>
      <w:r w:rsidDel="00000000" w:rsidR="00000000" w:rsidRPr="00000000">
        <w:rPr>
          <w:b w:val="1"/>
          <w:bCs w:val="1"/>
          <w:rtl w:val="0"/>
        </w:rPr>
        <w:t xml:space="preserve">Diagnóstico Preliminar: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problema central reside en la trazabilidad deficiente y fragmentada de la cadena de suministro agroalimentaria global, impulsada por la dependencia de sistemas de registro tradicionales (centralizados/papel), los cuales son inherentemente susceptibles a errores, manipulación y falta de interoperabilidad. Esta vulnerabilidad sistémica tiene un doble impacto: primero, genera asimetría de información y erosión de la confianza del consumidor a nivel global debido a la opacidad y los riesgos de seguridad; y segundo, limita severamente la competitividad y el acceso a mercados de alto valor para pequeños agricultores como las cooperativas agrarias peruanas, al obstaculizar su capacidad de verificar y certificar eficazmente el origen y la calidad de sus productos.</w:t>
      </w:r>
    </w:p>
    <w:p w:rsidR="00000000" w:rsidDel="00000000" w:rsidP="00000000" w:rsidRDefault="00000000" w:rsidRPr="00000000" w14:paraId="00000006">
      <w:pPr>
        <w:rPr>
          <w:b w:val="1"/>
          <w:bCs w:val="1"/>
        </w:rPr>
      </w:pPr>
      <w:r w:rsidDel="00000000" w:rsidR="00000000" w:rsidRPr="00000000">
        <w:rPr>
          <w:b w:val="1"/>
          <w:bCs w:val="1"/>
          <w:rtl w:val="0"/>
        </w:rPr>
        <w:t xml:space="preserve">Tema General:  </w:t>
      </w:r>
    </w:p>
    <w:p w:rsidR="00000000" w:rsidDel="00000000" w:rsidP="00000000" w:rsidRDefault="00000000" w:rsidRPr="00000000" w14:paraId="00000007">
      <w:pPr>
        <w:rPr>
          <w:highlight w:val="cyan"/>
        </w:rPr>
      </w:pP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p>
    <w:p w:rsidR="00000000" w:rsidDel="00000000" w:rsidP="00000000" w:rsidRDefault="00000000" w:rsidRPr="00000000" w14:paraId="00000008">
      <w:pPr>
        <w:rPr>
          <w:b w:val="1"/>
          <w:bCs w:val="1"/>
        </w:rPr>
      </w:pPr>
      <w:r w:rsidDel="00000000" w:rsidR="00000000" w:rsidRPr="00000000">
        <w:rPr>
          <w:b w:val="1"/>
          <w:bCs w:val="1"/>
          <w:rtl w:val="0"/>
        </w:rPr>
        <w:t xml:space="preserve">Temas Particulares: </w:t>
      </w:r>
    </w:p>
    <w:p w:rsidR="00000000" w:rsidDel="00000000" w:rsidP="00000000" w:rsidRDefault="00000000" w:rsidRPr="00000000" w14:paraId="00000009">
      <w:pPr>
        <w:numPr>
          <w:ilvl w:val="0"/>
          <w:numId w:val="1"/>
        </w:numPr>
        <w:ind w:left="720" w:hanging="360"/>
        <w:rPr/>
      </w:pPr>
      <w:r w:rsidDel="00000000" w:rsidR="00000000" w:rsidRPr="00000000">
        <w:rPr>
          <w:highlight w:val="green"/>
          <w:rtl w:val="0"/>
        </w:rPr>
        <w:t xml:space="preserve">Cadena de suministro</w:t>
      </w:r>
      <w:r w:rsidDel="00000000" w:rsidR="00000000" w:rsidRPr="00000000">
        <w:rPr>
          <w:rtl w:val="0"/>
        </w:rPr>
        <w:t xml:space="preserve"> en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Seguridad en la cadena de suministro en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Procesos logísticos en la industria cafetera en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Temas Específicos: </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Falta de confianza de la  </w:t>
      </w:r>
      <w:r w:rsidDel="00000000" w:rsidR="00000000" w:rsidRPr="00000000">
        <w:rPr>
          <w:highlight w:val="green"/>
          <w:rtl w:val="0"/>
        </w:rPr>
        <w:t xml:space="preserve">cadena de suministro</w:t>
      </w:r>
      <w:r w:rsidDel="00000000" w:rsidR="00000000" w:rsidRPr="00000000">
        <w:rPr>
          <w:rtl w:val="0"/>
        </w:rPr>
        <w:t xml:space="preserve"> en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Falta de certificación y validación de calidad de la  </w:t>
      </w:r>
      <w:r w:rsidDel="00000000" w:rsidR="00000000" w:rsidRPr="00000000">
        <w:rPr>
          <w:highlight w:val="green"/>
          <w:rtl w:val="0"/>
        </w:rPr>
        <w:t xml:space="preserve">cadena de suministro</w:t>
      </w:r>
      <w:r w:rsidDel="00000000" w:rsidR="00000000" w:rsidRPr="00000000">
        <w:rPr>
          <w:rtl w:val="0"/>
        </w:rPr>
        <w:t xml:space="preserve"> en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highlight w:val="red"/>
          <w:rtl w:val="0"/>
        </w:rPr>
        <w:t xml:space="preserve">Deficiente</w:t>
      </w:r>
      <w:r w:rsidDel="00000000" w:rsidR="00000000" w:rsidRPr="00000000">
        <w:rPr>
          <w:rtl w:val="0"/>
        </w:rPr>
        <w:t xml:space="preserve"> </w:t>
      </w:r>
      <w:r w:rsidDel="00000000" w:rsidR="00000000" w:rsidRPr="00000000">
        <w:rPr>
          <w:highlight w:val="yellow"/>
          <w:rtl w:val="0"/>
        </w:rPr>
        <w:t xml:space="preserve">trazabilidad</w:t>
      </w:r>
      <w:r w:rsidDel="00000000" w:rsidR="00000000" w:rsidRPr="00000000">
        <w:rPr>
          <w:rtl w:val="0"/>
        </w:rPr>
        <w:t xml:space="preserve"> de la </w:t>
      </w:r>
      <w:r w:rsidDel="00000000" w:rsidR="00000000" w:rsidRPr="00000000">
        <w:rPr>
          <w:highlight w:val="green"/>
          <w:rtl w:val="0"/>
        </w:rPr>
        <w:t xml:space="preserve">cadena de suministro </w:t>
      </w:r>
      <w:r w:rsidDel="00000000" w:rsidR="00000000" w:rsidRPr="00000000">
        <w:rPr>
          <w:rtl w:val="0"/>
        </w:rPr>
        <w:t xml:space="preserve">de las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t xml:space="preserve">.</w:t>
      </w:r>
    </w:p>
    <w:p w:rsidR="00000000" w:rsidDel="00000000" w:rsidP="00000000" w:rsidRDefault="00000000" w:rsidRPr="00000000" w14:paraId="00000010">
      <w:pPr>
        <w:rPr>
          <w:rFonts w:ascii="Arial" w:cs="Arial" w:eastAsia="Arial" w:hAnsi="Arial"/>
          <w:b w:val="1"/>
          <w:bCs w:val="1"/>
          <w:color w:val="e8e8e8"/>
          <w:sz w:val="21"/>
          <w:szCs w:val="21"/>
          <w:shd w:fill="22262b" w:val="clea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Problema de Estudio:</w:t>
      </w:r>
    </w:p>
    <w:p w:rsidR="00000000" w:rsidDel="00000000" w:rsidP="00000000" w:rsidRDefault="00000000" w:rsidRPr="00000000" w14:paraId="00000012">
      <w:pPr>
        <w:ind w:left="0" w:firstLine="0"/>
        <w:rPr/>
      </w:pPr>
      <w:r w:rsidDel="00000000" w:rsidR="00000000" w:rsidRPr="00000000">
        <w:rPr>
          <w:highlight w:val="red"/>
          <w:rtl w:val="0"/>
        </w:rPr>
        <w:t xml:space="preserve">Deficiente</w:t>
      </w:r>
      <w:r w:rsidDel="00000000" w:rsidR="00000000" w:rsidRPr="00000000">
        <w:rPr>
          <w:rtl w:val="0"/>
        </w:rPr>
        <w:t xml:space="preserve"> </w:t>
      </w:r>
      <w:r w:rsidDel="00000000" w:rsidR="00000000" w:rsidRPr="00000000">
        <w:rPr>
          <w:highlight w:val="yellow"/>
          <w:rtl w:val="0"/>
        </w:rPr>
        <w:t xml:space="preserve">trazabilidad</w:t>
      </w:r>
      <w:r w:rsidDel="00000000" w:rsidR="00000000" w:rsidRPr="00000000">
        <w:rPr>
          <w:rtl w:val="0"/>
        </w:rPr>
        <w:t xml:space="preserve"> de la </w:t>
      </w:r>
      <w:r w:rsidDel="00000000" w:rsidR="00000000" w:rsidRPr="00000000">
        <w:rPr>
          <w:highlight w:val="green"/>
          <w:rtl w:val="0"/>
        </w:rPr>
        <w:t xml:space="preserve">cadena de suministro </w:t>
      </w:r>
      <w:r w:rsidDel="00000000" w:rsidR="00000000" w:rsidRPr="00000000">
        <w:rPr>
          <w:rtl w:val="0"/>
        </w:rPr>
        <w:t xml:space="preserve">de las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t xml:space="preserve">.</w:t>
      </w:r>
    </w:p>
    <w:p w:rsidR="00000000" w:rsidDel="00000000" w:rsidP="00000000" w:rsidRDefault="00000000" w:rsidRPr="00000000" w14:paraId="00000013">
      <w:pPr>
        <w:rPr>
          <w:b w:val="1"/>
          <w:bCs w:val="1"/>
        </w:rPr>
      </w:pPr>
      <w:r w:rsidDel="00000000" w:rsidR="00000000" w:rsidRPr="00000000">
        <w:rPr>
          <w:b w:val="1"/>
          <w:bCs w:val="1"/>
          <w:rtl w:val="0"/>
        </w:rPr>
        <w:t xml:space="preserve">Título Preliminar:</w:t>
      </w:r>
    </w:p>
    <w:p w:rsidR="00000000" w:rsidDel="00000000" w:rsidP="00000000" w:rsidRDefault="00000000" w:rsidRPr="00000000" w14:paraId="00000014">
      <w:pPr>
        <w:ind w:left="0" w:firstLine="0"/>
        <w:rPr>
          <w:highlight w:val="cyan"/>
        </w:rPr>
      </w:pPr>
      <w:r w:rsidDel="00000000" w:rsidR="00000000" w:rsidRPr="00000000">
        <w:rPr>
          <w:highlight w:val="yellow"/>
          <w:rtl w:val="0"/>
        </w:rPr>
        <w:t xml:space="preserve">Trazabilidad</w:t>
      </w:r>
      <w:r w:rsidDel="00000000" w:rsidR="00000000" w:rsidRPr="00000000">
        <w:rPr>
          <w:rtl w:val="0"/>
        </w:rPr>
        <w:t xml:space="preserve"> de la </w:t>
      </w:r>
      <w:r w:rsidDel="00000000" w:rsidR="00000000" w:rsidRPr="00000000">
        <w:rPr>
          <w:highlight w:val="green"/>
          <w:rtl w:val="0"/>
        </w:rPr>
        <w:t xml:space="preserve">cadena de suministro </w:t>
      </w:r>
      <w:r w:rsidDel="00000000" w:rsidR="00000000" w:rsidRPr="00000000">
        <w:rPr>
          <w:rtl w:val="0"/>
        </w:rPr>
        <w:t xml:space="preserve">de las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numPr>
          <w:ilvl w:val="0"/>
          <w:numId w:val="3"/>
        </w:numPr>
        <w:ind w:left="720" w:hanging="360"/>
        <w:rPr>
          <w:b w:val="1"/>
          <w:bCs w:val="1"/>
        </w:rPr>
      </w:pPr>
      <w:r w:rsidDel="00000000" w:rsidR="00000000" w:rsidRPr="00000000">
        <w:rPr>
          <w:b w:val="1"/>
          <w:bCs w:val="1"/>
          <w:rtl w:val="0"/>
        </w:rPr>
        <w:t xml:space="preserve">Variable dependiente: </w:t>
      </w:r>
      <w:r w:rsidDel="00000000" w:rsidR="00000000" w:rsidRPr="00000000">
        <w:rPr>
          <w:highlight w:val="yellow"/>
          <w:rtl w:val="0"/>
        </w:rPr>
        <w:t xml:space="preserve">Trazabilidad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numPr>
          <w:ilvl w:val="0"/>
          <w:numId w:val="3"/>
        </w:numPr>
        <w:ind w:left="720" w:hanging="360"/>
        <w:rPr/>
      </w:pPr>
      <w:r w:rsidDel="00000000" w:rsidR="00000000" w:rsidRPr="00000000">
        <w:rPr>
          <w:b w:val="1"/>
          <w:bCs w:val="1"/>
          <w:rtl w:val="0"/>
        </w:rPr>
        <w:t xml:space="preserve">Objeto de estudio: </w:t>
      </w:r>
      <w:r w:rsidDel="00000000" w:rsidR="00000000" w:rsidRPr="00000000">
        <w:rPr>
          <w:highlight w:val="green"/>
          <w:rtl w:val="0"/>
        </w:rPr>
        <w:t xml:space="preserve">cadena de suministro</w:t>
      </w:r>
      <w:r w:rsidDel="00000000" w:rsidR="00000000" w:rsidRPr="00000000">
        <w:rPr>
          <w:rtl w:val="0"/>
        </w:rPr>
      </w:r>
    </w:p>
    <w:p w:rsidR="00000000" w:rsidDel="00000000" w:rsidP="00000000" w:rsidRDefault="00000000" w:rsidRPr="00000000" w14:paraId="00000017">
      <w:pPr>
        <w:numPr>
          <w:ilvl w:val="0"/>
          <w:numId w:val="3"/>
        </w:numPr>
        <w:ind w:left="720" w:hanging="360"/>
        <w:rPr/>
      </w:pPr>
      <w:r w:rsidDel="00000000" w:rsidR="00000000" w:rsidRPr="00000000">
        <w:rPr>
          <w:b w:val="1"/>
          <w:bCs w:val="1"/>
          <w:rtl w:val="0"/>
        </w:rPr>
        <w:t xml:space="preserve">Alcance espacial: </w:t>
      </w:r>
      <w:r w:rsidDel="00000000" w:rsidR="00000000" w:rsidRPr="00000000">
        <w:rPr>
          <w:color w:val="ffffff"/>
          <w:highlight w:val="magenta"/>
          <w:rtl w:val="0"/>
        </w:rPr>
        <w:t xml:space="preserve">Cooperativas agrarias peruanass </w:t>
      </w:r>
      <w:r w:rsidDel="00000000" w:rsidR="00000000" w:rsidRPr="00000000">
        <w:rPr>
          <w:rtl w:val="0"/>
        </w:rPr>
      </w:r>
    </w:p>
    <w:p w:rsidR="00000000" w:rsidDel="00000000" w:rsidP="00000000" w:rsidRDefault="00000000" w:rsidRPr="00000000" w14:paraId="00000018">
      <w:pPr>
        <w:numPr>
          <w:ilvl w:val="0"/>
          <w:numId w:val="3"/>
        </w:numPr>
        <w:ind w:left="720" w:hanging="360"/>
        <w:rPr>
          <w:b w:val="1"/>
          <w:bCs w:val="1"/>
        </w:rPr>
      </w:pPr>
      <w:r w:rsidDel="00000000" w:rsidR="00000000" w:rsidRPr="00000000">
        <w:rPr>
          <w:b w:val="1"/>
          <w:bCs w:val="1"/>
          <w:rtl w:val="0"/>
        </w:rPr>
        <w:t xml:space="preserve">Alcance temporal: </w:t>
      </w:r>
      <w:r w:rsidDel="00000000" w:rsidR="00000000" w:rsidRPr="00000000">
        <w:rPr>
          <w:highlight w:val="cyan"/>
          <w:rtl w:val="0"/>
        </w:rPr>
        <w:t xml:space="preserve">2025</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Antecedentes Bibliográficos: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Alwi, A., Sasongko, N. A., Suprapto, S., Suryana, Y., &amp; Subagyo, H. (2024). </w:t>
      </w:r>
      <w:r w:rsidDel="00000000" w:rsidR="00000000" w:rsidRPr="00000000">
        <w:rPr>
          <w:shd w:fill="b7b7b7" w:val="clear"/>
          <w:rtl w:val="0"/>
        </w:rPr>
        <w:t xml:space="preserve">Blockchain </w:t>
      </w:r>
      <w:r w:rsidDel="00000000" w:rsidR="00000000" w:rsidRPr="00000000">
        <w:rPr>
          <w:rtl w:val="0"/>
        </w:rPr>
        <w:t xml:space="preserve">and big data integration design for </w:t>
      </w:r>
      <w:r w:rsidDel="00000000" w:rsidR="00000000" w:rsidRPr="00000000">
        <w:rPr>
          <w:highlight w:val="yellow"/>
          <w:rtl w:val="0"/>
        </w:rPr>
        <w:t xml:space="preserve">traceability</w:t>
      </w:r>
      <w:r w:rsidDel="00000000" w:rsidR="00000000" w:rsidRPr="00000000">
        <w:rPr>
          <w:rtl w:val="0"/>
        </w:rPr>
        <w:t xml:space="preserve"> and carbon footprint management in the fishery </w:t>
      </w:r>
      <w:r w:rsidDel="00000000" w:rsidR="00000000" w:rsidRPr="00000000">
        <w:rPr>
          <w:highlight w:val="green"/>
          <w:rtl w:val="0"/>
        </w:rPr>
        <w:t xml:space="preserve">supply chain</w:t>
      </w:r>
      <w:r w:rsidDel="00000000" w:rsidR="00000000" w:rsidRPr="00000000">
        <w:rPr>
          <w:rtl w:val="0"/>
        </w:rPr>
        <w:t xml:space="preserve">. </w:t>
      </w:r>
      <w:r w:rsidDel="00000000" w:rsidR="00000000" w:rsidRPr="00000000">
        <w:rPr>
          <w:i w:val="1"/>
          <w:iCs w:val="1"/>
          <w:rtl w:val="0"/>
        </w:rPr>
        <w:t xml:space="preserve">Egyptian Informatics Journal, 26</w:t>
      </w:r>
      <w:r w:rsidDel="00000000" w:rsidR="00000000" w:rsidRPr="00000000">
        <w:rPr>
          <w:rtl w:val="0"/>
        </w:rPr>
        <w:t xml:space="preserve">, 100481.</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https://doi.org/10.1016/j.eij.2024.100481</w:t>
        </w:r>
      </w:hyperlink>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Armas, K. L., et al. (2023). </w:t>
      </w:r>
      <w:r w:rsidDel="00000000" w:rsidR="00000000" w:rsidRPr="00000000">
        <w:rPr>
          <w:shd w:fill="b7b7b7" w:val="clear"/>
          <w:rtl w:val="0"/>
        </w:rPr>
        <w:t xml:space="preserve">Blockchain </w:t>
      </w:r>
      <w:r w:rsidDel="00000000" w:rsidR="00000000" w:rsidRPr="00000000">
        <w:rPr>
          <w:rtl w:val="0"/>
        </w:rPr>
        <w:t xml:space="preserve">Technology for </w:t>
      </w:r>
      <w:r w:rsidDel="00000000" w:rsidR="00000000" w:rsidRPr="00000000">
        <w:rPr>
          <w:highlight w:val="yellow"/>
          <w:rtl w:val="0"/>
        </w:rPr>
        <w:t xml:space="preserve">Traceability </w:t>
      </w:r>
      <w:r w:rsidDel="00000000" w:rsidR="00000000" w:rsidRPr="00000000">
        <w:rPr>
          <w:rtl w:val="0"/>
        </w:rPr>
        <w:t xml:space="preserve">and Transparency in the Onion Industry of the Philippines. </w:t>
      </w:r>
      <w:r w:rsidDel="00000000" w:rsidR="00000000" w:rsidRPr="00000000">
        <w:rPr>
          <w:i w:val="1"/>
          <w:iCs w:val="1"/>
          <w:rtl w:val="0"/>
        </w:rPr>
        <w:t xml:space="preserve">IJETT, International Journal of Engineering and Technology Transformation</w:t>
      </w:r>
      <w:r w:rsidDel="00000000" w:rsidR="00000000" w:rsidRPr="00000000">
        <w:rPr>
          <w:rtl w:val="0"/>
        </w:rPr>
        <w:t xml:space="preserve">, </w:t>
      </w:r>
      <w:r w:rsidDel="00000000" w:rsidR="00000000" w:rsidRPr="00000000">
        <w:rPr>
          <w:i w:val="1"/>
          <w:iCs w:val="1"/>
          <w:rtl w:val="0"/>
        </w:rPr>
        <w:t xml:space="preserve">71</w:t>
      </w:r>
      <w:r w:rsidDel="00000000" w:rsidR="00000000" w:rsidRPr="00000000">
        <w:rPr>
          <w:rtl w:val="0"/>
        </w:rPr>
        <w:t xml:space="preserve">(9), 162–169. </w:t>
      </w:r>
      <w:hyperlink r:id="rId9">
        <w:r w:rsidDel="00000000" w:rsidR="00000000" w:rsidRPr="00000000">
          <w:rPr>
            <w:color w:val="1155cc"/>
            <w:u w:val="single"/>
            <w:rtl w:val="0"/>
          </w:rPr>
          <w:t xml:space="preserve">https://doi.org/</w:t>
        </w:r>
      </w:hyperlink>
      <w:hyperlink r:id="rId10">
        <w:r w:rsidDel="00000000" w:rsidR="00000000" w:rsidRPr="00000000">
          <w:rPr>
            <w:rFonts w:ascii="Roboto" w:cs="Roboto" w:eastAsia="Roboto" w:hAnsi="Roboto"/>
            <w:color w:val="1155cc"/>
            <w:sz w:val="21"/>
            <w:szCs w:val="21"/>
            <w:highlight w:val="white"/>
            <w:u w:val="single"/>
            <w:rtl w:val="0"/>
          </w:rPr>
          <w:t xml:space="preserve">10.14445/22315381/IJETT-V71I9P215</w:t>
        </w:r>
      </w:hyperlink>
      <w:r w:rsidDel="00000000" w:rsidR="00000000" w:rsidRPr="00000000">
        <w:rPr>
          <w:rFonts w:ascii="Roboto" w:cs="Roboto" w:eastAsia="Roboto" w:hAnsi="Roboto"/>
          <w:color w:val="262626"/>
          <w:sz w:val="21"/>
          <w:szCs w:val="21"/>
          <w:highlight w:val="white"/>
          <w:rtl w:val="0"/>
        </w:rPr>
        <w:t xml:space="preserve">    </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Badea, D. O., Darabont, D. C., Cioca, L.-I., Trifu, A., &amp; Barsan, V.-A. (2024). </w:t>
      </w:r>
      <w:r w:rsidDel="00000000" w:rsidR="00000000" w:rsidRPr="00000000">
        <w:rPr>
          <w:i w:val="1"/>
          <w:iCs w:val="1"/>
          <w:shd w:fill="999999" w:val="clear"/>
          <w:rtl w:val="0"/>
        </w:rPr>
        <w:t xml:space="preserve">Blockchain </w:t>
      </w:r>
      <w:r w:rsidDel="00000000" w:rsidR="00000000" w:rsidRPr="00000000">
        <w:rPr>
          <w:i w:val="1"/>
          <w:iCs w:val="1"/>
          <w:rtl w:val="0"/>
        </w:rPr>
        <w:t xml:space="preserve">technology for </w:t>
      </w:r>
      <w:r w:rsidDel="00000000" w:rsidR="00000000" w:rsidRPr="00000000">
        <w:rPr>
          <w:i w:val="1"/>
          <w:iCs w:val="1"/>
          <w:highlight w:val="yellow"/>
          <w:rtl w:val="0"/>
        </w:rPr>
        <w:t xml:space="preserve">enhanced traceability</w:t>
      </w:r>
      <w:r w:rsidDel="00000000" w:rsidR="00000000" w:rsidRPr="00000000">
        <w:rPr>
          <w:i w:val="1"/>
          <w:iCs w:val="1"/>
          <w:rtl w:val="0"/>
        </w:rPr>
        <w:t xml:space="preserve"> and sustainability of personal protective equipment in Romanian </w:t>
      </w:r>
      <w:r w:rsidDel="00000000" w:rsidR="00000000" w:rsidRPr="00000000">
        <w:rPr>
          <w:i w:val="1"/>
          <w:iCs w:val="1"/>
          <w:highlight w:val="magenta"/>
          <w:rtl w:val="0"/>
        </w:rPr>
        <w:t xml:space="preserve">agriculture</w:t>
      </w:r>
      <w:r w:rsidDel="00000000" w:rsidR="00000000" w:rsidRPr="00000000">
        <w:rPr>
          <w:rtl w:val="0"/>
        </w:rPr>
        <w:t xml:space="preserve">. [Manuscrito o informe inédito].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https://doi.org/10.35633/inmateh-74-48</w:t>
        </w:r>
      </w:hyperlink>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Behnke, K., &amp; Janssen, M. F. W. H. A. (2020). Boundary conditions for </w:t>
      </w:r>
      <w:r w:rsidDel="00000000" w:rsidR="00000000" w:rsidRPr="00000000">
        <w:rPr>
          <w:highlight w:val="yellow"/>
          <w:rtl w:val="0"/>
        </w:rPr>
        <w:t xml:space="preserve">traceability </w:t>
      </w:r>
      <w:r w:rsidDel="00000000" w:rsidR="00000000" w:rsidRPr="00000000">
        <w:rPr>
          <w:rtl w:val="0"/>
        </w:rPr>
        <w:t xml:space="preserve">in food </w:t>
      </w:r>
      <w:r w:rsidDel="00000000" w:rsidR="00000000" w:rsidRPr="00000000">
        <w:rPr>
          <w:highlight w:val="green"/>
          <w:rtl w:val="0"/>
        </w:rPr>
        <w:t xml:space="preserve">supply chains</w:t>
      </w:r>
      <w:r w:rsidDel="00000000" w:rsidR="00000000" w:rsidRPr="00000000">
        <w:rPr>
          <w:rtl w:val="0"/>
        </w:rPr>
        <w:t xml:space="preserve"> using blockchain technology. </w:t>
      </w:r>
      <w:r w:rsidDel="00000000" w:rsidR="00000000" w:rsidRPr="00000000">
        <w:rPr>
          <w:i w:val="1"/>
          <w:iCs w:val="1"/>
          <w:rtl w:val="0"/>
        </w:rPr>
        <w:t xml:space="preserve">International Journal of Information Management</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 101969. </w:t>
      </w:r>
      <w:hyperlink r:id="rId13">
        <w:r w:rsidDel="00000000" w:rsidR="00000000" w:rsidRPr="00000000">
          <w:rPr>
            <w:color w:val="1155cc"/>
            <w:u w:val="single"/>
            <w:rtl w:val="0"/>
          </w:rPr>
          <w:t xml:space="preserve">https://doi.org/10.1016/j.ijinfomgt.2019.05.025</w:t>
        </w:r>
      </w:hyperlink>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Borrero, J. D. (2019). Sistema de </w:t>
      </w:r>
      <w:r w:rsidDel="00000000" w:rsidR="00000000" w:rsidRPr="00000000">
        <w:rPr>
          <w:highlight w:val="yellow"/>
          <w:rtl w:val="0"/>
        </w:rPr>
        <w:t xml:space="preserve">trazabilidad </w:t>
      </w:r>
      <w:r w:rsidDel="00000000" w:rsidR="00000000" w:rsidRPr="00000000">
        <w:rPr>
          <w:rtl w:val="0"/>
        </w:rPr>
        <w:t xml:space="preserve">de la </w:t>
      </w:r>
      <w:r w:rsidDel="00000000" w:rsidR="00000000" w:rsidRPr="00000000">
        <w:rPr>
          <w:highlight w:val="green"/>
          <w:rtl w:val="0"/>
        </w:rPr>
        <w:t xml:space="preserve">cadena de suministro</w:t>
      </w:r>
      <w:r w:rsidDel="00000000" w:rsidR="00000000" w:rsidRPr="00000000">
        <w:rPr>
          <w:rtl w:val="0"/>
        </w:rPr>
        <w:t xml:space="preserve"> agroalimentario para </w:t>
      </w:r>
      <w:r w:rsidDel="00000000" w:rsidR="00000000" w:rsidRPr="00000000">
        <w:rPr>
          <w:highlight w:val="magenta"/>
          <w:rtl w:val="0"/>
        </w:rPr>
        <w:t xml:space="preserve">cooperativas de frutas y hortalizas</w:t>
      </w:r>
      <w:r w:rsidDel="00000000" w:rsidR="00000000" w:rsidRPr="00000000">
        <w:rPr>
          <w:rtl w:val="0"/>
        </w:rPr>
        <w:t xml:space="preserve"> basado en la </w:t>
      </w:r>
      <w:r w:rsidDel="00000000" w:rsidR="00000000" w:rsidRPr="00000000">
        <w:rPr>
          <w:shd w:fill="b7b7b7" w:val="clear"/>
          <w:rtl w:val="0"/>
        </w:rPr>
        <w:t xml:space="preserve">tecnología Blockchain</w:t>
      </w:r>
      <w:r w:rsidDel="00000000" w:rsidR="00000000" w:rsidRPr="00000000">
        <w:rPr>
          <w:rtl w:val="0"/>
        </w:rPr>
        <w:t xml:space="preserve">. </w:t>
      </w:r>
      <w:r w:rsidDel="00000000" w:rsidR="00000000" w:rsidRPr="00000000">
        <w:rPr>
          <w:i w:val="1"/>
          <w:iCs w:val="1"/>
          <w:rtl w:val="0"/>
        </w:rPr>
        <w:t xml:space="preserve">CIRIEC-España, Revista de Economía Pública, Social y Cooperativa</w:t>
      </w:r>
      <w:r w:rsidDel="00000000" w:rsidR="00000000" w:rsidRPr="00000000">
        <w:rPr>
          <w:rtl w:val="0"/>
        </w:rPr>
        <w:t xml:space="preserve">, (95), 71–94. </w:t>
      </w:r>
      <w:hyperlink r:id="rId14">
        <w:r w:rsidDel="00000000" w:rsidR="00000000" w:rsidRPr="00000000">
          <w:rPr>
            <w:color w:val="1155cc"/>
            <w:u w:val="single"/>
            <w:rtl w:val="0"/>
          </w:rPr>
          <w:t xml:space="preserve">https://doi.org/10.7203/CIRIEC-E.95.13123</w:t>
        </w:r>
      </w:hyperlink>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Boumaiza, A., &amp; Maher, K. (2024). Leveraging </w:t>
      </w:r>
      <w:r w:rsidDel="00000000" w:rsidR="00000000" w:rsidRPr="00000000">
        <w:rPr>
          <w:shd w:fill="b7b7b7" w:val="clear"/>
          <w:rtl w:val="0"/>
        </w:rPr>
        <w:t xml:space="preserve">Blockchain </w:t>
      </w:r>
      <w:r w:rsidDel="00000000" w:rsidR="00000000" w:rsidRPr="00000000">
        <w:rPr>
          <w:rtl w:val="0"/>
        </w:rPr>
        <w:t xml:space="preserve">for Enhanced </w:t>
      </w:r>
      <w:r w:rsidDel="00000000" w:rsidR="00000000" w:rsidRPr="00000000">
        <w:rPr>
          <w:highlight w:val="yellow"/>
          <w:rtl w:val="0"/>
        </w:rPr>
        <w:t xml:space="preserve">Traceability </w:t>
      </w:r>
      <w:r w:rsidDel="00000000" w:rsidR="00000000" w:rsidRPr="00000000">
        <w:rPr>
          <w:rtl w:val="0"/>
        </w:rPr>
        <w:t xml:space="preserve">and Transparency in Sustainable Development. </w:t>
      </w:r>
      <w:r w:rsidDel="00000000" w:rsidR="00000000" w:rsidRPr="00000000">
        <w:rPr>
          <w:i w:val="1"/>
          <w:iCs w:val="1"/>
          <w:rtl w:val="0"/>
        </w:rPr>
        <w:t xml:space="preserve">International Journal of Electrical Power and Energy Systems</w:t>
      </w:r>
      <w:r w:rsidDel="00000000" w:rsidR="00000000" w:rsidRPr="00000000">
        <w:rPr>
          <w:rtl w:val="0"/>
        </w:rPr>
        <w:t xml:space="preserve">, </w:t>
      </w:r>
      <w:r w:rsidDel="00000000" w:rsidR="00000000" w:rsidRPr="00000000">
        <w:rPr>
          <w:i w:val="1"/>
          <w:iCs w:val="1"/>
          <w:rtl w:val="0"/>
        </w:rPr>
        <w:t xml:space="preserve">162</w:t>
      </w:r>
      <w:r w:rsidDel="00000000" w:rsidR="00000000" w:rsidRPr="00000000">
        <w:rPr>
          <w:rtl w:val="0"/>
        </w:rPr>
        <w:t xml:space="preserve">, 110225. </w:t>
      </w:r>
      <w:hyperlink r:id="rId15">
        <w:r w:rsidDel="00000000" w:rsidR="00000000" w:rsidRPr="00000000">
          <w:rPr>
            <w:color w:val="1155cc"/>
            <w:u w:val="single"/>
            <w:rtl w:val="0"/>
          </w:rPr>
          <w:t xml:space="preserve">https://doi.org/10.1016/j.ijepes.2024.110225</w:t>
        </w:r>
      </w:hyperlink>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Chen, F., Zhao, C., Yang, X., Luo, N., &amp; Sun, C. (2025). A lightweight accountable parallel </w:t>
      </w:r>
      <w:r w:rsidDel="00000000" w:rsidR="00000000" w:rsidRPr="00000000">
        <w:rPr>
          <w:shd w:fill="b7b7b7" w:val="clear"/>
          <w:rtl w:val="0"/>
        </w:rPr>
        <w:t xml:space="preserve">blockchain </w:t>
      </w:r>
      <w:r w:rsidDel="00000000" w:rsidR="00000000" w:rsidRPr="00000000">
        <w:rPr>
          <w:rtl w:val="0"/>
        </w:rPr>
        <w:t xml:space="preserve">architecture based on redactable </w:t>
      </w:r>
      <w:r w:rsidDel="00000000" w:rsidR="00000000" w:rsidRPr="00000000">
        <w:rPr>
          <w:shd w:fill="b7b7b7" w:val="clear"/>
          <w:rtl w:val="0"/>
        </w:rPr>
        <w:t xml:space="preserve">blockchain</w:t>
      </w:r>
      <w:r w:rsidDel="00000000" w:rsidR="00000000" w:rsidRPr="00000000">
        <w:rPr>
          <w:rtl w:val="0"/>
        </w:rPr>
        <w:t xml:space="preserve"> for </w:t>
      </w:r>
      <w:r w:rsidDel="00000000" w:rsidR="00000000" w:rsidRPr="00000000">
        <w:rPr>
          <w:highlight w:val="magenta"/>
          <w:rtl w:val="0"/>
        </w:rPr>
        <w:t xml:space="preserve">agri-food</w:t>
      </w:r>
      <w:r w:rsidDel="00000000" w:rsidR="00000000" w:rsidRPr="00000000">
        <w:rPr>
          <w:rtl w:val="0"/>
        </w:rPr>
        <w:t xml:space="preserve"> </w:t>
      </w:r>
      <w:r w:rsidDel="00000000" w:rsidR="00000000" w:rsidRPr="00000000">
        <w:rPr>
          <w:highlight w:val="yellow"/>
          <w:rtl w:val="0"/>
        </w:rPr>
        <w:t xml:space="preserve">traceability</w:t>
      </w:r>
      <w:r w:rsidDel="00000000" w:rsidR="00000000" w:rsidRPr="00000000">
        <w:rPr>
          <w:rtl w:val="0"/>
        </w:rPr>
        <w:t xml:space="preserve">. </w:t>
      </w:r>
      <w:r w:rsidDel="00000000" w:rsidR="00000000" w:rsidRPr="00000000">
        <w:rPr>
          <w:i w:val="1"/>
          <w:iCs w:val="1"/>
          <w:rtl w:val="0"/>
        </w:rPr>
        <w:t xml:space="preserve">Foods, 14</w:t>
      </w:r>
      <w:r w:rsidDel="00000000" w:rsidR="00000000" w:rsidRPr="00000000">
        <w:rPr>
          <w:rtl w:val="0"/>
        </w:rPr>
        <w:t xml:space="preserve">(4), 623.</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https://doi.org/10.3390/foods14040623</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Chu, T., &amp; Pham, T. T. T. (2022). Vertical coordination in </w:t>
      </w:r>
      <w:r w:rsidDel="00000000" w:rsidR="00000000" w:rsidRPr="00000000">
        <w:rPr>
          <w:highlight w:val="magenta"/>
          <w:rtl w:val="0"/>
        </w:rPr>
        <w:t xml:space="preserve">agri-food</w:t>
      </w:r>
      <w:r w:rsidDel="00000000" w:rsidR="00000000" w:rsidRPr="00000000">
        <w:rPr>
          <w:rtl w:val="0"/>
        </w:rPr>
        <w:t xml:space="preserve"> </w:t>
      </w:r>
      <w:r w:rsidDel="00000000" w:rsidR="00000000" w:rsidRPr="00000000">
        <w:rPr>
          <w:highlight w:val="green"/>
          <w:rtl w:val="0"/>
        </w:rPr>
        <w:t xml:space="preserve">supply chain</w:t>
      </w:r>
      <w:r w:rsidDel="00000000" w:rsidR="00000000" w:rsidRPr="00000000">
        <w:rPr>
          <w:rtl w:val="0"/>
        </w:rPr>
        <w:t xml:space="preserve"> and </w:t>
      </w:r>
      <w:r w:rsidDel="00000000" w:rsidR="00000000" w:rsidRPr="00000000">
        <w:rPr>
          <w:shd w:fill="b7b7b7" w:val="clear"/>
          <w:rtl w:val="0"/>
        </w:rPr>
        <w:t xml:space="preserve">blockchain</w:t>
      </w:r>
      <w:r w:rsidDel="00000000" w:rsidR="00000000" w:rsidRPr="00000000">
        <w:rPr>
          <w:rtl w:val="0"/>
        </w:rPr>
        <w:t xml:space="preserve">: A proposed framework solution for Vietnamese cashew nut business. </w:t>
      </w:r>
      <w:r w:rsidDel="00000000" w:rsidR="00000000" w:rsidRPr="00000000">
        <w:rPr>
          <w:i w:val="1"/>
          <w:iCs w:val="1"/>
          <w:rtl w:val="0"/>
        </w:rPr>
        <w:t xml:space="preserve">Regional Science Policy &amp; Practice</w:t>
      </w:r>
      <w:r w:rsidDel="00000000" w:rsidR="00000000" w:rsidRPr="00000000">
        <w:rPr>
          <w:rtl w:val="0"/>
        </w:rPr>
        <w:t xml:space="preserve">. </w:t>
      </w:r>
      <w:hyperlink r:id="rId18">
        <w:r w:rsidDel="00000000" w:rsidR="00000000" w:rsidRPr="00000000">
          <w:rPr>
            <w:color w:val="1155cc"/>
            <w:u w:val="single"/>
            <w:rtl w:val="0"/>
          </w:rPr>
          <w:t xml:space="preserve">https://doi.org/10.1111/rsp3.12576</w:t>
        </w:r>
      </w:hyperlink>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El Hajji, M., Es-saady, Y., Ait Addi, M., &amp; Antari, J. (2024). Optimization of </w:t>
      </w:r>
      <w:r w:rsidDel="00000000" w:rsidR="00000000" w:rsidRPr="00000000">
        <w:rPr>
          <w:highlight w:val="magenta"/>
          <w:rtl w:val="0"/>
        </w:rPr>
        <w:t xml:space="preserve">agrifood</w:t>
      </w:r>
      <w:r w:rsidDel="00000000" w:rsidR="00000000" w:rsidRPr="00000000">
        <w:rPr>
          <w:rtl w:val="0"/>
        </w:rPr>
        <w:t xml:space="preserve"> </w:t>
      </w:r>
      <w:r w:rsidDel="00000000" w:rsidR="00000000" w:rsidRPr="00000000">
        <w:rPr>
          <w:highlight w:val="green"/>
          <w:rtl w:val="0"/>
        </w:rPr>
        <w:t xml:space="preserve">supply chains</w:t>
      </w:r>
      <w:r w:rsidDel="00000000" w:rsidR="00000000" w:rsidRPr="00000000">
        <w:rPr>
          <w:rtl w:val="0"/>
        </w:rPr>
        <w:t xml:space="preserve"> using </w:t>
      </w:r>
      <w:r w:rsidDel="00000000" w:rsidR="00000000" w:rsidRPr="00000000">
        <w:rPr>
          <w:shd w:fill="b7b7b7" w:val="clear"/>
          <w:rtl w:val="0"/>
        </w:rPr>
        <w:t xml:space="preserve">Hyperledger Fabric</w:t>
      </w:r>
      <w:r w:rsidDel="00000000" w:rsidR="00000000" w:rsidRPr="00000000">
        <w:rPr>
          <w:rtl w:val="0"/>
        </w:rPr>
        <w:t xml:space="preserve">. </w:t>
      </w:r>
      <w:r w:rsidDel="00000000" w:rsidR="00000000" w:rsidRPr="00000000">
        <w:rPr>
          <w:i w:val="1"/>
          <w:iCs w:val="1"/>
          <w:rtl w:val="0"/>
        </w:rPr>
        <w:t xml:space="preserve">Computers and Electronics in Agriculture</w:t>
      </w:r>
      <w:r w:rsidDel="00000000" w:rsidR="00000000" w:rsidRPr="00000000">
        <w:rPr>
          <w:rtl w:val="0"/>
        </w:rPr>
        <w:t xml:space="preserve">, </w:t>
      </w:r>
      <w:r w:rsidDel="00000000" w:rsidR="00000000" w:rsidRPr="00000000">
        <w:rPr>
          <w:i w:val="1"/>
          <w:iCs w:val="1"/>
          <w:rtl w:val="0"/>
        </w:rPr>
        <w:t xml:space="preserve">227</w:t>
      </w:r>
      <w:r w:rsidDel="00000000" w:rsidR="00000000" w:rsidRPr="00000000">
        <w:rPr>
          <w:rtl w:val="0"/>
        </w:rPr>
        <w:t xml:space="preserve">, 109503. </w:t>
      </w:r>
      <w:hyperlink r:id="rId19">
        <w:r w:rsidDel="00000000" w:rsidR="00000000" w:rsidRPr="00000000">
          <w:rPr>
            <w:color w:val="1155cc"/>
            <w:u w:val="single"/>
            <w:rtl w:val="0"/>
          </w:rPr>
          <w:t xml:space="preserve">https://doi.org/10.1016/j.compag.2024.109503</w:t>
        </w:r>
      </w:hyperlink>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Ferrández-Pastor, F.-J., Mora-Pascual, J., &amp; Díaz-Lajara, D. (2022). </w:t>
      </w:r>
      <w:r w:rsidDel="00000000" w:rsidR="00000000" w:rsidRPr="00000000">
        <w:rPr>
          <w:highlight w:val="magenta"/>
          <w:rtl w:val="0"/>
        </w:rPr>
        <w:t xml:space="preserve">Agricultural</w:t>
      </w:r>
      <w:r w:rsidDel="00000000" w:rsidR="00000000" w:rsidRPr="00000000">
        <w:rPr>
          <w:rtl w:val="0"/>
        </w:rPr>
        <w:t xml:space="preserve"> </w:t>
      </w:r>
      <w:r w:rsidDel="00000000" w:rsidR="00000000" w:rsidRPr="00000000">
        <w:rPr>
          <w:highlight w:val="yellow"/>
          <w:rtl w:val="0"/>
        </w:rPr>
        <w:t xml:space="preserve">traceability </w:t>
      </w:r>
      <w:r w:rsidDel="00000000" w:rsidR="00000000" w:rsidRPr="00000000">
        <w:rPr>
          <w:rtl w:val="0"/>
        </w:rPr>
        <w:t xml:space="preserve">model based on IoT and </w:t>
      </w:r>
      <w:r w:rsidDel="00000000" w:rsidR="00000000" w:rsidRPr="00000000">
        <w:rPr>
          <w:shd w:fill="cccccc" w:val="clear"/>
          <w:rtl w:val="0"/>
        </w:rPr>
        <w:t xml:space="preserve">Blockchain </w:t>
      </w:r>
      <w:r w:rsidDel="00000000" w:rsidR="00000000" w:rsidRPr="00000000">
        <w:rPr>
          <w:rtl w:val="0"/>
        </w:rPr>
        <w:t xml:space="preserve">Application in... </w:t>
      </w:r>
      <w:r w:rsidDel="00000000" w:rsidR="00000000" w:rsidRPr="00000000">
        <w:rPr>
          <w:i w:val="1"/>
          <w:iCs w:val="1"/>
          <w:rtl w:val="0"/>
        </w:rPr>
        <w:t xml:space="preserve">Journal of Industrial Information Integration</w:t>
      </w:r>
      <w:r w:rsidDel="00000000" w:rsidR="00000000" w:rsidRPr="00000000">
        <w:rPr>
          <w:rtl w:val="0"/>
        </w:rPr>
        <w:t xml:space="preserve">, </w:t>
      </w:r>
      <w:r w:rsidDel="00000000" w:rsidR="00000000" w:rsidRPr="00000000">
        <w:rPr>
          <w:i w:val="1"/>
          <w:iCs w:val="1"/>
          <w:rtl w:val="0"/>
        </w:rPr>
        <w:t xml:space="preserve">29</w:t>
      </w:r>
      <w:r w:rsidDel="00000000" w:rsidR="00000000" w:rsidRPr="00000000">
        <w:rPr>
          <w:rtl w:val="0"/>
        </w:rPr>
        <w:t xml:space="preserve">, 100381. </w:t>
      </w:r>
      <w:hyperlink r:id="rId20">
        <w:r w:rsidDel="00000000" w:rsidR="00000000" w:rsidRPr="00000000">
          <w:rPr>
            <w:color w:val="1155cc"/>
            <w:u w:val="single"/>
            <w:rtl w:val="0"/>
          </w:rPr>
          <w:t xml:space="preserve">https://doi.org/10.1016/j.jii.2022.100381</w:t>
        </w:r>
      </w:hyperlink>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Hasan, A. S. M. T., Sabah, S., Daria, A., &amp; Haque, R. U. (2023). A peer-to-peer </w:t>
      </w:r>
      <w:r w:rsidDel="00000000" w:rsidR="00000000" w:rsidRPr="00000000">
        <w:rPr>
          <w:shd w:fill="cccccc" w:val="clear"/>
          <w:rtl w:val="0"/>
        </w:rPr>
        <w:t xml:space="preserve">blockchain</w:t>
      </w:r>
      <w:r w:rsidDel="00000000" w:rsidR="00000000" w:rsidRPr="00000000">
        <w:rPr>
          <w:rtl w:val="0"/>
        </w:rPr>
        <w:t xml:space="preserve">-based architecture for trusted and reliable </w:t>
      </w:r>
      <w:r w:rsidDel="00000000" w:rsidR="00000000" w:rsidRPr="00000000">
        <w:rPr>
          <w:color w:val="ffffff"/>
          <w:highlight w:val="magenta"/>
          <w:rtl w:val="0"/>
        </w:rPr>
        <w:t xml:space="preserve">agricultural </w:t>
      </w:r>
      <w:r w:rsidDel="00000000" w:rsidR="00000000" w:rsidRPr="00000000">
        <w:rPr>
          <w:rtl w:val="0"/>
        </w:rPr>
        <w:t xml:space="preserve">product </w:t>
      </w:r>
      <w:r w:rsidDel="00000000" w:rsidR="00000000" w:rsidRPr="00000000">
        <w:rPr>
          <w:highlight w:val="yellow"/>
          <w:rtl w:val="0"/>
        </w:rPr>
        <w:t xml:space="preserve">traceability</w:t>
      </w:r>
      <w:r w:rsidDel="00000000" w:rsidR="00000000" w:rsidRPr="00000000">
        <w:rPr>
          <w:rtl w:val="0"/>
        </w:rPr>
        <w:t xml:space="preserve">. </w:t>
      </w:r>
      <w:r w:rsidDel="00000000" w:rsidR="00000000" w:rsidRPr="00000000">
        <w:rPr>
          <w:i w:val="1"/>
          <w:iCs w:val="1"/>
          <w:rtl w:val="0"/>
        </w:rPr>
        <w:t xml:space="preserve">Decision Analytics Journal</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100363. </w:t>
      </w:r>
      <w:hyperlink r:id="rId21">
        <w:r w:rsidDel="00000000" w:rsidR="00000000" w:rsidRPr="00000000">
          <w:rPr>
            <w:color w:val="1155cc"/>
            <w:u w:val="single"/>
            <w:rtl w:val="0"/>
          </w:rPr>
          <w:t xml:space="preserve">https://doi.org/10.1016/j.dajour.2023.100363</w:t>
        </w:r>
      </w:hyperlink>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Hu, S., Jin, Y., &amp; Qin, X. (2025). </w:t>
      </w:r>
      <w:r w:rsidDel="00000000" w:rsidR="00000000" w:rsidRPr="00000000">
        <w:rPr>
          <w:shd w:fill="cccccc" w:val="clear"/>
          <w:rtl w:val="0"/>
        </w:rPr>
        <w:t xml:space="preserve">Blockchain</w:t>
      </w:r>
      <w:r w:rsidDel="00000000" w:rsidR="00000000" w:rsidRPr="00000000">
        <w:rPr>
          <w:rtl w:val="0"/>
        </w:rPr>
        <w:t xml:space="preserve">-facilitated quality </w:t>
      </w:r>
      <w:r w:rsidDel="00000000" w:rsidR="00000000" w:rsidRPr="00000000">
        <w:rPr>
          <w:highlight w:val="yellow"/>
          <w:rtl w:val="0"/>
        </w:rPr>
        <w:t xml:space="preserve">traceability </w:t>
      </w:r>
      <w:r w:rsidDel="00000000" w:rsidR="00000000" w:rsidRPr="00000000">
        <w:rPr>
          <w:rtl w:val="0"/>
        </w:rPr>
        <w:t xml:space="preserve">and pre-sale inspection: Influencing geographical indication </w:t>
      </w:r>
      <w:r w:rsidDel="00000000" w:rsidR="00000000" w:rsidRPr="00000000">
        <w:rPr>
          <w:highlight w:val="green"/>
          <w:rtl w:val="0"/>
        </w:rPr>
        <w:t xml:space="preserve">supply chain</w:t>
      </w:r>
      <w:r w:rsidDel="00000000" w:rsidR="00000000" w:rsidRPr="00000000">
        <w:rPr>
          <w:rtl w:val="0"/>
        </w:rPr>
        <w:t xml:space="preserve"> contracts and </w:t>
      </w:r>
      <w:r w:rsidDel="00000000" w:rsidR="00000000" w:rsidRPr="00000000">
        <w:rPr>
          <w:highlight w:val="magenta"/>
          <w:rtl w:val="0"/>
        </w:rPr>
        <w:t xml:space="preserve">farmer</w:t>
      </w:r>
      <w:r w:rsidDel="00000000" w:rsidR="00000000" w:rsidRPr="00000000">
        <w:rPr>
          <w:rtl w:val="0"/>
        </w:rPr>
        <w:t xml:space="preserve"> quality decisions. </w:t>
      </w:r>
      <w:r w:rsidDel="00000000" w:rsidR="00000000" w:rsidRPr="00000000">
        <w:rPr>
          <w:i w:val="1"/>
          <w:iCs w:val="1"/>
          <w:rtl w:val="0"/>
        </w:rPr>
        <w:t xml:space="preserve">Computers &amp; Industrial Engineering</w:t>
      </w:r>
      <w:r w:rsidDel="00000000" w:rsidR="00000000" w:rsidRPr="00000000">
        <w:rPr>
          <w:rtl w:val="0"/>
        </w:rPr>
        <w:t xml:space="preserve">, </w:t>
      </w:r>
      <w:r w:rsidDel="00000000" w:rsidR="00000000" w:rsidRPr="00000000">
        <w:rPr>
          <w:i w:val="1"/>
          <w:iCs w:val="1"/>
          <w:rtl w:val="0"/>
        </w:rPr>
        <w:t xml:space="preserve">200</w:t>
      </w:r>
      <w:r w:rsidDel="00000000" w:rsidR="00000000" w:rsidRPr="00000000">
        <w:rPr>
          <w:rtl w:val="0"/>
        </w:rPr>
        <w:t xml:space="preserve">, 110769. </w:t>
      </w:r>
      <w:hyperlink r:id="rId22">
        <w:r w:rsidDel="00000000" w:rsidR="00000000" w:rsidRPr="00000000">
          <w:rPr>
            <w:color w:val="1155cc"/>
            <w:u w:val="single"/>
            <w:rtl w:val="0"/>
          </w:rPr>
          <w:t xml:space="preserve">https://doi.org/10.1016/j.cie.2024.110769</w:t>
        </w:r>
      </w:hyperlink>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Kamilaris, A., Fonts, A., &amp; Prenafeta-Boldú, F. X. (2019). The rise of </w:t>
      </w:r>
      <w:r w:rsidDel="00000000" w:rsidR="00000000" w:rsidRPr="00000000">
        <w:rPr>
          <w:shd w:fill="cccccc" w:val="clear"/>
          <w:rtl w:val="0"/>
        </w:rPr>
        <w:t xml:space="preserve">blockchain </w:t>
      </w:r>
      <w:r w:rsidDel="00000000" w:rsidR="00000000" w:rsidRPr="00000000">
        <w:rPr>
          <w:rtl w:val="0"/>
        </w:rPr>
        <w:t xml:space="preserve">technology in </w:t>
      </w:r>
      <w:r w:rsidDel="00000000" w:rsidR="00000000" w:rsidRPr="00000000">
        <w:rPr>
          <w:highlight w:val="magenta"/>
          <w:rtl w:val="0"/>
        </w:rPr>
        <w:t xml:space="preserve">agriculture</w:t>
      </w:r>
      <w:r w:rsidDel="00000000" w:rsidR="00000000" w:rsidRPr="00000000">
        <w:rPr>
          <w:color w:val="ffffff"/>
          <w:highlight w:val="magenta"/>
          <w:rtl w:val="0"/>
        </w:rPr>
        <w:t xml:space="preserve"> </w:t>
      </w:r>
      <w:r w:rsidDel="00000000" w:rsidR="00000000" w:rsidRPr="00000000">
        <w:rPr>
          <w:rtl w:val="0"/>
        </w:rPr>
        <w:t xml:space="preserve">and food </w:t>
      </w:r>
      <w:r w:rsidDel="00000000" w:rsidR="00000000" w:rsidRPr="00000000">
        <w:rPr>
          <w:highlight w:val="green"/>
          <w:rtl w:val="0"/>
        </w:rPr>
        <w:t xml:space="preserve">supply chains</w:t>
      </w:r>
      <w:r w:rsidDel="00000000" w:rsidR="00000000" w:rsidRPr="00000000">
        <w:rPr>
          <w:rtl w:val="0"/>
        </w:rPr>
        <w:t xml:space="preserve">. </w:t>
      </w:r>
      <w:r w:rsidDel="00000000" w:rsidR="00000000" w:rsidRPr="00000000">
        <w:rPr>
          <w:i w:val="1"/>
          <w:iCs w:val="1"/>
          <w:rtl w:val="0"/>
        </w:rPr>
        <w:t xml:space="preserve">Trends in Food Science &amp; Technology</w:t>
      </w:r>
      <w:r w:rsidDel="00000000" w:rsidR="00000000" w:rsidRPr="00000000">
        <w:rPr>
          <w:rtl w:val="0"/>
        </w:rPr>
        <w:t xml:space="preserve">, </w:t>
      </w:r>
      <w:r w:rsidDel="00000000" w:rsidR="00000000" w:rsidRPr="00000000">
        <w:rPr>
          <w:i w:val="1"/>
          <w:iCs w:val="1"/>
          <w:rtl w:val="0"/>
        </w:rPr>
        <w:t xml:space="preserve">91</w:t>
      </w:r>
      <w:r w:rsidDel="00000000" w:rsidR="00000000" w:rsidRPr="00000000">
        <w:rPr>
          <w:rtl w:val="0"/>
        </w:rPr>
        <w:t xml:space="preserve">, 640–652. </w:t>
      </w:r>
      <w:hyperlink r:id="rId23">
        <w:r w:rsidDel="00000000" w:rsidR="00000000" w:rsidRPr="00000000">
          <w:rPr>
            <w:color w:val="1155cc"/>
            <w:u w:val="single"/>
            <w:rtl w:val="0"/>
          </w:rPr>
          <w:t xml:space="preserve">https://doi.org/10.1016/j.tifs.2019.07.034</w:t>
        </w:r>
      </w:hyperlink>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Kramer, M. P., Bitsch, L., &amp; Hanf, J. (2021). </w:t>
      </w:r>
      <w:r w:rsidDel="00000000" w:rsidR="00000000" w:rsidRPr="00000000">
        <w:rPr>
          <w:shd w:fill="d9d9d9" w:val="clear"/>
          <w:rtl w:val="0"/>
        </w:rPr>
        <w:t xml:space="preserve">Blockchain </w:t>
      </w:r>
      <w:r w:rsidDel="00000000" w:rsidR="00000000" w:rsidRPr="00000000">
        <w:rPr>
          <w:rtl w:val="0"/>
        </w:rPr>
        <w:t xml:space="preserve">and its impacts on </w:t>
      </w:r>
      <w:r w:rsidDel="00000000" w:rsidR="00000000" w:rsidRPr="00000000">
        <w:rPr>
          <w:highlight w:val="magenta"/>
          <w:rtl w:val="0"/>
        </w:rPr>
        <w:t xml:space="preserve">agri-food</w:t>
      </w:r>
      <w:r w:rsidDel="00000000" w:rsidR="00000000" w:rsidRPr="00000000">
        <w:rPr>
          <w:rtl w:val="0"/>
        </w:rPr>
        <w:t xml:space="preserve"> </w:t>
      </w:r>
      <w:r w:rsidDel="00000000" w:rsidR="00000000" w:rsidRPr="00000000">
        <w:rPr>
          <w:highlight w:val="green"/>
          <w:rtl w:val="0"/>
        </w:rPr>
        <w:t xml:space="preserve">supply chain</w:t>
      </w:r>
      <w:r w:rsidDel="00000000" w:rsidR="00000000" w:rsidRPr="00000000">
        <w:rPr>
          <w:rtl w:val="0"/>
        </w:rPr>
        <w:t xml:space="preserve"> network management. </w:t>
      </w:r>
      <w:r w:rsidDel="00000000" w:rsidR="00000000" w:rsidRPr="00000000">
        <w:rPr>
          <w:i w:val="1"/>
          <w:iCs w:val="1"/>
          <w:rtl w:val="0"/>
        </w:rPr>
        <w:t xml:space="preserve">Sustainability</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(4), 2168. </w:t>
      </w:r>
      <w:hyperlink r:id="rId24">
        <w:r w:rsidDel="00000000" w:rsidR="00000000" w:rsidRPr="00000000">
          <w:rPr>
            <w:color w:val="1155cc"/>
            <w:u w:val="single"/>
            <w:rtl w:val="0"/>
          </w:rPr>
          <w:t xml:space="preserve">https://doi.org/10.3390/su13042168</w:t>
        </w:r>
      </w:hyperlink>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Latino, M. E., Menegoli, M., Lazoi, M., &amp; Corallo, A. (2022). Voluntary </w:t>
      </w:r>
      <w:r w:rsidDel="00000000" w:rsidR="00000000" w:rsidRPr="00000000">
        <w:rPr>
          <w:highlight w:val="yellow"/>
          <w:rtl w:val="0"/>
        </w:rPr>
        <w:t xml:space="preserve">traceability </w:t>
      </w:r>
      <w:r w:rsidDel="00000000" w:rsidR="00000000" w:rsidRPr="00000000">
        <w:rPr>
          <w:rtl w:val="0"/>
        </w:rPr>
        <w:t xml:space="preserve">in food </w:t>
      </w:r>
      <w:r w:rsidDel="00000000" w:rsidR="00000000" w:rsidRPr="00000000">
        <w:rPr>
          <w:highlight w:val="green"/>
          <w:rtl w:val="0"/>
        </w:rPr>
        <w:t xml:space="preserve">supply chain:</w:t>
      </w:r>
      <w:r w:rsidDel="00000000" w:rsidR="00000000" w:rsidRPr="00000000">
        <w:rPr>
          <w:rtl w:val="0"/>
        </w:rPr>
        <w:t xml:space="preserve"> A framework leading its [Inferred full title]. </w:t>
      </w:r>
      <w:r w:rsidDel="00000000" w:rsidR="00000000" w:rsidRPr="00000000">
        <w:rPr>
          <w:i w:val="1"/>
          <w:iCs w:val="1"/>
          <w:rtl w:val="0"/>
        </w:rPr>
        <w:t xml:space="preserve">Technological Forecasting &amp; Social Change</w:t>
      </w:r>
      <w:r w:rsidDel="00000000" w:rsidR="00000000" w:rsidRPr="00000000">
        <w:rPr>
          <w:rtl w:val="0"/>
        </w:rPr>
        <w:t xml:space="preserve">, </w:t>
      </w:r>
      <w:r w:rsidDel="00000000" w:rsidR="00000000" w:rsidRPr="00000000">
        <w:rPr>
          <w:i w:val="1"/>
          <w:iCs w:val="1"/>
          <w:rtl w:val="0"/>
        </w:rPr>
        <w:t xml:space="preserve">178</w:t>
      </w:r>
      <w:r w:rsidDel="00000000" w:rsidR="00000000" w:rsidRPr="00000000">
        <w:rPr>
          <w:rtl w:val="0"/>
        </w:rPr>
        <w:t xml:space="preserve">, 121564. </w:t>
      </w:r>
      <w:hyperlink r:id="rId25">
        <w:r w:rsidDel="00000000" w:rsidR="00000000" w:rsidRPr="00000000">
          <w:rPr>
            <w:color w:val="1155cc"/>
            <w:u w:val="single"/>
            <w:rtl w:val="0"/>
          </w:rPr>
          <w:t xml:space="preserve">https://doi.org/10.1016/j.techfore.2022.121564</w:t>
        </w:r>
      </w:hyperlink>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Lei, M., Liu, S., Yang, X., Luo, N., &amp; Sun, C. (2022). Trusted-auditing chain: A security </w:t>
      </w:r>
      <w:r w:rsidDel="00000000" w:rsidR="00000000" w:rsidRPr="00000000">
        <w:rPr>
          <w:shd w:fill="b7b7b7" w:val="clear"/>
          <w:rtl w:val="0"/>
        </w:rPr>
        <w:t xml:space="preserve">blockchain </w:t>
      </w:r>
      <w:r w:rsidDel="00000000" w:rsidR="00000000" w:rsidRPr="00000000">
        <w:rPr>
          <w:rtl w:val="0"/>
        </w:rPr>
        <w:t xml:space="preserve">prototype used in </w:t>
      </w:r>
      <w:r w:rsidDel="00000000" w:rsidR="00000000" w:rsidRPr="00000000">
        <w:rPr>
          <w:highlight w:val="magenta"/>
          <w:rtl w:val="0"/>
        </w:rPr>
        <w:t xml:space="preserve">agriculture </w:t>
      </w:r>
      <w:r w:rsidDel="00000000" w:rsidR="00000000" w:rsidRPr="00000000">
        <w:rPr>
          <w:highlight w:val="yellow"/>
          <w:rtl w:val="0"/>
        </w:rPr>
        <w:t xml:space="preserve">traceability</w:t>
      </w:r>
      <w:r w:rsidDel="00000000" w:rsidR="00000000" w:rsidRPr="00000000">
        <w:rPr>
          <w:rtl w:val="0"/>
        </w:rPr>
        <w:t xml:space="preserve">. </w:t>
      </w:r>
      <w:r w:rsidDel="00000000" w:rsidR="00000000" w:rsidRPr="00000000">
        <w:rPr>
          <w:i w:val="1"/>
          <w:iCs w:val="1"/>
          <w:rtl w:val="0"/>
        </w:rPr>
        <w:t xml:space="preserve">Heliyon</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e11477. </w:t>
      </w:r>
      <w:hyperlink r:id="rId26">
        <w:r w:rsidDel="00000000" w:rsidR="00000000" w:rsidRPr="00000000">
          <w:rPr>
            <w:color w:val="1155cc"/>
            <w:u w:val="single"/>
            <w:rtl w:val="0"/>
          </w:rPr>
          <w:t xml:space="preserve">https://doi.org/10.1016/j.heliyon.2022.e11477</w:t>
        </w:r>
      </w:hyperlink>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Li, X., Du, J., Li, W., &amp; Shahzad, F. (2023). Green ambitions: A comprehensive model for enhanced </w:t>
      </w:r>
      <w:r w:rsidDel="00000000" w:rsidR="00000000" w:rsidRPr="00000000">
        <w:rPr>
          <w:highlight w:val="yellow"/>
          <w:rtl w:val="0"/>
        </w:rPr>
        <w:t xml:space="preserve">traceability </w:t>
      </w:r>
      <w:r w:rsidDel="00000000" w:rsidR="00000000" w:rsidRPr="00000000">
        <w:rPr>
          <w:rtl w:val="0"/>
        </w:rPr>
        <w:t xml:space="preserve">in </w:t>
      </w:r>
      <w:r w:rsidDel="00000000" w:rsidR="00000000" w:rsidRPr="00000000">
        <w:rPr>
          <w:highlight w:val="magenta"/>
          <w:rtl w:val="0"/>
        </w:rPr>
        <w:t xml:space="preserve">agricultural product</w:t>
      </w:r>
      <w:r w:rsidDel="00000000" w:rsidR="00000000" w:rsidRPr="00000000">
        <w:rPr>
          <w:rtl w:val="0"/>
        </w:rPr>
        <w:t xml:space="preserve"> </w:t>
      </w:r>
      <w:r w:rsidDel="00000000" w:rsidR="00000000" w:rsidRPr="00000000">
        <w:rPr>
          <w:highlight w:val="green"/>
          <w:rtl w:val="0"/>
        </w:rPr>
        <w:t xml:space="preserve">supply chain</w:t>
      </w:r>
      <w:r w:rsidDel="00000000" w:rsidR="00000000" w:rsidRPr="00000000">
        <w:rPr>
          <w:rtl w:val="0"/>
        </w:rPr>
        <w:t xml:space="preserve"> to ensure quality and safety. </w:t>
      </w:r>
      <w:r w:rsidDel="00000000" w:rsidR="00000000" w:rsidRPr="00000000">
        <w:rPr>
          <w:i w:val="1"/>
          <w:iCs w:val="1"/>
          <w:rtl w:val="0"/>
        </w:rPr>
        <w:t xml:space="preserve">Journal of Cleaner Production</w:t>
      </w:r>
      <w:r w:rsidDel="00000000" w:rsidR="00000000" w:rsidRPr="00000000">
        <w:rPr>
          <w:rtl w:val="0"/>
        </w:rPr>
        <w:t xml:space="preserve">, </w:t>
      </w:r>
      <w:r w:rsidDel="00000000" w:rsidR="00000000" w:rsidRPr="00000000">
        <w:rPr>
          <w:i w:val="1"/>
          <w:iCs w:val="1"/>
          <w:rtl w:val="0"/>
        </w:rPr>
        <w:t xml:space="preserve">420</w:t>
      </w:r>
      <w:r w:rsidDel="00000000" w:rsidR="00000000" w:rsidRPr="00000000">
        <w:rPr>
          <w:rtl w:val="0"/>
        </w:rPr>
        <w:t xml:space="preserve">, 138397. </w:t>
      </w:r>
      <w:hyperlink r:id="rId27">
        <w:r w:rsidDel="00000000" w:rsidR="00000000" w:rsidRPr="00000000">
          <w:rPr>
            <w:color w:val="1155cc"/>
            <w:u w:val="single"/>
            <w:rtl w:val="0"/>
          </w:rPr>
          <w:t xml:space="preserve">https://doi.org/10.1016/j.jclepro.2023.138397</w:t>
        </w:r>
      </w:hyperlink>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Liu, S., &amp; Yu, Z. (2023). Modeling and efficiency analysis of </w:t>
      </w:r>
      <w:r w:rsidDel="00000000" w:rsidR="00000000" w:rsidRPr="00000000">
        <w:rPr>
          <w:shd w:fill="d9d9d9" w:val="clear"/>
          <w:rtl w:val="0"/>
        </w:rPr>
        <w:t xml:space="preserve">blockchain </w:t>
      </w:r>
      <w:r w:rsidDel="00000000" w:rsidR="00000000" w:rsidRPr="00000000">
        <w:rPr>
          <w:color w:val="ffffff"/>
          <w:highlight w:val="magenta"/>
          <w:rtl w:val="0"/>
        </w:rPr>
        <w:t xml:space="preserve">agriculture products</w:t>
      </w:r>
      <w:r w:rsidDel="00000000" w:rsidR="00000000" w:rsidRPr="00000000">
        <w:rPr>
          <w:rtl w:val="0"/>
        </w:rPr>
        <w:t xml:space="preserve"> E-commerce cold chain </w:t>
      </w:r>
      <w:r w:rsidDel="00000000" w:rsidR="00000000" w:rsidRPr="00000000">
        <w:rPr>
          <w:highlight w:val="yellow"/>
          <w:rtl w:val="0"/>
        </w:rPr>
        <w:t xml:space="preserve">traceability </w:t>
      </w:r>
      <w:r w:rsidDel="00000000" w:rsidR="00000000" w:rsidRPr="00000000">
        <w:rPr>
          <w:rtl w:val="0"/>
        </w:rPr>
        <w:t xml:space="preserve">system based on Petri net. </w:t>
      </w:r>
      <w:r w:rsidDel="00000000" w:rsidR="00000000" w:rsidRPr="00000000">
        <w:rPr>
          <w:i w:val="1"/>
          <w:iCs w:val="1"/>
          <w:rtl w:val="0"/>
        </w:rPr>
        <w:t xml:space="preserve">Heliyon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e21302. </w:t>
      </w:r>
      <w:hyperlink r:id="rId28">
        <w:r w:rsidDel="00000000" w:rsidR="00000000" w:rsidRPr="00000000">
          <w:rPr>
            <w:color w:val="1155cc"/>
            <w:u w:val="single"/>
            <w:rtl w:val="0"/>
          </w:rPr>
          <w:t xml:space="preserve">https://doi.org/10.1016/j.heliyon.2023.e21302</w:t>
        </w:r>
      </w:hyperlink>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Mirabelli, G., et al. (2020). </w:t>
      </w:r>
      <w:r w:rsidDel="00000000" w:rsidR="00000000" w:rsidRPr="00000000">
        <w:rPr>
          <w:shd w:fill="d9d9d9" w:val="clear"/>
          <w:rtl w:val="0"/>
        </w:rPr>
        <w:t xml:space="preserve">Blockchain </w:t>
      </w:r>
      <w:r w:rsidDel="00000000" w:rsidR="00000000" w:rsidRPr="00000000">
        <w:rPr>
          <w:rtl w:val="0"/>
        </w:rPr>
        <w:t xml:space="preserve">and </w:t>
      </w:r>
      <w:r w:rsidDel="00000000" w:rsidR="00000000" w:rsidRPr="00000000">
        <w:rPr>
          <w:color w:val="ffffff"/>
          <w:highlight w:val="magenta"/>
          <w:rtl w:val="0"/>
        </w:rPr>
        <w:t xml:space="preserve">agricultural </w:t>
      </w:r>
      <w:r w:rsidDel="00000000" w:rsidR="00000000" w:rsidRPr="00000000">
        <w:rPr>
          <w:highlight w:val="green"/>
          <w:rtl w:val="0"/>
        </w:rPr>
        <w:t xml:space="preserve">supply chains</w:t>
      </w:r>
      <w:r w:rsidDel="00000000" w:rsidR="00000000" w:rsidRPr="00000000">
        <w:rPr>
          <w:rtl w:val="0"/>
        </w:rPr>
        <w:t xml:space="preserve"> </w:t>
      </w:r>
      <w:r w:rsidDel="00000000" w:rsidR="00000000" w:rsidRPr="00000000">
        <w:rPr>
          <w:highlight w:val="yellow"/>
          <w:rtl w:val="0"/>
        </w:rPr>
        <w:t xml:space="preserve">traceability </w:t>
      </w:r>
      <w:r w:rsidDel="00000000" w:rsidR="00000000" w:rsidRPr="00000000">
        <w:rPr>
          <w:rtl w:val="0"/>
        </w:rPr>
        <w:t xml:space="preserve">research trends and future challenges. </w:t>
      </w:r>
      <w:r w:rsidDel="00000000" w:rsidR="00000000" w:rsidRPr="00000000">
        <w:rPr>
          <w:i w:val="1"/>
          <w:iCs w:val="1"/>
          <w:rtl w:val="0"/>
        </w:rPr>
        <w:t xml:space="preserve">Procedia Manufacturing</w:t>
      </w:r>
      <w:r w:rsidDel="00000000" w:rsidR="00000000" w:rsidRPr="00000000">
        <w:rPr>
          <w:rtl w:val="0"/>
        </w:rPr>
        <w:t xml:space="preserve">, </w:t>
      </w:r>
      <w:r w:rsidDel="00000000" w:rsidR="00000000" w:rsidRPr="00000000">
        <w:rPr>
          <w:i w:val="1"/>
          <w:iCs w:val="1"/>
          <w:rtl w:val="0"/>
        </w:rPr>
        <w:t xml:space="preserve">42</w:t>
      </w:r>
      <w:r w:rsidDel="00000000" w:rsidR="00000000" w:rsidRPr="00000000">
        <w:rPr>
          <w:rtl w:val="0"/>
        </w:rPr>
        <w:t xml:space="preserve">, 414–421.</w:t>
      </w:r>
    </w:p>
    <w:p w:rsidR="00000000" w:rsidDel="00000000" w:rsidP="00000000" w:rsidRDefault="00000000" w:rsidRPr="00000000" w14:paraId="0000002E">
      <w:pPr>
        <w:spacing w:after="240" w:before="240" w:lineRule="auto"/>
        <w:rPr/>
      </w:pPr>
      <w:r w:rsidDel="00000000" w:rsidR="00000000" w:rsidRPr="00000000">
        <w:rPr>
          <w:rtl w:val="0"/>
        </w:rPr>
        <w:t xml:space="preserve">Pan, L., Huo, B., &amp; Hong, X. (2025). </w:t>
      </w:r>
      <w:r w:rsidDel="00000000" w:rsidR="00000000" w:rsidRPr="00000000">
        <w:rPr>
          <w:shd w:fill="d9d9d9" w:val="clear"/>
          <w:rtl w:val="0"/>
        </w:rPr>
        <w:t xml:space="preserve">Blockchain </w:t>
      </w:r>
      <w:r w:rsidDel="00000000" w:rsidR="00000000" w:rsidRPr="00000000">
        <w:rPr>
          <w:highlight w:val="yellow"/>
          <w:rtl w:val="0"/>
        </w:rPr>
        <w:t xml:space="preserve">traceability </w:t>
      </w:r>
      <w:r w:rsidDel="00000000" w:rsidR="00000000" w:rsidRPr="00000000">
        <w:rPr>
          <w:rtl w:val="0"/>
        </w:rPr>
        <w:t xml:space="preserve">and agri-food appeal: A task-technology fit perspective. </w:t>
      </w:r>
      <w:r w:rsidDel="00000000" w:rsidR="00000000" w:rsidRPr="00000000">
        <w:rPr>
          <w:i w:val="1"/>
          <w:iCs w:val="1"/>
          <w:rtl w:val="0"/>
        </w:rPr>
        <w:t xml:space="preserve">Food Quality and Preference</w:t>
      </w:r>
      <w:r w:rsidDel="00000000" w:rsidR="00000000" w:rsidRPr="00000000">
        <w:rPr>
          <w:rtl w:val="0"/>
        </w:rPr>
        <w:t xml:space="preserve">, </w:t>
      </w:r>
      <w:r w:rsidDel="00000000" w:rsidR="00000000" w:rsidRPr="00000000">
        <w:rPr>
          <w:i w:val="1"/>
          <w:iCs w:val="1"/>
          <w:rtl w:val="0"/>
        </w:rPr>
        <w:t xml:space="preserve">126</w:t>
      </w:r>
      <w:r w:rsidDel="00000000" w:rsidR="00000000" w:rsidRPr="00000000">
        <w:rPr>
          <w:rtl w:val="0"/>
        </w:rPr>
        <w:t xml:space="preserve">, 105400. </w:t>
      </w:r>
      <w:hyperlink r:id="rId29">
        <w:r w:rsidDel="00000000" w:rsidR="00000000" w:rsidRPr="00000000">
          <w:rPr>
            <w:color w:val="1155cc"/>
            <w:u w:val="single"/>
            <w:rtl w:val="0"/>
          </w:rPr>
          <w:t xml:space="preserve">https://doi.org/10.1016/j.foodqual.2024.105400</w:t>
        </w:r>
      </w:hyperlink>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Qian, J., Wu, W., Yu, Q., Ruiz-García, L., Xiang, Y., Jiang, L., Shi, Y., Duan, Y., &amp; Yang, P. (2020). Filling the trust gap of food safety in food trade between the EU and China: An interconnected conceptual</w:t>
      </w:r>
      <w:r w:rsidDel="00000000" w:rsidR="00000000" w:rsidRPr="00000000">
        <w:rPr>
          <w:highlight w:val="yellow"/>
          <w:rtl w:val="0"/>
        </w:rPr>
        <w:t xml:space="preserve"> traceability </w:t>
      </w:r>
      <w:r w:rsidDel="00000000" w:rsidR="00000000" w:rsidRPr="00000000">
        <w:rPr>
          <w:rtl w:val="0"/>
        </w:rPr>
        <w:t xml:space="preserve">framework based on</w:t>
      </w:r>
      <w:r w:rsidDel="00000000" w:rsidR="00000000" w:rsidRPr="00000000">
        <w:rPr>
          <w:shd w:fill="b7b7b7" w:val="clear"/>
          <w:rtl w:val="0"/>
        </w:rPr>
        <w:t xml:space="preserve"> blockchain</w:t>
      </w:r>
      <w:r w:rsidDel="00000000" w:rsidR="00000000" w:rsidRPr="00000000">
        <w:rPr>
          <w:rtl w:val="0"/>
        </w:rPr>
        <w:t xml:space="preserve">.  </w:t>
      </w:r>
      <w:r w:rsidDel="00000000" w:rsidR="00000000" w:rsidRPr="00000000">
        <w:rPr>
          <w:i w:val="1"/>
          <w:iCs w:val="1"/>
          <w:rtl w:val="0"/>
        </w:rPr>
        <w:t xml:space="preserve">Food and Energy Security, 9</w:t>
      </w:r>
      <w:r w:rsidDel="00000000" w:rsidR="00000000" w:rsidRPr="00000000">
        <w:rPr>
          <w:rtl w:val="0"/>
        </w:rPr>
        <w:t xml:space="preserve">(4), e249.</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https://doi.org/10.1002/fes3.249</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Reza, M. N., Lee, K.-H., Karim, M. R., Haque, M. A., Bicamumakuba, E., Dey, P. K., Jang, Y. Y., &amp; Chung, S.-O. (2025). Trends of Soil and Solution Nutrient Sensing for Open Field and Hydroponic Cultivation in Facilitated Smart </w:t>
      </w:r>
      <w:r w:rsidDel="00000000" w:rsidR="00000000" w:rsidRPr="00000000">
        <w:rPr>
          <w:color w:val="ffffff"/>
          <w:highlight w:val="magenta"/>
          <w:rtl w:val="0"/>
        </w:rPr>
        <w:t xml:space="preserve">Agriculture</w:t>
      </w:r>
      <w:r w:rsidDel="00000000" w:rsidR="00000000" w:rsidRPr="00000000">
        <w:rPr>
          <w:rtl w:val="0"/>
        </w:rPr>
        <w:t xml:space="preserve">.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(2), 453. </w:t>
      </w:r>
      <w:hyperlink r:id="rId32">
        <w:r w:rsidDel="00000000" w:rsidR="00000000" w:rsidRPr="00000000">
          <w:rPr>
            <w:color w:val="1155cc"/>
            <w:u w:val="single"/>
            <w:rtl w:val="0"/>
          </w:rPr>
          <w:t xml:space="preserve">https://doi.org/10.3390/s25020453</w:t>
        </w:r>
      </w:hyperlink>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Saurabh, S., &amp; Dey, K. (2021). </w:t>
      </w:r>
      <w:r w:rsidDel="00000000" w:rsidR="00000000" w:rsidRPr="00000000">
        <w:rPr>
          <w:shd w:fill="cccccc" w:val="clear"/>
          <w:rtl w:val="0"/>
        </w:rPr>
        <w:t xml:space="preserve">Blockchain </w:t>
      </w:r>
      <w:r w:rsidDel="00000000" w:rsidR="00000000" w:rsidRPr="00000000">
        <w:rPr>
          <w:rtl w:val="0"/>
        </w:rPr>
        <w:t xml:space="preserve">technology adoption, architecture, and sustainable agri-food </w:t>
      </w:r>
      <w:r w:rsidDel="00000000" w:rsidR="00000000" w:rsidRPr="00000000">
        <w:rPr>
          <w:highlight w:val="green"/>
          <w:rtl w:val="0"/>
        </w:rPr>
        <w:t xml:space="preserve">supply chains</w:t>
      </w:r>
      <w:r w:rsidDel="00000000" w:rsidR="00000000" w:rsidRPr="00000000">
        <w:rPr>
          <w:rtl w:val="0"/>
        </w:rPr>
        <w:t xml:space="preserve">. </w:t>
      </w:r>
      <w:r w:rsidDel="00000000" w:rsidR="00000000" w:rsidRPr="00000000">
        <w:rPr>
          <w:i w:val="1"/>
          <w:iCs w:val="1"/>
          <w:rtl w:val="0"/>
        </w:rPr>
        <w:t xml:space="preserve">Journal of Cleaner Production</w:t>
      </w:r>
      <w:r w:rsidDel="00000000" w:rsidR="00000000" w:rsidRPr="00000000">
        <w:rPr>
          <w:rtl w:val="0"/>
        </w:rPr>
        <w:t xml:space="preserve">, [Volumen no especificado en el extracto], 124731.</w:t>
      </w:r>
      <w:hyperlink r:id="rId33">
        <w:r w:rsidDel="00000000" w:rsidR="00000000" w:rsidRPr="00000000">
          <w:rPr>
            <w:color w:val="1155cc"/>
            <w:u w:val="single"/>
            <w:rtl w:val="0"/>
          </w:rPr>
          <w:t xml:space="preserve"> </w:t>
        </w:r>
      </w:hyperlink>
      <w:hyperlink r:id="rId34">
        <w:r w:rsidDel="00000000" w:rsidR="00000000" w:rsidRPr="00000000">
          <w:rPr>
            <w:color w:val="1155cc"/>
            <w:u w:val="single"/>
            <w:rtl w:val="0"/>
          </w:rPr>
          <w:t xml:space="preserve">https://doi.org/10.1016/j.jclepro.2020.124731</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Wang, L., Xu, L., Zheng, Z., Liu, S., Li, X., Cao, L., Li, J., &amp; Sun, C. (2021). Smart Contract-Based </w:t>
      </w:r>
      <w:r w:rsidDel="00000000" w:rsidR="00000000" w:rsidRPr="00000000">
        <w:rPr>
          <w:color w:val="ffffff"/>
          <w:highlight w:val="magenta"/>
          <w:rtl w:val="0"/>
        </w:rPr>
        <w:t xml:space="preserve">Agricultural Food</w:t>
      </w:r>
      <w:r w:rsidDel="00000000" w:rsidR="00000000" w:rsidRPr="00000000">
        <w:rPr>
          <w:rtl w:val="0"/>
        </w:rPr>
        <w:t xml:space="preserve"> </w:t>
      </w:r>
      <w:r w:rsidDel="00000000" w:rsidR="00000000" w:rsidRPr="00000000">
        <w:rPr>
          <w:highlight w:val="green"/>
          <w:rtl w:val="0"/>
        </w:rPr>
        <w:t xml:space="preserve">Supply Chain</w:t>
      </w:r>
      <w:r w:rsidDel="00000000" w:rsidR="00000000" w:rsidRPr="00000000">
        <w:rPr>
          <w:rtl w:val="0"/>
        </w:rPr>
        <w:t xml:space="preserve"> </w:t>
      </w:r>
      <w:r w:rsidDel="00000000" w:rsidR="00000000" w:rsidRPr="00000000">
        <w:rPr>
          <w:highlight w:val="yellow"/>
          <w:rtl w:val="0"/>
        </w:rPr>
        <w:t xml:space="preserve">Traceability</w:t>
      </w:r>
      <w:r w:rsidDel="00000000" w:rsidR="00000000" w:rsidRPr="00000000">
        <w:rPr>
          <w:rtl w:val="0"/>
        </w:rPr>
        <w:t xml:space="preserve">.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9296–9307. </w:t>
      </w:r>
      <w:hyperlink r:id="rId35">
        <w:r w:rsidDel="00000000" w:rsidR="00000000" w:rsidRPr="00000000">
          <w:rPr>
            <w:color w:val="1155cc"/>
            <w:u w:val="single"/>
            <w:rtl w:val="0"/>
          </w:rPr>
          <w:t xml:space="preserve">https://doi.org/10.1109/ACCESS.2021.3050112</w:t>
        </w:r>
      </w:hyperlink>
      <w:r w:rsidDel="00000000" w:rsidR="00000000" w:rsidRPr="00000000">
        <w:rPr>
          <w:rtl w:val="0"/>
        </w:rPr>
        <w:t xml:space="preserve"> </w:t>
      </w:r>
    </w:p>
    <w:p w:rsidR="00000000" w:rsidDel="00000000" w:rsidP="00000000" w:rsidRDefault="00000000" w:rsidRPr="00000000" w14:paraId="00000033">
      <w:pPr>
        <w:spacing w:after="240" w:before="240" w:lineRule="auto"/>
        <w:rPr>
          <w:color w:val="1155cc"/>
          <w:u w:val="single"/>
        </w:rPr>
      </w:pPr>
      <w:r w:rsidDel="00000000" w:rsidR="00000000" w:rsidRPr="00000000">
        <w:rPr>
          <w:rtl w:val="0"/>
        </w:rPr>
        <w:t xml:space="preserve">Yiu, N. C. K. (2021). Decentralizing </w:t>
      </w:r>
      <w:r w:rsidDel="00000000" w:rsidR="00000000" w:rsidRPr="00000000">
        <w:rPr>
          <w:highlight w:val="green"/>
          <w:rtl w:val="0"/>
        </w:rPr>
        <w:t xml:space="preserve">supply chain</w:t>
      </w:r>
      <w:r w:rsidDel="00000000" w:rsidR="00000000" w:rsidRPr="00000000">
        <w:rPr>
          <w:rtl w:val="0"/>
        </w:rPr>
        <w:t xml:space="preserve"> anti-counterfeiting and </w:t>
      </w:r>
      <w:r w:rsidDel="00000000" w:rsidR="00000000" w:rsidRPr="00000000">
        <w:rPr>
          <w:highlight w:val="yellow"/>
          <w:rtl w:val="0"/>
        </w:rPr>
        <w:t xml:space="preserve">traceability </w:t>
      </w:r>
      <w:r w:rsidDel="00000000" w:rsidR="00000000" w:rsidRPr="00000000">
        <w:rPr>
          <w:rtl w:val="0"/>
        </w:rPr>
        <w:t xml:space="preserve">systems using </w:t>
      </w:r>
      <w:r w:rsidDel="00000000" w:rsidR="00000000" w:rsidRPr="00000000">
        <w:rPr>
          <w:shd w:fill="b7b7b7" w:val="clear"/>
          <w:rtl w:val="0"/>
        </w:rPr>
        <w:t xml:space="preserve">blockchain</w:t>
      </w:r>
      <w:r w:rsidDel="00000000" w:rsidR="00000000" w:rsidRPr="00000000">
        <w:rPr>
          <w:rtl w:val="0"/>
        </w:rPr>
        <w:t xml:space="preserve"> technology. </w:t>
      </w:r>
      <w:r w:rsidDel="00000000" w:rsidR="00000000" w:rsidRPr="00000000">
        <w:rPr>
          <w:i w:val="1"/>
          <w:iCs w:val="1"/>
          <w:rtl w:val="0"/>
        </w:rPr>
        <w:t xml:space="preserve">Future Internet, 13</w:t>
      </w:r>
      <w:r w:rsidDel="00000000" w:rsidR="00000000" w:rsidRPr="00000000">
        <w:rPr>
          <w:rtl w:val="0"/>
        </w:rPr>
        <w:t xml:space="preserve">(4), 84.</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https://doi.org/10.3390/fi13040084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Título Tentativo:</w:t>
      </w:r>
    </w:p>
    <w:p w:rsidR="00000000" w:rsidDel="00000000" w:rsidP="00000000" w:rsidRDefault="00000000" w:rsidRPr="00000000" w14:paraId="00000037">
      <w:pPr>
        <w:rPr>
          <w:highlight w:val="cyan"/>
        </w:rPr>
      </w:pPr>
      <w:r w:rsidDel="00000000" w:rsidR="00000000" w:rsidRPr="00000000">
        <w:rPr>
          <w:shd w:fill="b7b7b7" w:val="clear"/>
          <w:rtl w:val="0"/>
        </w:rPr>
        <w:t xml:space="preserve">Arquitectura de blockchain</w:t>
      </w:r>
      <w:r w:rsidDel="00000000" w:rsidR="00000000" w:rsidRPr="00000000">
        <w:rPr>
          <w:rtl w:val="0"/>
        </w:rPr>
        <w:t xml:space="preserve"> para mejorar la </w:t>
      </w:r>
      <w:r w:rsidDel="00000000" w:rsidR="00000000" w:rsidRPr="00000000">
        <w:rPr>
          <w:highlight w:val="yellow"/>
          <w:rtl w:val="0"/>
        </w:rPr>
        <w:t xml:space="preserve">trazabilidad</w:t>
      </w:r>
      <w:r w:rsidDel="00000000" w:rsidR="00000000" w:rsidRPr="00000000">
        <w:rPr>
          <w:rtl w:val="0"/>
        </w:rPr>
        <w:t xml:space="preserve"> de la </w:t>
      </w:r>
      <w:r w:rsidDel="00000000" w:rsidR="00000000" w:rsidRPr="00000000">
        <w:rPr>
          <w:highlight w:val="green"/>
          <w:rtl w:val="0"/>
        </w:rPr>
        <w:t xml:space="preserve">cadena de suministro </w:t>
      </w:r>
      <w:r w:rsidDel="00000000" w:rsidR="00000000" w:rsidRPr="00000000">
        <w:rPr>
          <w:rtl w:val="0"/>
        </w:rPr>
        <w:t xml:space="preserve">en las </w:t>
      </w:r>
      <w:r w:rsidDel="00000000" w:rsidR="00000000" w:rsidRPr="00000000">
        <w:rPr>
          <w:color w:val="ffffff"/>
          <w:highlight w:val="magenta"/>
          <w:rtl w:val="0"/>
        </w:rPr>
        <w:t xml:space="preserve">cooperativas agrarias peruanas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rPr>
          <w:highlight w:val="cyan"/>
        </w:rPr>
      </w:pPr>
      <w:r w:rsidDel="00000000" w:rsidR="00000000" w:rsidRPr="00000000">
        <w:rPr>
          <w:rtl w:val="0"/>
        </w:rPr>
      </w:r>
    </w:p>
    <w:p w:rsidR="00000000" w:rsidDel="00000000" w:rsidP="00000000" w:rsidRDefault="00000000" w:rsidRPr="00000000" w14:paraId="00000039">
      <w:pPr>
        <w:numPr>
          <w:ilvl w:val="0"/>
          <w:numId w:val="4"/>
        </w:numPr>
        <w:ind w:left="720" w:hanging="360"/>
        <w:rPr/>
      </w:pPr>
      <w:r w:rsidDel="00000000" w:rsidR="00000000" w:rsidRPr="00000000">
        <w:rPr>
          <w:b w:val="1"/>
          <w:bCs w:val="1"/>
          <w:rtl w:val="0"/>
        </w:rPr>
        <w:t xml:space="preserve">Variable independiente</w:t>
      </w:r>
      <w:r w:rsidDel="00000000" w:rsidR="00000000" w:rsidRPr="00000000">
        <w:rPr>
          <w:rtl w:val="0"/>
        </w:rPr>
        <w:t xml:space="preserve">: </w:t>
      </w:r>
      <w:r w:rsidDel="00000000" w:rsidR="00000000" w:rsidRPr="00000000">
        <w:rPr>
          <w:shd w:fill="b7b7b7" w:val="clear"/>
          <w:rtl w:val="0"/>
        </w:rPr>
        <w:t xml:space="preserve">Arquitectura de Blockchain</w:t>
      </w:r>
      <w:r w:rsidDel="00000000" w:rsidR="00000000" w:rsidRPr="00000000">
        <w:rPr>
          <w:rtl w:val="0"/>
        </w:rPr>
      </w:r>
    </w:p>
    <w:p w:rsidR="00000000" w:rsidDel="00000000" w:rsidP="00000000" w:rsidRDefault="00000000" w:rsidRPr="00000000" w14:paraId="0000003A">
      <w:pPr>
        <w:numPr>
          <w:ilvl w:val="0"/>
          <w:numId w:val="4"/>
        </w:numPr>
        <w:ind w:left="720" w:hanging="360"/>
        <w:rPr>
          <w:b w:val="1"/>
          <w:bCs w:val="1"/>
        </w:rPr>
      </w:pPr>
      <w:r w:rsidDel="00000000" w:rsidR="00000000" w:rsidRPr="00000000">
        <w:rPr>
          <w:b w:val="1"/>
          <w:bCs w:val="1"/>
          <w:rtl w:val="0"/>
        </w:rPr>
        <w:t xml:space="preserve">Variable dependiente: </w:t>
      </w:r>
      <w:r w:rsidDel="00000000" w:rsidR="00000000" w:rsidRPr="00000000">
        <w:rPr>
          <w:highlight w:val="yellow"/>
          <w:rtl w:val="0"/>
        </w:rPr>
        <w:t xml:space="preserve">Trazabilidad</w:t>
      </w:r>
      <w:r w:rsidDel="00000000" w:rsidR="00000000" w:rsidRPr="00000000">
        <w:rPr>
          <w:rtl w:val="0"/>
        </w:rPr>
      </w:r>
    </w:p>
    <w:p w:rsidR="00000000" w:rsidDel="00000000" w:rsidP="00000000" w:rsidRDefault="00000000" w:rsidRPr="00000000" w14:paraId="0000003B">
      <w:pPr>
        <w:numPr>
          <w:ilvl w:val="0"/>
          <w:numId w:val="4"/>
        </w:numPr>
        <w:ind w:left="720" w:hanging="360"/>
        <w:rPr/>
      </w:pPr>
      <w:r w:rsidDel="00000000" w:rsidR="00000000" w:rsidRPr="00000000">
        <w:rPr>
          <w:b w:val="1"/>
          <w:bCs w:val="1"/>
          <w:rtl w:val="0"/>
        </w:rPr>
        <w:t xml:space="preserve">Objeto de estudio: </w:t>
      </w:r>
      <w:r w:rsidDel="00000000" w:rsidR="00000000" w:rsidRPr="00000000">
        <w:rPr>
          <w:highlight w:val="green"/>
          <w:rtl w:val="0"/>
        </w:rPr>
        <w:t xml:space="preserve">Cadena de suministro</w:t>
      </w:r>
      <w:r w:rsidDel="00000000" w:rsidR="00000000" w:rsidRPr="00000000">
        <w:rPr>
          <w:rtl w:val="0"/>
        </w:rPr>
      </w:r>
    </w:p>
    <w:p w:rsidR="00000000" w:rsidDel="00000000" w:rsidP="00000000" w:rsidRDefault="00000000" w:rsidRPr="00000000" w14:paraId="0000003C">
      <w:pPr>
        <w:numPr>
          <w:ilvl w:val="0"/>
          <w:numId w:val="4"/>
        </w:numPr>
        <w:ind w:left="720" w:hanging="360"/>
        <w:rPr/>
      </w:pPr>
      <w:r w:rsidDel="00000000" w:rsidR="00000000" w:rsidRPr="00000000">
        <w:rPr>
          <w:b w:val="1"/>
          <w:bCs w:val="1"/>
          <w:rtl w:val="0"/>
        </w:rPr>
        <w:t xml:space="preserve">Alcance espacial: </w:t>
      </w:r>
      <w:r w:rsidDel="00000000" w:rsidR="00000000" w:rsidRPr="00000000">
        <w:rPr>
          <w:color w:val="ffffff"/>
          <w:highlight w:val="magenta"/>
          <w:rtl w:val="0"/>
        </w:rPr>
        <w:t xml:space="preserve">Cooperativas agrarias peruanas</w:t>
      </w:r>
      <w:r w:rsidDel="00000000" w:rsidR="00000000" w:rsidRPr="00000000">
        <w:rPr>
          <w:rtl w:val="0"/>
        </w:rPr>
      </w:r>
    </w:p>
    <w:p w:rsidR="00000000" w:rsidDel="00000000" w:rsidP="00000000" w:rsidRDefault="00000000" w:rsidRPr="00000000" w14:paraId="0000003D">
      <w:pPr>
        <w:numPr>
          <w:ilvl w:val="0"/>
          <w:numId w:val="4"/>
        </w:numPr>
        <w:ind w:left="720" w:hanging="360"/>
        <w:rPr>
          <w:b w:val="1"/>
          <w:bCs w:val="1"/>
        </w:rPr>
        <w:sectPr>
          <w:pgSz w:h="16838" w:w="11906" w:orient="portrait"/>
          <w:pgMar w:bottom="1417" w:top="1417" w:left="1701" w:right="1701" w:header="708" w:footer="708"/>
          <w:pgNumType w:start="1"/>
        </w:sectPr>
      </w:pPr>
      <w:r w:rsidDel="00000000" w:rsidR="00000000" w:rsidRPr="00000000">
        <w:rPr>
          <w:b w:val="1"/>
          <w:bCs w:val="1"/>
          <w:rtl w:val="0"/>
        </w:rPr>
        <w:t xml:space="preserve">Alcance temporal: </w:t>
      </w:r>
      <w:r w:rsidDel="00000000" w:rsidR="00000000" w:rsidRPr="00000000">
        <w:rPr>
          <w:highlight w:val="cyan"/>
          <w:rtl w:val="0"/>
        </w:rPr>
        <w:t xml:space="preserve">2025</w:t>
      </w:r>
      <w:r w:rsidDel="00000000" w:rsidR="00000000" w:rsidRPr="00000000">
        <w:rPr>
          <w:rtl w:val="0"/>
        </w:rPr>
      </w:r>
    </w:p>
    <w:p w:rsidR="00000000" w:rsidDel="00000000" w:rsidP="00000000" w:rsidRDefault="00000000" w:rsidRPr="00000000" w14:paraId="0000003E">
      <w:pPr>
        <w:widowControl w:val="0"/>
        <w:spacing w:after="0" w:before="11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MATRIZ DE CONSISTENCIA</w:t>
      </w:r>
    </w:p>
    <w:p w:rsidR="00000000" w:rsidDel="00000000" w:rsidP="00000000" w:rsidRDefault="00000000" w:rsidRPr="00000000" w14:paraId="0000003F">
      <w:pPr>
        <w:widowControl w:val="0"/>
        <w:spacing w:after="0" w:line="240" w:lineRule="auto"/>
        <w:rPr>
          <w:rFonts w:ascii="Arial" w:cs="Arial" w:eastAsia="Arial" w:hAnsi="Arial"/>
        </w:rPr>
      </w:pPr>
      <w:r w:rsidDel="00000000" w:rsidR="00000000" w:rsidRPr="00000000">
        <w:rPr>
          <w:rtl w:val="0"/>
        </w:rPr>
      </w:r>
    </w:p>
    <w:tbl>
      <w:tblPr>
        <w:tblStyle w:val="Table1"/>
        <w:tblW w:w="16001.000000000002"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1756"/>
        <w:gridCol w:w="2681"/>
        <w:gridCol w:w="2690"/>
        <w:gridCol w:w="2690"/>
        <w:gridCol w:w="2549"/>
        <w:gridCol w:w="1845"/>
        <w:tblGridChange w:id="0">
          <w:tblGrid>
            <w:gridCol w:w="1790"/>
            <w:gridCol w:w="1756"/>
            <w:gridCol w:w="2681"/>
            <w:gridCol w:w="2690"/>
            <w:gridCol w:w="2690"/>
            <w:gridCol w:w="2549"/>
            <w:gridCol w:w="1845"/>
          </w:tblGrid>
        </w:tblGridChange>
      </w:tblGrid>
      <w:tr>
        <w:trPr>
          <w:cantSplit w:val="0"/>
          <w:trHeight w:val="315" w:hRule="atLeast"/>
          <w:tblHeader w:val="0"/>
        </w:trPr>
        <w:tc>
          <w:tcPr>
            <w:gridSpan w:val="7"/>
            <w:shd w:fill="e8e8e8" w:val="clear"/>
          </w:tcPr>
          <w:p w:rsidR="00000000" w:rsidDel="00000000" w:rsidP="00000000" w:rsidRDefault="00000000" w:rsidRPr="00000000" w14:paraId="00000040">
            <w:pPr>
              <w:widowControl w:val="0"/>
              <w:spacing w:after="0" w:line="240" w:lineRule="auto"/>
              <w:ind w:left="107" w:right="9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Título: </w:t>
            </w:r>
            <w:r w:rsidDel="00000000" w:rsidR="00000000" w:rsidRPr="00000000">
              <w:rPr>
                <w:shd w:fill="b7b7b7" w:val="clear"/>
                <w:rtl w:val="0"/>
              </w:rPr>
              <w:t xml:space="preserve">Arquitectura de blockchain</w:t>
            </w:r>
            <w:r w:rsidDel="00000000" w:rsidR="00000000" w:rsidRPr="00000000">
              <w:rPr>
                <w:rtl w:val="0"/>
              </w:rPr>
              <w:t xml:space="preserve"> para mejorar la </w:t>
            </w:r>
            <w:r w:rsidDel="00000000" w:rsidR="00000000" w:rsidRPr="00000000">
              <w:rPr>
                <w:highlight w:val="yellow"/>
                <w:rtl w:val="0"/>
              </w:rPr>
              <w:t xml:space="preserve">trazabilidad</w:t>
            </w:r>
            <w:r w:rsidDel="00000000" w:rsidR="00000000" w:rsidRPr="00000000">
              <w:rPr>
                <w:rtl w:val="0"/>
              </w:rPr>
              <w:t xml:space="preserve"> de la </w:t>
            </w:r>
            <w:r w:rsidDel="00000000" w:rsidR="00000000" w:rsidRPr="00000000">
              <w:rPr>
                <w:highlight w:val="green"/>
                <w:rtl w:val="0"/>
              </w:rPr>
              <w:t xml:space="preserve">cadena de suministro </w:t>
            </w:r>
            <w:r w:rsidDel="00000000" w:rsidR="00000000" w:rsidRPr="00000000">
              <w:rPr>
                <w:rtl w:val="0"/>
              </w:rPr>
              <w:t xml:space="preserve">en las </w:t>
            </w:r>
            <w:r w:rsidDel="00000000" w:rsidR="00000000" w:rsidRPr="00000000">
              <w:rPr>
                <w:color w:val="ffffff"/>
                <w:highlight w:val="magenta"/>
                <w:rtl w:val="0"/>
              </w:rPr>
              <w:t xml:space="preserve">cooperativas agrarias peruanas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t xml:space="preserve">.</w:t>
            </w:r>
            <w:r w:rsidDel="00000000" w:rsidR="00000000" w:rsidRPr="00000000">
              <w:rPr>
                <w:rtl w:val="0"/>
              </w:rPr>
            </w:r>
          </w:p>
        </w:tc>
      </w:tr>
      <w:tr>
        <w:trPr>
          <w:cantSplit w:val="0"/>
          <w:trHeight w:val="483" w:hRule="atLeast"/>
          <w:tblHeader w:val="0"/>
        </w:trPr>
        <w:tc>
          <w:tcPr>
            <w:shd w:fill="e8e8e8" w:val="clear"/>
          </w:tcPr>
          <w:p w:rsidR="00000000" w:rsidDel="00000000" w:rsidP="00000000" w:rsidRDefault="00000000" w:rsidRPr="00000000" w14:paraId="00000047">
            <w:pPr>
              <w:widowControl w:val="0"/>
              <w:spacing w:after="0" w:before="9" w:line="240" w:lineRule="auto"/>
              <w:ind w:left="1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LINEA DE</w:t>
            </w:r>
          </w:p>
          <w:p w:rsidR="00000000" w:rsidDel="00000000" w:rsidP="00000000" w:rsidRDefault="00000000" w:rsidRPr="00000000" w14:paraId="00000048">
            <w:pPr>
              <w:widowControl w:val="0"/>
              <w:spacing w:after="0" w:line="220" w:lineRule="auto"/>
              <w:ind w:left="10" w:right="1"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INVESTIGACIÓN</w:t>
            </w:r>
          </w:p>
        </w:tc>
        <w:tc>
          <w:tcPr>
            <w:shd w:fill="e8e8e8" w:val="clear"/>
          </w:tcPr>
          <w:p w:rsidR="00000000" w:rsidDel="00000000" w:rsidP="00000000" w:rsidRDefault="00000000" w:rsidRPr="00000000" w14:paraId="00000049">
            <w:pPr>
              <w:widowControl w:val="0"/>
              <w:spacing w:after="0" w:line="240" w:lineRule="auto"/>
              <w:ind w:left="433" w:right="100" w:hanging="291"/>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PROBLEMA DE ESTUDIO</w:t>
            </w:r>
          </w:p>
        </w:tc>
        <w:tc>
          <w:tcPr>
            <w:shd w:fill="e8e8e8" w:val="clear"/>
          </w:tcPr>
          <w:p w:rsidR="00000000" w:rsidDel="00000000" w:rsidP="00000000" w:rsidRDefault="00000000" w:rsidRPr="00000000" w14:paraId="0000004A">
            <w:pPr>
              <w:widowControl w:val="0"/>
              <w:spacing w:after="0" w:before="124" w:line="240" w:lineRule="auto"/>
              <w:ind w:left="70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PROBLEMAS</w:t>
            </w:r>
          </w:p>
        </w:tc>
        <w:tc>
          <w:tcPr>
            <w:shd w:fill="e8e8e8" w:val="clear"/>
          </w:tcPr>
          <w:p w:rsidR="00000000" w:rsidDel="00000000" w:rsidP="00000000" w:rsidRDefault="00000000" w:rsidRPr="00000000" w14:paraId="0000004B">
            <w:pPr>
              <w:widowControl w:val="0"/>
              <w:spacing w:after="0" w:before="124" w:line="240" w:lineRule="auto"/>
              <w:ind w:left="81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HIPÓTESIS</w:t>
            </w:r>
          </w:p>
        </w:tc>
        <w:tc>
          <w:tcPr>
            <w:shd w:fill="e8e8e8" w:val="clear"/>
          </w:tcPr>
          <w:p w:rsidR="00000000" w:rsidDel="00000000" w:rsidP="00000000" w:rsidRDefault="00000000" w:rsidRPr="00000000" w14:paraId="0000004C">
            <w:pPr>
              <w:widowControl w:val="0"/>
              <w:spacing w:after="0" w:before="124" w:line="240" w:lineRule="auto"/>
              <w:ind w:left="772"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OBJETIVOS</w:t>
            </w:r>
          </w:p>
        </w:tc>
        <w:tc>
          <w:tcPr>
            <w:shd w:fill="e8e8e8" w:val="clear"/>
          </w:tcPr>
          <w:p w:rsidR="00000000" w:rsidDel="00000000" w:rsidP="00000000" w:rsidRDefault="00000000" w:rsidRPr="00000000" w14:paraId="0000004D">
            <w:pPr>
              <w:widowControl w:val="0"/>
              <w:spacing w:after="0" w:line="240" w:lineRule="auto"/>
              <w:ind w:left="576" w:firstLine="37.99999999999997"/>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VARIABLES Y DIMENSIONES</w:t>
            </w:r>
          </w:p>
        </w:tc>
        <w:tc>
          <w:tcPr>
            <w:shd w:fill="e8e8e8" w:val="clear"/>
          </w:tcPr>
          <w:p w:rsidR="00000000" w:rsidDel="00000000" w:rsidP="00000000" w:rsidRDefault="00000000" w:rsidRPr="00000000" w14:paraId="0000004E">
            <w:pPr>
              <w:widowControl w:val="0"/>
              <w:spacing w:after="0" w:before="32" w:line="207" w:lineRule="auto"/>
              <w:ind w:left="7"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DISEÑO</w:t>
            </w:r>
          </w:p>
          <w:p w:rsidR="00000000" w:rsidDel="00000000" w:rsidP="00000000" w:rsidRDefault="00000000" w:rsidRPr="00000000" w14:paraId="0000004F">
            <w:pPr>
              <w:widowControl w:val="0"/>
              <w:spacing w:after="0" w:line="207" w:lineRule="auto"/>
              <w:ind w:left="7" w:right="2"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METODOLÓGICO</w:t>
            </w:r>
          </w:p>
        </w:tc>
      </w:tr>
      <w:tr>
        <w:trPr>
          <w:cantSplit w:val="0"/>
          <w:trHeight w:val="1855" w:hRule="atLeast"/>
          <w:tblHeader w:val="0"/>
        </w:trPr>
        <w:tc>
          <w:tcPr/>
          <w:p w:rsidR="00000000" w:rsidDel="00000000" w:rsidP="00000000" w:rsidRDefault="00000000" w:rsidRPr="00000000" w14:paraId="00000050">
            <w:pPr>
              <w:widowControl w:val="0"/>
              <w:spacing w:after="0" w:before="227" w:line="240" w:lineRule="auto"/>
              <w:ind w:left="184" w:right="174" w:firstLine="1.000000000000014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Blockchain aplicada a la trazabilidad</w:t>
            </w:r>
          </w:p>
        </w:tc>
        <w:tc>
          <w:tcPr>
            <w:vMerge w:val="restart"/>
            <w:tcBorders>
              <w:bottom w:color="000000" w:space="0" w:sz="0" w:val="nil"/>
            </w:tcBorders>
          </w:tcPr>
          <w:p w:rsidR="00000000" w:rsidDel="00000000" w:rsidP="00000000" w:rsidRDefault="00000000" w:rsidRPr="00000000" w14:paraId="00000051">
            <w:pPr>
              <w:widowControl w:val="0"/>
              <w:tabs>
                <w:tab w:val="left" w:leader="none" w:pos="1278"/>
                <w:tab w:val="left" w:leader="none" w:pos="4675"/>
              </w:tabs>
              <w:spacing w:after="0" w:before="183" w:line="240" w:lineRule="auto"/>
              <w:ind w:left="141.73228346456676" w:firstLine="0"/>
              <w:rPr>
                <w:rFonts w:ascii="Arial" w:cs="Arial" w:eastAsia="Arial" w:hAnsi="Arial"/>
                <w:sz w:val="18"/>
                <w:szCs w:val="18"/>
                <w:highlight w:val="red"/>
              </w:rPr>
            </w:pPr>
            <w:r w:rsidDel="00000000" w:rsidR="00000000" w:rsidRPr="00000000">
              <w:rPr>
                <w:rtl w:val="0"/>
              </w:rPr>
            </w:r>
          </w:p>
          <w:p w:rsidR="00000000" w:rsidDel="00000000" w:rsidP="00000000" w:rsidRDefault="00000000" w:rsidRPr="00000000" w14:paraId="00000052">
            <w:pPr>
              <w:widowControl w:val="0"/>
              <w:tabs>
                <w:tab w:val="left" w:leader="none" w:pos="1278"/>
                <w:tab w:val="left" w:leader="none" w:pos="4675"/>
              </w:tabs>
              <w:spacing w:after="0" w:before="183" w:line="240" w:lineRule="auto"/>
              <w:ind w:left="141.73228346456676" w:firstLine="0"/>
              <w:rPr>
                <w:rFonts w:ascii="Arial" w:cs="Arial" w:eastAsia="Arial" w:hAnsi="Arial"/>
                <w:sz w:val="18"/>
                <w:szCs w:val="18"/>
                <w:highlight w:val="red"/>
              </w:rPr>
            </w:pPr>
            <w:r w:rsidDel="00000000" w:rsidR="00000000" w:rsidRPr="00000000">
              <w:rPr>
                <w:rtl w:val="0"/>
              </w:rPr>
            </w:r>
          </w:p>
          <w:p w:rsidR="00000000" w:rsidDel="00000000" w:rsidP="00000000" w:rsidRDefault="00000000" w:rsidRPr="00000000" w14:paraId="00000053">
            <w:pPr>
              <w:widowControl w:val="0"/>
              <w:tabs>
                <w:tab w:val="left" w:leader="none" w:pos="1278"/>
                <w:tab w:val="left" w:leader="none" w:pos="4675"/>
              </w:tabs>
              <w:spacing w:after="0" w:before="183" w:line="240" w:lineRule="auto"/>
              <w:ind w:left="141.73228346456676" w:firstLine="0"/>
              <w:rPr>
                <w:rFonts w:ascii="Arial" w:cs="Arial" w:eastAsia="Arial" w:hAnsi="Arial"/>
                <w:sz w:val="18"/>
                <w:szCs w:val="18"/>
                <w:highlight w:val="red"/>
              </w:rPr>
            </w:pP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highlight w:val="red"/>
                <w:rtl w:val="0"/>
              </w:rPr>
              <w:t xml:space="preserve">Deficiente</w:t>
            </w:r>
            <w:r w:rsidDel="00000000" w:rsidR="00000000" w:rsidRPr="00000000">
              <w:rPr>
                <w:rtl w:val="0"/>
              </w:rPr>
              <w:t xml:space="preserve"> </w:t>
            </w:r>
            <w:r w:rsidDel="00000000" w:rsidR="00000000" w:rsidRPr="00000000">
              <w:rPr>
                <w:highlight w:val="yellow"/>
                <w:rtl w:val="0"/>
              </w:rPr>
              <w:t xml:space="preserve">trazabilidad</w:t>
            </w:r>
            <w:r w:rsidDel="00000000" w:rsidR="00000000" w:rsidRPr="00000000">
              <w:rPr>
                <w:rtl w:val="0"/>
              </w:rPr>
              <w:t xml:space="preserve"> de la </w:t>
            </w:r>
            <w:r w:rsidDel="00000000" w:rsidR="00000000" w:rsidRPr="00000000">
              <w:rPr>
                <w:highlight w:val="green"/>
                <w:rtl w:val="0"/>
              </w:rPr>
              <w:t xml:space="preserve">cadena de suministro </w:t>
            </w:r>
            <w:r w:rsidDel="00000000" w:rsidR="00000000" w:rsidRPr="00000000">
              <w:rPr>
                <w:rtl w:val="0"/>
              </w:rPr>
              <w:t xml:space="preserve">de las </w:t>
            </w:r>
            <w:r w:rsidDel="00000000" w:rsidR="00000000" w:rsidRPr="00000000">
              <w:rPr>
                <w:color w:val="ffffff"/>
                <w:highlight w:val="magenta"/>
                <w:rtl w:val="0"/>
              </w:rPr>
              <w:t xml:space="preserve">cooperativas agrarias peruanass</w:t>
            </w:r>
            <w:r w:rsidDel="00000000" w:rsidR="00000000" w:rsidRPr="00000000">
              <w:rPr>
                <w:rtl w:val="0"/>
              </w:rPr>
              <w:t xml:space="preserve">  </w:t>
            </w:r>
            <w:r w:rsidDel="00000000" w:rsidR="00000000" w:rsidRPr="00000000">
              <w:rPr>
                <w:highlight w:val="cyan"/>
                <w:rtl w:val="0"/>
              </w:rPr>
              <w:t xml:space="preserve">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rPr>
                <w:sz w:val="20"/>
                <w:szCs w:val="20"/>
                <w:highlight w:val="red"/>
              </w:rPr>
            </w:pPr>
            <w:r w:rsidDel="00000000" w:rsidR="00000000" w:rsidRPr="00000000">
              <w:rPr>
                <w:rtl w:val="0"/>
              </w:rPr>
            </w:r>
          </w:p>
        </w:tc>
        <w:tc>
          <w:tcPr>
            <w:vMerge w:val="restart"/>
          </w:tcPr>
          <w:p w:rsidR="00000000" w:rsidDel="00000000" w:rsidP="00000000" w:rsidRDefault="00000000" w:rsidRPr="00000000" w14:paraId="00000056">
            <w:pPr>
              <w:widowControl w:val="0"/>
              <w:spacing w:after="0" w:line="229" w:lineRule="auto"/>
              <w:ind w:left="105"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Problema general:</w:t>
            </w:r>
            <w:r w:rsidDel="00000000" w:rsidR="00000000" w:rsidRPr="00000000">
              <w:rPr>
                <w:rtl w:val="0"/>
              </w:rPr>
            </w:r>
          </w:p>
          <w:p w:rsidR="00000000" w:rsidDel="00000000" w:rsidP="00000000" w:rsidRDefault="00000000" w:rsidRPr="00000000" w14:paraId="00000057">
            <w:pPr>
              <w:widowControl w:val="0"/>
              <w:spacing w:after="0" w:before="228" w:line="240" w:lineRule="auto"/>
              <w:ind w:left="105" w:right="9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¿Cómo influye una </w:t>
            </w:r>
            <w:r w:rsidDel="00000000" w:rsidR="00000000" w:rsidRPr="00000000">
              <w:rPr>
                <w:rFonts w:ascii="Arial" w:cs="Arial" w:eastAsia="Arial" w:hAnsi="Arial"/>
                <w:sz w:val="18"/>
                <w:szCs w:val="18"/>
                <w:shd w:fill="cccccc" w:val="clear"/>
                <w:rtl w:val="0"/>
              </w:rPr>
              <w:t xml:space="preserve">arquitectura de blockchain</w:t>
            </w:r>
            <w:r w:rsidDel="00000000" w:rsidR="00000000" w:rsidRPr="00000000">
              <w:rPr>
                <w:rFonts w:ascii="Arial" w:cs="Arial" w:eastAsia="Arial" w:hAnsi="Arial"/>
                <w:sz w:val="18"/>
                <w:szCs w:val="18"/>
                <w:rtl w:val="0"/>
              </w:rPr>
              <w:t xml:space="preserve"> en la mejora de la </w:t>
            </w:r>
            <w:r w:rsidDel="00000000" w:rsidR="00000000" w:rsidRPr="00000000">
              <w:rPr>
                <w:rFonts w:ascii="Arial" w:cs="Arial" w:eastAsia="Arial" w:hAnsi="Arial"/>
                <w:sz w:val="18"/>
                <w:szCs w:val="18"/>
                <w:highlight w:val="yellow"/>
                <w:rtl w:val="0"/>
              </w:rPr>
              <w:t xml:space="preserve">trazabilidad</w:t>
            </w:r>
            <w:r w:rsidDel="00000000" w:rsidR="00000000" w:rsidRPr="00000000">
              <w:rPr>
                <w:rFonts w:ascii="Arial" w:cs="Arial" w:eastAsia="Arial" w:hAnsi="Arial"/>
                <w:sz w:val="18"/>
                <w:szCs w:val="18"/>
                <w:rtl w:val="0"/>
              </w:rPr>
              <w:t xml:space="preserve"> de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en el año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tc>
        <w:tc>
          <w:tcPr>
            <w:vMerge w:val="restart"/>
          </w:tcPr>
          <w:p w:rsidR="00000000" w:rsidDel="00000000" w:rsidP="00000000" w:rsidRDefault="00000000" w:rsidRPr="00000000" w14:paraId="00000058">
            <w:pPr>
              <w:widowControl w:val="0"/>
              <w:spacing w:after="0" w:line="229" w:lineRule="auto"/>
              <w:ind w:left="107"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Hipótesis general:</w:t>
            </w:r>
            <w:r w:rsidDel="00000000" w:rsidR="00000000" w:rsidRPr="00000000">
              <w:rPr>
                <w:rtl w:val="0"/>
              </w:rPr>
            </w:r>
          </w:p>
          <w:p w:rsidR="00000000" w:rsidDel="00000000" w:rsidP="00000000" w:rsidRDefault="00000000" w:rsidRPr="00000000" w14:paraId="00000059">
            <w:pPr>
              <w:widowControl w:val="0"/>
              <w:spacing w:after="0" w:line="229" w:lineRule="auto"/>
              <w:ind w:left="107"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br w:type="textWrapping"/>
            </w:r>
            <w:r w:rsidDel="00000000" w:rsidR="00000000" w:rsidRPr="00000000">
              <w:rPr>
                <w:rFonts w:ascii="Arial" w:cs="Arial" w:eastAsia="Arial" w:hAnsi="Arial"/>
                <w:sz w:val="18"/>
                <w:szCs w:val="18"/>
                <w:rtl w:val="0"/>
              </w:rPr>
              <w:t xml:space="preserve">La implementación de una </w:t>
            </w:r>
            <w:r w:rsidDel="00000000" w:rsidR="00000000" w:rsidRPr="00000000">
              <w:rPr>
                <w:rFonts w:ascii="Arial" w:cs="Arial" w:eastAsia="Arial" w:hAnsi="Arial"/>
                <w:sz w:val="18"/>
                <w:szCs w:val="18"/>
                <w:shd w:fill="cccccc" w:val="clear"/>
                <w:rtl w:val="0"/>
              </w:rPr>
              <w:t xml:space="preserve">arquitectura de blockchain</w:t>
            </w:r>
            <w:r w:rsidDel="00000000" w:rsidR="00000000" w:rsidRPr="00000000">
              <w:rPr>
                <w:rFonts w:ascii="Arial" w:cs="Arial" w:eastAsia="Arial" w:hAnsi="Arial"/>
                <w:sz w:val="18"/>
                <w:szCs w:val="18"/>
                <w:rtl w:val="0"/>
              </w:rPr>
              <w:t xml:space="preserve"> influye significativamente en la mejora de la </w:t>
            </w:r>
            <w:r w:rsidDel="00000000" w:rsidR="00000000" w:rsidRPr="00000000">
              <w:rPr>
                <w:rFonts w:ascii="Arial" w:cs="Arial" w:eastAsia="Arial" w:hAnsi="Arial"/>
                <w:sz w:val="18"/>
                <w:szCs w:val="18"/>
                <w:highlight w:val="yellow"/>
                <w:rtl w:val="0"/>
              </w:rPr>
              <w:t xml:space="preserve">trazabilidad</w:t>
            </w:r>
            <w:r w:rsidDel="00000000" w:rsidR="00000000" w:rsidRPr="00000000">
              <w:rPr>
                <w:rFonts w:ascii="Arial" w:cs="Arial" w:eastAsia="Arial" w:hAnsi="Arial"/>
                <w:sz w:val="18"/>
                <w:szCs w:val="18"/>
                <w:rtl w:val="0"/>
              </w:rPr>
              <w:t xml:space="preserve"> de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en el año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5A">
            <w:pPr>
              <w:widowControl w:val="0"/>
              <w:spacing w:after="0" w:before="228" w:line="240" w:lineRule="auto"/>
              <w:ind w:left="107" w:right="94" w:firstLine="0"/>
              <w:jc w:val="both"/>
              <w:rPr>
                <w:rFonts w:ascii="Arial" w:cs="Arial" w:eastAsia="Arial" w:hAnsi="Arial"/>
                <w:sz w:val="18"/>
                <w:szCs w:val="18"/>
              </w:rPr>
            </w:pPr>
            <w:r w:rsidDel="00000000" w:rsidR="00000000" w:rsidRPr="00000000">
              <w:rPr>
                <w:rtl w:val="0"/>
              </w:rPr>
            </w:r>
          </w:p>
        </w:tc>
        <w:tc>
          <w:tcPr>
            <w:vMerge w:val="restart"/>
          </w:tcPr>
          <w:p w:rsidR="00000000" w:rsidDel="00000000" w:rsidP="00000000" w:rsidRDefault="00000000" w:rsidRPr="00000000" w14:paraId="0000005B">
            <w:pPr>
              <w:widowControl w:val="0"/>
              <w:spacing w:after="0" w:line="229" w:lineRule="auto"/>
              <w:ind w:left="107"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Objetivo general:</w:t>
            </w:r>
            <w:r w:rsidDel="00000000" w:rsidR="00000000" w:rsidRPr="00000000">
              <w:rPr>
                <w:rtl w:val="0"/>
              </w:rPr>
            </w:r>
          </w:p>
          <w:p w:rsidR="00000000" w:rsidDel="00000000" w:rsidP="00000000" w:rsidRDefault="00000000" w:rsidRPr="00000000" w14:paraId="0000005C">
            <w:pPr>
              <w:widowControl w:val="0"/>
              <w:spacing w:after="0" w:before="228" w:line="240" w:lineRule="auto"/>
              <w:ind w:left="107" w:right="96" w:firstLine="0"/>
              <w:jc w:val="both"/>
              <w:rPr>
                <w:rFonts w:ascii="Arial" w:cs="Arial" w:eastAsia="Arial" w:hAnsi="Arial"/>
                <w:sz w:val="18"/>
                <w:szCs w:val="18"/>
              </w:rPr>
            </w:pPr>
            <w:r w:rsidDel="00000000" w:rsidR="00000000" w:rsidRPr="00000000">
              <w:rPr>
                <w:rFonts w:ascii="Arial" w:cs="Arial" w:eastAsia="Arial" w:hAnsi="Arial"/>
                <w:b w:val="1"/>
                <w:bCs w:val="1"/>
                <w:sz w:val="18"/>
                <w:szCs w:val="18"/>
                <w:u w:val="single"/>
                <w:rtl w:val="0"/>
              </w:rPr>
              <w:t xml:space="preserve">Desarrollar</w:t>
            </w:r>
            <w:r w:rsidDel="00000000" w:rsidR="00000000" w:rsidRPr="00000000">
              <w:rPr>
                <w:rFonts w:ascii="Arial" w:cs="Arial" w:eastAsia="Arial" w:hAnsi="Arial"/>
                <w:sz w:val="18"/>
                <w:szCs w:val="18"/>
                <w:rtl w:val="0"/>
              </w:rPr>
              <w:t xml:space="preserve"> una </w:t>
            </w:r>
            <w:r w:rsidDel="00000000" w:rsidR="00000000" w:rsidRPr="00000000">
              <w:rPr>
                <w:rFonts w:ascii="Arial" w:cs="Arial" w:eastAsia="Arial" w:hAnsi="Arial"/>
                <w:sz w:val="18"/>
                <w:szCs w:val="18"/>
                <w:shd w:fill="cccccc" w:val="clear"/>
                <w:rtl w:val="0"/>
              </w:rPr>
              <w:t xml:space="preserve">arquitectura de blockchain</w:t>
            </w:r>
            <w:r w:rsidDel="00000000" w:rsidR="00000000" w:rsidRPr="00000000">
              <w:rPr>
                <w:rFonts w:ascii="Arial" w:cs="Arial" w:eastAsia="Arial" w:hAnsi="Arial"/>
                <w:sz w:val="18"/>
                <w:szCs w:val="18"/>
                <w:rtl w:val="0"/>
              </w:rPr>
              <w:t xml:space="preserve"> que permita mejorar la </w:t>
            </w:r>
            <w:r w:rsidDel="00000000" w:rsidR="00000000" w:rsidRPr="00000000">
              <w:rPr>
                <w:rFonts w:ascii="Arial" w:cs="Arial" w:eastAsia="Arial" w:hAnsi="Arial"/>
                <w:sz w:val="18"/>
                <w:szCs w:val="18"/>
                <w:highlight w:val="yellow"/>
                <w:rtl w:val="0"/>
              </w:rPr>
              <w:t xml:space="preserve">trazabilidad</w:t>
            </w:r>
            <w:r w:rsidDel="00000000" w:rsidR="00000000" w:rsidRPr="00000000">
              <w:rPr>
                <w:rFonts w:ascii="Arial" w:cs="Arial" w:eastAsia="Arial" w:hAnsi="Arial"/>
                <w:sz w:val="18"/>
                <w:szCs w:val="18"/>
                <w:rtl w:val="0"/>
              </w:rPr>
              <w:t xml:space="preserve"> de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en el año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tc>
        <w:tc>
          <w:tcPr>
            <w:vMerge w:val="restart"/>
          </w:tcPr>
          <w:p w:rsidR="00000000" w:rsidDel="00000000" w:rsidP="00000000" w:rsidRDefault="00000000" w:rsidRPr="00000000" w14:paraId="0000005D">
            <w:pPr>
              <w:widowControl w:val="0"/>
              <w:spacing w:after="0" w:line="240" w:lineRule="auto"/>
              <w:ind w:left="107"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Variable independiente: </w:t>
            </w:r>
            <w:r w:rsidDel="00000000" w:rsidR="00000000" w:rsidRPr="00000000">
              <w:rPr>
                <w:shd w:fill="b7b7b7" w:val="clear"/>
                <w:rtl w:val="0"/>
              </w:rPr>
              <w:t xml:space="preserve">Arquitectura de blockchain</w:t>
            </w:r>
            <w:r w:rsidDel="00000000" w:rsidR="00000000" w:rsidRPr="00000000">
              <w:rPr>
                <w:rtl w:val="0"/>
              </w:rPr>
              <w:t xml:space="preserve"> </w:t>
            </w:r>
            <w:r w:rsidDel="00000000" w:rsidR="00000000" w:rsidRPr="00000000">
              <w:rPr>
                <w:rFonts w:ascii="Arial" w:cs="Arial" w:eastAsia="Arial" w:hAnsi="Arial"/>
                <w:sz w:val="18"/>
                <w:szCs w:val="18"/>
                <w:rtl w:val="0"/>
              </w:rPr>
              <w:t xml:space="preserve">(Cuantitativo)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wp:posOffset>
                      </wp:positionH>
                      <wp:positionV relativeFrom="paragraph">
                        <wp:posOffset>132839</wp:posOffset>
                      </wp:positionV>
                      <wp:extent cx="1425575" cy="13970"/>
                      <wp:effectExtent b="0" l="0" r="0" t="0"/>
                      <wp:wrapNone/>
                      <wp:docPr id="2134979263" name=""/>
                      <a:graphic>
                        <a:graphicData uri="http://schemas.microsoft.com/office/word/2010/wordprocessingGroup">
                          <wpg:wgp>
                            <wpg:cNvGrpSpPr/>
                            <wpg:grpSpPr>
                              <a:xfrm>
                                <a:off x="4633200" y="3773000"/>
                                <a:ext cx="1425575" cy="13970"/>
                                <a:chOff x="4633200" y="3773000"/>
                                <a:chExt cx="1425600" cy="14000"/>
                              </a:xfrm>
                            </wpg:grpSpPr>
                            <wpg:grpSp>
                              <wpg:cNvGrpSpPr/>
                              <wpg:grpSpPr>
                                <a:xfrm>
                                  <a:off x="4633213" y="3773015"/>
                                  <a:ext cx="1425575" cy="13980"/>
                                  <a:chOff x="4633200" y="3773000"/>
                                  <a:chExt cx="1425600" cy="13985"/>
                                </a:xfrm>
                              </wpg:grpSpPr>
                              <wps:wsp>
                                <wps:cNvSpPr/>
                                <wps:cNvPr id="3" name="Shape 3"/>
                                <wps:spPr>
                                  <a:xfrm>
                                    <a:off x="4633200" y="3773000"/>
                                    <a:ext cx="1425600" cy="1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33213" y="3773015"/>
                                    <a:ext cx="1425575" cy="13970"/>
                                    <a:chOff x="0" y="0"/>
                                    <a:chExt cx="1425575" cy="13970"/>
                                  </a:xfrm>
                                </wpg:grpSpPr>
                                <wps:wsp>
                                  <wps:cNvSpPr/>
                                  <wps:cNvPr id="5" name="Shape 5"/>
                                  <wps:spPr>
                                    <a:xfrm>
                                      <a:off x="0" y="0"/>
                                      <a:ext cx="1425575" cy="1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425575" cy="13970"/>
                                    </a:xfrm>
                                    <a:custGeom>
                                      <a:rect b="b" l="l" r="r" t="t"/>
                                      <a:pathLst>
                                        <a:path extrusionOk="0" h="13970" w="1425575">
                                          <a:moveTo>
                                            <a:pt x="1425194" y="0"/>
                                          </a:moveTo>
                                          <a:lnTo>
                                            <a:pt x="0" y="0"/>
                                          </a:lnTo>
                                          <a:lnTo>
                                            <a:pt x="0" y="13715"/>
                                          </a:lnTo>
                                          <a:lnTo>
                                            <a:pt x="1425194" y="13715"/>
                                          </a:lnTo>
                                          <a:lnTo>
                                            <a:pt x="1425194"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68580</wp:posOffset>
                      </wp:positionH>
                      <wp:positionV relativeFrom="paragraph">
                        <wp:posOffset>132839</wp:posOffset>
                      </wp:positionV>
                      <wp:extent cx="1425575" cy="13970"/>
                      <wp:effectExtent b="0" l="0" r="0" t="0"/>
                      <wp:wrapNone/>
                      <wp:docPr id="2134979263" name="image1.png"/>
                      <a:graphic>
                        <a:graphicData uri="http://schemas.openxmlformats.org/drawingml/2006/picture">
                          <pic:pic>
                            <pic:nvPicPr>
                              <pic:cNvPr id="0" name="image1.png"/>
                              <pic:cNvPicPr preferRelativeResize="0"/>
                            </pic:nvPicPr>
                            <pic:blipFill>
                              <a:blip r:embed="rId38"/>
                              <a:srcRect/>
                              <a:stretch>
                                <a:fillRect/>
                              </a:stretch>
                            </pic:blipFill>
                            <pic:spPr>
                              <a:xfrm>
                                <a:off x="0" y="0"/>
                                <a:ext cx="1425575" cy="13970"/>
                              </a:xfrm>
                              <a:prstGeom prst="rect"/>
                              <a:ln/>
                            </pic:spPr>
                          </pic:pic>
                        </a:graphicData>
                      </a:graphic>
                    </wp:anchor>
                  </w:drawing>
                </mc:Fallback>
              </mc:AlternateContent>
            </w:r>
          </w:p>
          <w:p w:rsidR="00000000" w:rsidDel="00000000" w:rsidP="00000000" w:rsidRDefault="00000000" w:rsidRPr="00000000" w14:paraId="0000005E">
            <w:pPr>
              <w:widowControl w:val="0"/>
              <w:spacing w:after="0" w:line="240" w:lineRule="auto"/>
              <w:ind w:left="107"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5F">
            <w:pPr>
              <w:widowControl w:val="0"/>
              <w:spacing w:after="0" w:line="229" w:lineRule="auto"/>
              <w:ind w:left="10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Dimensiones</w:t>
            </w:r>
            <w:r w:rsidDel="00000000" w:rsidR="00000000" w:rsidRPr="00000000">
              <w:rPr>
                <w:rtl w:val="0"/>
              </w:rPr>
            </w:r>
          </w:p>
          <w:p w:rsidR="00000000" w:rsidDel="00000000" w:rsidP="00000000" w:rsidRDefault="00000000" w:rsidRPr="00000000" w14:paraId="00000060">
            <w:pPr>
              <w:widowControl w:val="0"/>
              <w:spacing w:after="0" w:line="240" w:lineRule="auto"/>
              <w:ind w:right="142"/>
              <w:rPr>
                <w:rFonts w:ascii="Arial" w:cs="Arial" w:eastAsia="Arial" w:hAnsi="Arial"/>
                <w:sz w:val="18"/>
                <w:szCs w:val="18"/>
              </w:rPr>
            </w:pPr>
            <w:r w:rsidDel="00000000" w:rsidR="00000000" w:rsidRPr="00000000">
              <w:rPr>
                <w:rFonts w:ascii="Arial" w:cs="Arial" w:eastAsia="Arial" w:hAnsi="Arial"/>
                <w:sz w:val="18"/>
                <w:szCs w:val="18"/>
                <w:rtl w:val="0"/>
              </w:rPr>
              <w:t xml:space="preserve">- Rendimiento Promedio (TPS)</w:t>
              <w:br w:type="textWrapping"/>
              <w:t xml:space="preserve">- Latencia</w:t>
              <w:br w:type="textWrapping"/>
              <w:t xml:space="preserve">- Capacidad de almacenamiento</w:t>
              <w:br w:type="textWrapping"/>
            </w:r>
          </w:p>
        </w:tc>
        <w:tc>
          <w:tcPr>
            <w:vMerge w:val="restart"/>
          </w:tcPr>
          <w:p w:rsidR="00000000" w:rsidDel="00000000" w:rsidP="00000000" w:rsidRDefault="00000000" w:rsidRPr="00000000" w14:paraId="00000061">
            <w:pPr>
              <w:widowControl w:val="0"/>
              <w:spacing w:after="0" w:line="240" w:lineRule="auto"/>
              <w:ind w:left="107" w:right="292"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Enfoque:</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Cuantitativo </w:t>
              <w:br w:type="textWrapping"/>
            </w:r>
            <w:r w:rsidDel="00000000" w:rsidR="00000000" w:rsidRPr="00000000">
              <w:rPr>
                <w:rFonts w:ascii="Arial" w:cs="Arial" w:eastAsia="Arial" w:hAnsi="Arial"/>
                <w:b w:val="1"/>
                <w:bCs w:val="1"/>
                <w:sz w:val="18"/>
                <w:szCs w:val="18"/>
                <w:u w:val="single"/>
                <w:rtl w:val="0"/>
              </w:rPr>
              <w:t xml:space="preserve">Tipo de</w:t>
            </w:r>
            <w:r w:rsidDel="00000000" w:rsidR="00000000" w:rsidRPr="00000000">
              <w:rPr>
                <w:rtl w:val="0"/>
              </w:rPr>
            </w:r>
          </w:p>
          <w:p w:rsidR="00000000" w:rsidDel="00000000" w:rsidP="00000000" w:rsidRDefault="00000000" w:rsidRPr="00000000" w14:paraId="00000062">
            <w:pPr>
              <w:widowControl w:val="0"/>
              <w:spacing w:after="0" w:line="229" w:lineRule="auto"/>
              <w:ind w:left="10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Investigación:</w:t>
            </w:r>
            <w:r w:rsidDel="00000000" w:rsidR="00000000" w:rsidRPr="00000000">
              <w:rPr>
                <w:rtl w:val="0"/>
              </w:rPr>
            </w:r>
          </w:p>
          <w:p w:rsidR="00000000" w:rsidDel="00000000" w:rsidP="00000000" w:rsidRDefault="00000000" w:rsidRPr="00000000" w14:paraId="00000063">
            <w:pPr>
              <w:widowControl w:val="0"/>
              <w:spacing w:after="0" w:line="240" w:lineRule="auto"/>
              <w:ind w:left="10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Aplicada</w:t>
            </w:r>
          </w:p>
          <w:p w:rsidR="00000000" w:rsidDel="00000000" w:rsidP="00000000" w:rsidRDefault="00000000" w:rsidRPr="00000000" w14:paraId="00000064">
            <w:pPr>
              <w:widowControl w:val="0"/>
              <w:spacing w:after="0" w:line="240" w:lineRule="auto"/>
              <w:ind w:left="10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Nivel de</w:t>
            </w:r>
            <w:r w:rsidDel="00000000" w:rsidR="00000000" w:rsidRPr="00000000">
              <w:rPr>
                <w:rtl w:val="0"/>
              </w:rPr>
            </w:r>
          </w:p>
          <w:p w:rsidR="00000000" w:rsidDel="00000000" w:rsidP="00000000" w:rsidRDefault="00000000" w:rsidRPr="00000000" w14:paraId="00000065">
            <w:pPr>
              <w:widowControl w:val="0"/>
              <w:spacing w:after="0" w:line="229" w:lineRule="auto"/>
              <w:ind w:left="10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Investigación:</w:t>
            </w:r>
            <w:r w:rsidDel="00000000" w:rsidR="00000000" w:rsidRPr="00000000">
              <w:rPr>
                <w:rtl w:val="0"/>
              </w:rPr>
            </w:r>
          </w:p>
          <w:p w:rsidR="00000000" w:rsidDel="00000000" w:rsidP="00000000" w:rsidRDefault="00000000" w:rsidRPr="00000000" w14:paraId="00000066">
            <w:pPr>
              <w:widowControl w:val="0"/>
              <w:spacing w:after="0" w:line="229" w:lineRule="auto"/>
              <w:ind w:left="10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Correlacional</w:t>
            </w:r>
          </w:p>
          <w:p w:rsidR="00000000" w:rsidDel="00000000" w:rsidP="00000000" w:rsidRDefault="00000000" w:rsidRPr="00000000" w14:paraId="00000067">
            <w:pPr>
              <w:widowControl w:val="0"/>
              <w:spacing w:after="0" w:line="229" w:lineRule="auto"/>
              <w:ind w:left="107" w:firstLine="0"/>
              <w:rPr>
                <w:rFonts w:ascii="Arial" w:cs="Arial" w:eastAsia="Arial" w:hAnsi="Arial"/>
                <w:b w:val="1"/>
                <w:bCs w:val="1"/>
                <w:sz w:val="18"/>
                <w:szCs w:val="18"/>
                <w:u w:val="single"/>
              </w:rPr>
            </w:pPr>
            <w:r w:rsidDel="00000000" w:rsidR="00000000" w:rsidRPr="00000000">
              <w:rPr>
                <w:rFonts w:ascii="Arial" w:cs="Arial" w:eastAsia="Arial" w:hAnsi="Arial"/>
                <w:b w:val="1"/>
                <w:bCs w:val="1"/>
                <w:sz w:val="18"/>
                <w:szCs w:val="18"/>
                <w:u w:val="single"/>
                <w:rtl w:val="0"/>
              </w:rPr>
              <w:t xml:space="preserve">Diseño:</w:t>
            </w:r>
          </w:p>
          <w:p w:rsidR="00000000" w:rsidDel="00000000" w:rsidP="00000000" w:rsidRDefault="00000000" w:rsidRPr="00000000" w14:paraId="00000068">
            <w:pPr>
              <w:widowControl w:val="0"/>
              <w:spacing w:after="0" w:line="229" w:lineRule="auto"/>
              <w:ind w:left="10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Experimental, Transversal</w:t>
            </w:r>
          </w:p>
        </w:tc>
      </w:tr>
      <w:tr>
        <w:trPr>
          <w:cantSplit w:val="0"/>
          <w:trHeight w:val="736.1634521484373" w:hRule="atLeast"/>
          <w:tblHeader w:val="0"/>
        </w:trPr>
        <w:tc>
          <w:tcPr>
            <w:shd w:fill="e8e8e8" w:val="clear"/>
          </w:tcPr>
          <w:p w:rsidR="00000000" w:rsidDel="00000000" w:rsidP="00000000" w:rsidRDefault="00000000" w:rsidRPr="00000000" w14:paraId="00000069">
            <w:pPr>
              <w:widowControl w:val="0"/>
              <w:spacing w:after="0" w:before="179" w:line="240" w:lineRule="auto"/>
              <w:ind w:left="283.46456692913387" w:right="299" w:hanging="134.99999999999997"/>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OBJETO DE ESTUDIO</w:t>
            </w:r>
          </w:p>
        </w:tc>
        <w:tc>
          <w:tcPr>
            <w:vMerge w:val="continue"/>
            <w:tcBorders>
              <w:bottom w:color="000000" w:space="0" w:sz="0" w:val="nil"/>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r>
      <w:tr>
        <w:trPr>
          <w:cantSplit w:val="0"/>
          <w:trHeight w:val="345" w:hRule="atLeast"/>
          <w:tblHeader w:val="0"/>
        </w:trPr>
        <w:tc>
          <w:tcPr>
            <w:vMerge w:val="restart"/>
            <w:tcBorders>
              <w:bottom w:color="000000" w:space="0" w:sz="0" w:val="nil"/>
            </w:tcBorders>
          </w:tcPr>
          <w:p w:rsidR="00000000" w:rsidDel="00000000" w:rsidP="00000000" w:rsidRDefault="00000000" w:rsidRPr="00000000" w14:paraId="00000070">
            <w:pPr>
              <w:widowControl w:val="0"/>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71">
            <w:pPr>
              <w:rPr>
                <w:sz w:val="20"/>
                <w:szCs w:val="20"/>
                <w:highlight w:val="green"/>
              </w:rPr>
            </w:pPr>
            <w:r w:rsidDel="00000000" w:rsidR="00000000" w:rsidRPr="00000000">
              <w:rPr>
                <w:rtl w:val="0"/>
              </w:rPr>
            </w:r>
          </w:p>
          <w:p w:rsidR="00000000" w:rsidDel="00000000" w:rsidP="00000000" w:rsidRDefault="00000000" w:rsidRPr="00000000" w14:paraId="00000072">
            <w:pPr>
              <w:widowControl w:val="0"/>
              <w:spacing w:after="0" w:line="240" w:lineRule="auto"/>
              <w:ind w:left="107" w:right="96" w:firstLine="0"/>
              <w:rPr>
                <w:rFonts w:ascii="Arial" w:cs="Arial" w:eastAsia="Arial" w:hAnsi="Arial"/>
                <w:sz w:val="18"/>
                <w:szCs w:val="18"/>
              </w:rPr>
            </w:pPr>
            <w:r w:rsidDel="00000000" w:rsidR="00000000" w:rsidRPr="00000000">
              <w:rPr>
                <w:highlight w:val="green"/>
                <w:rtl w:val="0"/>
              </w:rPr>
              <w:t xml:space="preserve">cadena de suministro </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074">
            <w:pPr>
              <w:widowControl w:val="0"/>
              <w:spacing w:after="0" w:line="229" w:lineRule="auto"/>
              <w:ind w:left="10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Problemas específicos:</w:t>
            </w:r>
            <w:r w:rsidDel="00000000" w:rsidR="00000000" w:rsidRPr="00000000">
              <w:rPr>
                <w:rtl w:val="0"/>
              </w:rPr>
            </w:r>
          </w:p>
        </w:tc>
        <w:tc>
          <w:tcPr>
            <w:tcBorders>
              <w:bottom w:color="000000" w:space="0" w:sz="0" w:val="nil"/>
            </w:tcBorders>
          </w:tcPr>
          <w:p w:rsidR="00000000" w:rsidDel="00000000" w:rsidP="00000000" w:rsidRDefault="00000000" w:rsidRPr="00000000" w14:paraId="00000075">
            <w:pPr>
              <w:widowControl w:val="0"/>
              <w:spacing w:after="0" w:line="229" w:lineRule="auto"/>
              <w:ind w:left="10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Hipótesis específicas:</w:t>
            </w:r>
            <w:r w:rsidDel="00000000" w:rsidR="00000000" w:rsidRPr="00000000">
              <w:rPr>
                <w:rtl w:val="0"/>
              </w:rPr>
            </w:r>
          </w:p>
        </w:tc>
        <w:tc>
          <w:tcPr>
            <w:tcBorders>
              <w:bottom w:color="000000" w:space="0" w:sz="0" w:val="nil"/>
            </w:tcBorders>
          </w:tcPr>
          <w:p w:rsidR="00000000" w:rsidDel="00000000" w:rsidP="00000000" w:rsidRDefault="00000000" w:rsidRPr="00000000" w14:paraId="00000076">
            <w:pPr>
              <w:widowControl w:val="0"/>
              <w:spacing w:after="0" w:line="229" w:lineRule="auto"/>
              <w:ind w:left="10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Objetivos específicos:</w:t>
            </w:r>
            <w:r w:rsidDel="00000000" w:rsidR="00000000" w:rsidRPr="00000000">
              <w:rPr>
                <w:rtl w:val="0"/>
              </w:rPr>
            </w:r>
          </w:p>
        </w:tc>
        <w:tc>
          <w:tcPr>
            <w:tcBorders>
              <w:bottom w:color="000000" w:space="0" w:sz="0" w:val="nil"/>
            </w:tcBorders>
          </w:tcPr>
          <w:p w:rsidR="00000000" w:rsidDel="00000000" w:rsidP="00000000" w:rsidRDefault="00000000" w:rsidRPr="00000000" w14:paraId="00000077">
            <w:pPr>
              <w:widowControl w:val="0"/>
              <w:spacing w:after="0" w:line="229" w:lineRule="auto"/>
              <w:ind w:left="107"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Variable dependiente:</w:t>
            </w:r>
            <w:r w:rsidDel="00000000" w:rsidR="00000000" w:rsidRPr="00000000">
              <w:rPr>
                <w:rtl w:val="0"/>
              </w:rPr>
            </w:r>
          </w:p>
        </w:tc>
        <w:tc>
          <w:tcPr>
            <w:vMerge w:val="restart"/>
          </w:tcPr>
          <w:p w:rsidR="00000000" w:rsidDel="00000000" w:rsidP="00000000" w:rsidRDefault="00000000" w:rsidRPr="00000000" w14:paraId="00000078">
            <w:pPr>
              <w:widowControl w:val="0"/>
              <w:spacing w:after="0" w:line="240" w:lineRule="auto"/>
              <w:rPr>
                <w:rFonts w:ascii="Arial" w:cs="Arial" w:eastAsia="Arial" w:hAnsi="Arial"/>
                <w:sz w:val="18"/>
                <w:szCs w:val="18"/>
              </w:rPr>
            </w:pPr>
            <w:r w:rsidDel="00000000" w:rsidR="00000000" w:rsidRPr="00000000">
              <w:rPr>
                <w:rFonts w:ascii="Arial" w:cs="Arial" w:eastAsia="Arial" w:hAnsi="Arial"/>
                <w:b w:val="1"/>
                <w:bCs w:val="1"/>
                <w:sz w:val="18"/>
                <w:szCs w:val="18"/>
                <w:u w:val="single"/>
                <w:rtl w:val="0"/>
              </w:rPr>
              <w:t xml:space="preserve">Población:</w:t>
            </w:r>
            <w:r w:rsidDel="00000000" w:rsidR="00000000" w:rsidRPr="00000000">
              <w:rPr>
                <w:rtl w:val="0"/>
              </w:rPr>
            </w:r>
          </w:p>
          <w:p w:rsidR="00000000" w:rsidDel="00000000" w:rsidP="00000000" w:rsidRDefault="00000000" w:rsidRPr="00000000" w14:paraId="00000079">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Población Finita,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b w:val="1"/>
                <w:bCs w:val="1"/>
                <w:sz w:val="18"/>
                <w:szCs w:val="18"/>
                <w:u w:val="single"/>
                <w:rtl w:val="0"/>
              </w:rPr>
              <w:t xml:space="preserve">Muestra</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7A">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Muestreo por conveniencia</w:t>
            </w:r>
          </w:p>
          <w:p w:rsidR="00000000" w:rsidDel="00000000" w:rsidP="00000000" w:rsidRDefault="00000000" w:rsidRPr="00000000" w14:paraId="0000007B">
            <w:pPr>
              <w:widowControl w:val="0"/>
              <w:spacing w:after="0" w:line="240" w:lineRule="auto"/>
              <w:rPr>
                <w:rFonts w:ascii="Arial" w:cs="Arial" w:eastAsia="Arial" w:hAnsi="Arial"/>
                <w:sz w:val="18"/>
                <w:szCs w:val="18"/>
              </w:rPr>
            </w:pPr>
            <w:r w:rsidDel="00000000" w:rsidR="00000000" w:rsidRPr="00000000">
              <w:rPr>
                <w:rFonts w:ascii="Arial" w:cs="Arial" w:eastAsia="Arial" w:hAnsi="Arial"/>
                <w:b w:val="1"/>
                <w:bCs w:val="1"/>
                <w:sz w:val="18"/>
                <w:szCs w:val="18"/>
                <w:u w:val="single"/>
                <w:rtl w:val="0"/>
              </w:rPr>
              <w:t xml:space="preserve">Técnicas y Herramientas de Recolección de Datos:</w:t>
            </w:r>
            <w:r w:rsidDel="00000000" w:rsidR="00000000" w:rsidRPr="00000000">
              <w:rPr>
                <w:rtl w:val="0"/>
              </w:rPr>
            </w:r>
          </w:p>
          <w:p w:rsidR="00000000" w:rsidDel="00000000" w:rsidP="00000000" w:rsidRDefault="00000000" w:rsidRPr="00000000" w14:paraId="0000007C">
            <w:pPr>
              <w:widowControl w:val="0"/>
              <w:spacing w:after="0" w:lin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Técnicas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7D">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Fuente Primaria,</w:t>
              <w:br w:type="textWrapping"/>
              <w:t xml:space="preserve">Observación Estructurada</w:t>
              <w:br w:type="textWrapping"/>
            </w:r>
            <w:r w:rsidDel="00000000" w:rsidR="00000000" w:rsidRPr="00000000">
              <w:rPr>
                <w:rFonts w:ascii="Arial" w:cs="Arial" w:eastAsia="Arial" w:hAnsi="Arial"/>
                <w:b w:val="1"/>
                <w:bCs w:val="1"/>
                <w:sz w:val="18"/>
                <w:szCs w:val="18"/>
                <w:rtl w:val="0"/>
              </w:rPr>
              <w:t xml:space="preserve">Herramientas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7E">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Ficha Observación</w:t>
              <w:br w:type="textWrapping"/>
              <w:t xml:space="preserve">- Registro de Observación</w:t>
            </w:r>
          </w:p>
          <w:p w:rsidR="00000000" w:rsidDel="00000000" w:rsidP="00000000" w:rsidRDefault="00000000" w:rsidRPr="00000000" w14:paraId="0000007F">
            <w:pPr>
              <w:widowControl w:val="0"/>
              <w:spacing w:after="0" w:line="240" w:lineRule="auto"/>
              <w:rPr>
                <w:rFonts w:ascii="Arial" w:cs="Arial" w:eastAsia="Arial" w:hAnsi="Arial"/>
                <w:sz w:val="18"/>
                <w:szCs w:val="18"/>
              </w:rPr>
            </w:pPr>
            <w:r w:rsidDel="00000000" w:rsidR="00000000" w:rsidRPr="00000000">
              <w:rPr>
                <w:rFonts w:ascii="Arial" w:cs="Arial" w:eastAsia="Arial" w:hAnsi="Arial"/>
                <w:b w:val="1"/>
                <w:bCs w:val="1"/>
                <w:sz w:val="18"/>
                <w:szCs w:val="18"/>
                <w:u w:val="single"/>
                <w:rtl w:val="0"/>
              </w:rPr>
              <w:t xml:space="preserve">Técnicas de Análisis y Procesamiento de Datos: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0">
            <w:pPr>
              <w:widowControl w:val="0"/>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Análisis:</w:t>
              <w:br w:type="textWrapping"/>
            </w:r>
            <w:r w:rsidDel="00000000" w:rsidR="00000000" w:rsidRPr="00000000">
              <w:rPr>
                <w:rFonts w:ascii="Arial" w:cs="Arial" w:eastAsia="Arial" w:hAnsi="Arial"/>
                <w:sz w:val="18"/>
                <w:szCs w:val="18"/>
                <w:rtl w:val="0"/>
              </w:rPr>
              <w:t xml:space="preserve">- Estadística descriptiva</w:t>
            </w:r>
            <w:r w:rsidDel="00000000" w:rsidR="00000000" w:rsidRPr="00000000">
              <w:rPr>
                <w:rFonts w:ascii="Arial" w:cs="Arial" w:eastAsia="Arial" w:hAnsi="Arial"/>
                <w:b w:val="1"/>
                <w:bCs w:val="1"/>
                <w:sz w:val="18"/>
                <w:szCs w:val="18"/>
                <w:rtl w:val="0"/>
              </w:rPr>
              <w:br w:type="textWrapping"/>
              <w:t xml:space="preserve">Procesamiento:</w:t>
            </w:r>
          </w:p>
          <w:p w:rsidR="00000000" w:rsidDel="00000000" w:rsidP="00000000" w:rsidRDefault="00000000" w:rsidRPr="00000000" w14:paraId="00000081">
            <w:pPr>
              <w:widowControl w:val="0"/>
              <w:spacing w:after="0" w:line="240"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Excel, SPSS, R</w:t>
            </w:r>
            <w:r w:rsidDel="00000000" w:rsidR="00000000" w:rsidRPr="00000000">
              <w:rPr>
                <w:rtl w:val="0"/>
              </w:rPr>
            </w:r>
          </w:p>
        </w:tc>
      </w:tr>
      <w:tr>
        <w:trPr>
          <w:cantSplit w:val="0"/>
          <w:trHeight w:val="4926.406250000002"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084">
            <w:pPr>
              <w:widowControl w:val="0"/>
              <w:tabs>
                <w:tab w:val="left" w:leader="none" w:pos="416"/>
              </w:tabs>
              <w:spacing w:after="0" w:line="276" w:lineRule="auto"/>
              <w:ind w:left="136" w:right="10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¿Cómo influye el rendimiento promedio (TPS) de una </w:t>
            </w:r>
            <w:r w:rsidDel="00000000" w:rsidR="00000000" w:rsidRPr="00000000">
              <w:rPr>
                <w:rFonts w:ascii="Arial" w:cs="Arial" w:eastAsia="Arial" w:hAnsi="Arial"/>
                <w:sz w:val="18"/>
                <w:szCs w:val="18"/>
                <w:shd w:fill="cccccc" w:val="clear"/>
                <w:rtl w:val="0"/>
              </w:rPr>
              <w:t xml:space="preserve">arquitectura de blockchain</w:t>
            </w:r>
            <w:r w:rsidDel="00000000" w:rsidR="00000000" w:rsidRPr="00000000">
              <w:rPr>
                <w:rFonts w:ascii="Arial" w:cs="Arial" w:eastAsia="Arial" w:hAnsi="Arial"/>
                <w:sz w:val="18"/>
                <w:szCs w:val="18"/>
                <w:rtl w:val="0"/>
              </w:rPr>
              <w:t xml:space="preserve"> en la </w:t>
            </w:r>
            <w:r w:rsidDel="00000000" w:rsidR="00000000" w:rsidRPr="00000000">
              <w:rPr>
                <w:rFonts w:ascii="Arial" w:cs="Arial" w:eastAsia="Arial" w:hAnsi="Arial"/>
                <w:color w:val="1155cc"/>
                <w:sz w:val="18"/>
                <w:szCs w:val="18"/>
                <w:rtl w:val="0"/>
              </w:rPr>
              <w:t xml:space="preserve">profundidad de la trazabilidad</w:t>
            </w:r>
            <w:r w:rsidDel="00000000" w:rsidR="00000000" w:rsidRPr="00000000">
              <w:rPr>
                <w:rFonts w:ascii="Arial" w:cs="Arial" w:eastAsia="Arial" w:hAnsi="Arial"/>
                <w:sz w:val="18"/>
                <w:szCs w:val="18"/>
                <w:rtl w:val="0"/>
              </w:rPr>
              <w:t xml:space="preserve"> de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5">
            <w:pPr>
              <w:widowControl w:val="0"/>
              <w:tabs>
                <w:tab w:val="left" w:leader="none" w:pos="416"/>
              </w:tabs>
              <w:spacing w:after="0" w:line="276" w:lineRule="auto"/>
              <w:ind w:left="136" w:right="10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¿Qué relación existe entre la latencia de la </w:t>
            </w:r>
            <w:r w:rsidDel="00000000" w:rsidR="00000000" w:rsidRPr="00000000">
              <w:rPr>
                <w:rFonts w:ascii="Arial" w:cs="Arial" w:eastAsia="Arial" w:hAnsi="Arial"/>
                <w:sz w:val="18"/>
                <w:szCs w:val="18"/>
                <w:shd w:fill="cccccc" w:val="clear"/>
                <w:rtl w:val="0"/>
              </w:rPr>
              <w:t xml:space="preserve">arquitectura de blockchain</w:t>
            </w:r>
            <w:r w:rsidDel="00000000" w:rsidR="00000000" w:rsidRPr="00000000">
              <w:rPr>
                <w:rFonts w:ascii="Arial" w:cs="Arial" w:eastAsia="Arial" w:hAnsi="Arial"/>
                <w:sz w:val="18"/>
                <w:szCs w:val="18"/>
                <w:rtl w:val="0"/>
              </w:rPr>
              <w:t xml:space="preserve"> y el </w:t>
            </w:r>
            <w:r w:rsidDel="00000000" w:rsidR="00000000" w:rsidRPr="00000000">
              <w:rPr>
                <w:rFonts w:ascii="Arial" w:cs="Arial" w:eastAsia="Arial" w:hAnsi="Arial"/>
                <w:color w:val="990000"/>
                <w:sz w:val="18"/>
                <w:szCs w:val="18"/>
                <w:rtl w:val="0"/>
              </w:rPr>
              <w:t xml:space="preserve">volumen de datos generados por unidad de tiempo </w:t>
            </w:r>
            <w:r w:rsidDel="00000000" w:rsidR="00000000" w:rsidRPr="00000000">
              <w:rPr>
                <w:rFonts w:ascii="Arial" w:cs="Arial" w:eastAsia="Arial" w:hAnsi="Arial"/>
                <w:sz w:val="18"/>
                <w:szCs w:val="18"/>
                <w:rtl w:val="0"/>
              </w:rPr>
              <w:t xml:space="preserve">en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de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6">
            <w:pPr>
              <w:widowControl w:val="0"/>
              <w:tabs>
                <w:tab w:val="left" w:leader="none" w:pos="416"/>
              </w:tabs>
              <w:spacing w:after="0" w:line="276" w:lineRule="auto"/>
              <w:ind w:left="136" w:right="10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¿Cómo influye la capacidad de almacenamiento de la </w:t>
            </w:r>
            <w:r w:rsidDel="00000000" w:rsidR="00000000" w:rsidRPr="00000000">
              <w:rPr>
                <w:rFonts w:ascii="Arial" w:cs="Arial" w:eastAsia="Arial" w:hAnsi="Arial"/>
                <w:sz w:val="18"/>
                <w:szCs w:val="18"/>
                <w:shd w:fill="cccccc" w:val="clear"/>
                <w:rtl w:val="0"/>
              </w:rPr>
              <w:t xml:space="preserve">arquitectura blockchain</w:t>
            </w:r>
            <w:r w:rsidDel="00000000" w:rsidR="00000000" w:rsidRPr="00000000">
              <w:rPr>
                <w:rFonts w:ascii="Arial" w:cs="Arial" w:eastAsia="Arial" w:hAnsi="Arial"/>
                <w:sz w:val="18"/>
                <w:szCs w:val="18"/>
                <w:rtl w:val="0"/>
              </w:rPr>
              <w:t xml:space="preserve"> en la </w:t>
            </w:r>
            <w:r w:rsidDel="00000000" w:rsidR="00000000" w:rsidRPr="00000000">
              <w:rPr>
                <w:rFonts w:ascii="Arial" w:cs="Arial" w:eastAsia="Arial" w:hAnsi="Arial"/>
                <w:color w:val="38761d"/>
                <w:sz w:val="18"/>
                <w:szCs w:val="18"/>
                <w:rtl w:val="0"/>
              </w:rPr>
              <w:t xml:space="preserve">amplitud de la información trazada</w:t>
            </w:r>
            <w:r w:rsidDel="00000000" w:rsidR="00000000" w:rsidRPr="00000000">
              <w:rPr>
                <w:rFonts w:ascii="Arial" w:cs="Arial" w:eastAsia="Arial" w:hAnsi="Arial"/>
                <w:sz w:val="18"/>
                <w:szCs w:val="18"/>
                <w:rtl w:val="0"/>
              </w:rPr>
              <w:t xml:space="preserve"> por etapa en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de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tc>
        <w:tc>
          <w:tcPr>
            <w:tcBorders>
              <w:top w:color="000000" w:space="0" w:sz="0" w:val="nil"/>
            </w:tcBorders>
          </w:tcPr>
          <w:p w:rsidR="00000000" w:rsidDel="00000000" w:rsidP="00000000" w:rsidRDefault="00000000" w:rsidRPr="00000000" w14:paraId="00000087">
            <w:pPr>
              <w:jc w:val="both"/>
              <w:rPr>
                <w:rFonts w:ascii="Arial" w:cs="Arial" w:eastAsia="Arial" w:hAnsi="Arial"/>
                <w:color w:val="1155cc"/>
                <w:sz w:val="18"/>
                <w:szCs w:val="18"/>
              </w:rPr>
            </w:pPr>
            <w:r w:rsidDel="00000000" w:rsidR="00000000" w:rsidRPr="00000000">
              <w:rPr>
                <w:rFonts w:ascii="Arial" w:cs="Arial" w:eastAsia="Arial" w:hAnsi="Arial"/>
                <w:sz w:val="18"/>
                <w:szCs w:val="18"/>
                <w:rtl w:val="0"/>
              </w:rPr>
              <w:t xml:space="preserve">H.E. 1: La mejora en el rendimiento promedio (TPS) de la </w:t>
            </w:r>
            <w:r w:rsidDel="00000000" w:rsidR="00000000" w:rsidRPr="00000000">
              <w:rPr>
                <w:rFonts w:ascii="Arial" w:cs="Arial" w:eastAsia="Arial" w:hAnsi="Arial"/>
                <w:sz w:val="18"/>
                <w:szCs w:val="18"/>
                <w:shd w:fill="cccccc" w:val="clear"/>
                <w:rtl w:val="0"/>
              </w:rPr>
              <w:t xml:space="preserve">arquitectura blockchain</w:t>
            </w:r>
            <w:r w:rsidDel="00000000" w:rsidR="00000000" w:rsidRPr="00000000">
              <w:rPr>
                <w:rFonts w:ascii="Arial" w:cs="Arial" w:eastAsia="Arial" w:hAnsi="Arial"/>
                <w:sz w:val="18"/>
                <w:szCs w:val="18"/>
                <w:rtl w:val="0"/>
              </w:rPr>
              <w:t xml:space="preserve"> influye positivamente en la </w:t>
            </w:r>
            <w:r w:rsidDel="00000000" w:rsidR="00000000" w:rsidRPr="00000000">
              <w:rPr>
                <w:rFonts w:ascii="Arial" w:cs="Arial" w:eastAsia="Arial" w:hAnsi="Arial"/>
                <w:color w:val="1155cc"/>
                <w:sz w:val="18"/>
                <w:szCs w:val="18"/>
                <w:rtl w:val="0"/>
              </w:rPr>
              <w:t xml:space="preserve">profundidad de la trazabilidad de</w:t>
            </w:r>
            <w:r w:rsidDel="00000000" w:rsidR="00000000" w:rsidRPr="00000000">
              <w:rPr>
                <w:rFonts w:ascii="Arial" w:cs="Arial" w:eastAsia="Arial" w:hAnsi="Arial"/>
                <w:sz w:val="18"/>
                <w:szCs w:val="18"/>
                <w:rtl w:val="0"/>
              </w:rPr>
              <w:t xml:space="preserv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color w:val="1155cc"/>
                <w:sz w:val="18"/>
                <w:szCs w:val="18"/>
                <w:rtl w:val="0"/>
              </w:rPr>
              <w:t xml:space="preserve">.</w:t>
            </w:r>
          </w:p>
          <w:p w:rsidR="00000000" w:rsidDel="00000000" w:rsidP="00000000" w:rsidRDefault="00000000" w:rsidRPr="00000000" w14:paraId="0000008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 2: Una menor latencia en la </w:t>
            </w:r>
            <w:r w:rsidDel="00000000" w:rsidR="00000000" w:rsidRPr="00000000">
              <w:rPr>
                <w:rFonts w:ascii="Arial" w:cs="Arial" w:eastAsia="Arial" w:hAnsi="Arial"/>
                <w:sz w:val="18"/>
                <w:szCs w:val="18"/>
                <w:shd w:fill="cccccc" w:val="clear"/>
                <w:rtl w:val="0"/>
              </w:rPr>
              <w:t xml:space="preserve">arquitectura blockchain</w:t>
            </w:r>
            <w:r w:rsidDel="00000000" w:rsidR="00000000" w:rsidRPr="00000000">
              <w:rPr>
                <w:rFonts w:ascii="Arial" w:cs="Arial" w:eastAsia="Arial" w:hAnsi="Arial"/>
                <w:sz w:val="18"/>
                <w:szCs w:val="18"/>
                <w:rtl w:val="0"/>
              </w:rPr>
              <w:t xml:space="preserve"> se asocia con un mayor </w:t>
            </w:r>
            <w:r w:rsidDel="00000000" w:rsidR="00000000" w:rsidRPr="00000000">
              <w:rPr>
                <w:rFonts w:ascii="Arial" w:cs="Arial" w:eastAsia="Arial" w:hAnsi="Arial"/>
                <w:color w:val="990000"/>
                <w:sz w:val="18"/>
                <w:szCs w:val="18"/>
                <w:rtl w:val="0"/>
              </w:rPr>
              <w:t xml:space="preserve">volumen de datos generados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990000"/>
                <w:sz w:val="18"/>
                <w:szCs w:val="18"/>
                <w:rtl w:val="0"/>
              </w:rPr>
              <w:t xml:space="preserve">por unidad de tiempo</w:t>
            </w:r>
            <w:r w:rsidDel="00000000" w:rsidR="00000000" w:rsidRPr="00000000">
              <w:rPr>
                <w:rFonts w:ascii="Arial" w:cs="Arial" w:eastAsia="Arial" w:hAnsi="Arial"/>
                <w:sz w:val="18"/>
                <w:szCs w:val="18"/>
                <w:rtl w:val="0"/>
              </w:rPr>
              <w:t xml:space="preserve"> en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 3: Una mayor capacidad de almacenamiento en la </w:t>
            </w:r>
            <w:r w:rsidDel="00000000" w:rsidR="00000000" w:rsidRPr="00000000">
              <w:rPr>
                <w:rFonts w:ascii="Arial" w:cs="Arial" w:eastAsia="Arial" w:hAnsi="Arial"/>
                <w:sz w:val="18"/>
                <w:szCs w:val="18"/>
                <w:shd w:fill="cccccc" w:val="clear"/>
                <w:rtl w:val="0"/>
              </w:rPr>
              <w:t xml:space="preserve">arquitectura blockchain</w:t>
            </w:r>
            <w:r w:rsidDel="00000000" w:rsidR="00000000" w:rsidRPr="00000000">
              <w:rPr>
                <w:rFonts w:ascii="Arial" w:cs="Arial" w:eastAsia="Arial" w:hAnsi="Arial"/>
                <w:sz w:val="18"/>
                <w:szCs w:val="18"/>
                <w:rtl w:val="0"/>
              </w:rPr>
              <w:t xml:space="preserve"> mejora la </w:t>
            </w:r>
            <w:r w:rsidDel="00000000" w:rsidR="00000000" w:rsidRPr="00000000">
              <w:rPr>
                <w:rFonts w:ascii="Arial" w:cs="Arial" w:eastAsia="Arial" w:hAnsi="Arial"/>
                <w:color w:val="38761d"/>
                <w:sz w:val="18"/>
                <w:szCs w:val="18"/>
                <w:rtl w:val="0"/>
              </w:rPr>
              <w:t xml:space="preserve">amplitud de la información trazada</w:t>
            </w:r>
            <w:r w:rsidDel="00000000" w:rsidR="00000000" w:rsidRPr="00000000">
              <w:rPr>
                <w:rFonts w:ascii="Arial" w:cs="Arial" w:eastAsia="Arial" w:hAnsi="Arial"/>
                <w:sz w:val="18"/>
                <w:szCs w:val="18"/>
                <w:rtl w:val="0"/>
              </w:rPr>
              <w:t xml:space="preserve"> de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A">
            <w:pPr>
              <w:jc w:val="both"/>
              <w:rPr>
                <w:rFonts w:ascii="Arial" w:cs="Arial" w:eastAsia="Arial" w:hAnsi="Arial"/>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08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 1: </w:t>
            </w:r>
            <w:r w:rsidDel="00000000" w:rsidR="00000000" w:rsidRPr="00000000">
              <w:rPr>
                <w:rFonts w:ascii="Arial" w:cs="Arial" w:eastAsia="Arial" w:hAnsi="Arial"/>
                <w:b w:val="1"/>
                <w:bCs w:val="1"/>
                <w:sz w:val="18"/>
                <w:szCs w:val="18"/>
                <w:u w:val="single"/>
                <w:rtl w:val="0"/>
              </w:rPr>
              <w:t xml:space="preserve">Analizar</w:t>
            </w:r>
            <w:r w:rsidDel="00000000" w:rsidR="00000000" w:rsidRPr="00000000">
              <w:rPr>
                <w:rFonts w:ascii="Arial" w:cs="Arial" w:eastAsia="Arial" w:hAnsi="Arial"/>
                <w:sz w:val="18"/>
                <w:szCs w:val="18"/>
                <w:rtl w:val="0"/>
              </w:rPr>
              <w:t xml:space="preserve"> la influencia del rendimiento promedio (TPS) de la </w:t>
            </w:r>
            <w:r w:rsidDel="00000000" w:rsidR="00000000" w:rsidRPr="00000000">
              <w:rPr>
                <w:rFonts w:ascii="Arial" w:cs="Arial" w:eastAsia="Arial" w:hAnsi="Arial"/>
                <w:sz w:val="18"/>
                <w:szCs w:val="18"/>
                <w:shd w:fill="cccccc" w:val="clear"/>
                <w:rtl w:val="0"/>
              </w:rPr>
              <w:t xml:space="preserve">arquitectura blockchain</w:t>
            </w:r>
            <w:r w:rsidDel="00000000" w:rsidR="00000000" w:rsidRPr="00000000">
              <w:rPr>
                <w:rFonts w:ascii="Arial" w:cs="Arial" w:eastAsia="Arial" w:hAnsi="Arial"/>
                <w:sz w:val="18"/>
                <w:szCs w:val="18"/>
                <w:rtl w:val="0"/>
              </w:rPr>
              <w:t xml:space="preserve"> sobre la </w:t>
            </w:r>
            <w:r w:rsidDel="00000000" w:rsidR="00000000" w:rsidRPr="00000000">
              <w:rPr>
                <w:rFonts w:ascii="Arial" w:cs="Arial" w:eastAsia="Arial" w:hAnsi="Arial"/>
                <w:color w:val="1155cc"/>
                <w:sz w:val="18"/>
                <w:szCs w:val="18"/>
                <w:rtl w:val="0"/>
              </w:rPr>
              <w:t xml:space="preserve">profundidad de la trazabilidad </w:t>
            </w:r>
            <w:r w:rsidDel="00000000" w:rsidR="00000000" w:rsidRPr="00000000">
              <w:rPr>
                <w:rFonts w:ascii="Arial" w:cs="Arial" w:eastAsia="Arial" w:hAnsi="Arial"/>
                <w:sz w:val="18"/>
                <w:szCs w:val="18"/>
                <w:rtl w:val="0"/>
              </w:rPr>
              <w:t xml:space="preserve">de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 2: Evaluar la relación entre la latencia de la </w:t>
            </w:r>
            <w:r w:rsidDel="00000000" w:rsidR="00000000" w:rsidRPr="00000000">
              <w:rPr>
                <w:rFonts w:ascii="Arial" w:cs="Arial" w:eastAsia="Arial" w:hAnsi="Arial"/>
                <w:sz w:val="18"/>
                <w:szCs w:val="18"/>
                <w:shd w:fill="cccccc" w:val="clear"/>
                <w:rtl w:val="0"/>
              </w:rPr>
              <w:t xml:space="preserve">arquitectura blockchain</w:t>
            </w:r>
            <w:r w:rsidDel="00000000" w:rsidR="00000000" w:rsidRPr="00000000">
              <w:rPr>
                <w:rFonts w:ascii="Arial" w:cs="Arial" w:eastAsia="Arial" w:hAnsi="Arial"/>
                <w:sz w:val="18"/>
                <w:szCs w:val="18"/>
                <w:rtl w:val="0"/>
              </w:rPr>
              <w:t xml:space="preserve"> y el </w:t>
            </w:r>
            <w:r w:rsidDel="00000000" w:rsidR="00000000" w:rsidRPr="00000000">
              <w:rPr>
                <w:rFonts w:ascii="Arial" w:cs="Arial" w:eastAsia="Arial" w:hAnsi="Arial"/>
                <w:color w:val="990000"/>
                <w:sz w:val="18"/>
                <w:szCs w:val="18"/>
                <w:rtl w:val="0"/>
              </w:rPr>
              <w:t xml:space="preserve">volumen de datos generados por unidad de tiempo</w:t>
            </w:r>
            <w:r w:rsidDel="00000000" w:rsidR="00000000" w:rsidRPr="00000000">
              <w:rPr>
                <w:rFonts w:ascii="Arial" w:cs="Arial" w:eastAsia="Arial" w:hAnsi="Arial"/>
                <w:sz w:val="18"/>
                <w:szCs w:val="18"/>
                <w:rtl w:val="0"/>
              </w:rPr>
              <w:t xml:space="preserve"> en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 3: Determinar el efecto de la capacidad de almacenamiento de la </w:t>
            </w:r>
            <w:r w:rsidDel="00000000" w:rsidR="00000000" w:rsidRPr="00000000">
              <w:rPr>
                <w:rFonts w:ascii="Arial" w:cs="Arial" w:eastAsia="Arial" w:hAnsi="Arial"/>
                <w:sz w:val="18"/>
                <w:szCs w:val="18"/>
                <w:shd w:fill="cccccc" w:val="clear"/>
                <w:rtl w:val="0"/>
              </w:rPr>
              <w:t xml:space="preserve">arquitectura blockchain</w:t>
            </w:r>
            <w:r w:rsidDel="00000000" w:rsidR="00000000" w:rsidRPr="00000000">
              <w:rPr>
                <w:rFonts w:ascii="Arial" w:cs="Arial" w:eastAsia="Arial" w:hAnsi="Arial"/>
                <w:sz w:val="18"/>
                <w:szCs w:val="18"/>
                <w:rtl w:val="0"/>
              </w:rPr>
              <w:t xml:space="preserve"> sobre la </w:t>
            </w:r>
            <w:r w:rsidDel="00000000" w:rsidR="00000000" w:rsidRPr="00000000">
              <w:rPr>
                <w:rFonts w:ascii="Arial" w:cs="Arial" w:eastAsia="Arial" w:hAnsi="Arial"/>
                <w:color w:val="38761d"/>
                <w:sz w:val="18"/>
                <w:szCs w:val="18"/>
                <w:rtl w:val="0"/>
              </w:rPr>
              <w:t xml:space="preserve">amplitud de la información trazada </w:t>
            </w:r>
            <w:r w:rsidDel="00000000" w:rsidR="00000000" w:rsidRPr="00000000">
              <w:rPr>
                <w:rFonts w:ascii="Arial" w:cs="Arial" w:eastAsia="Arial" w:hAnsi="Arial"/>
                <w:sz w:val="18"/>
                <w:szCs w:val="18"/>
                <w:rtl w:val="0"/>
              </w:rPr>
              <w:t xml:space="preserve">de la </w:t>
            </w:r>
            <w:r w:rsidDel="00000000" w:rsidR="00000000" w:rsidRPr="00000000">
              <w:rPr>
                <w:rFonts w:ascii="Arial" w:cs="Arial" w:eastAsia="Arial" w:hAnsi="Arial"/>
                <w:sz w:val="18"/>
                <w:szCs w:val="18"/>
                <w:highlight w:val="green"/>
                <w:rtl w:val="0"/>
              </w:rPr>
              <w:t xml:space="preserve">cadena de suministro</w:t>
            </w:r>
            <w:r w:rsidDel="00000000" w:rsidR="00000000" w:rsidRPr="00000000">
              <w:rPr>
                <w:rFonts w:ascii="Arial" w:cs="Arial" w:eastAsia="Arial" w:hAnsi="Arial"/>
                <w:sz w:val="18"/>
                <w:szCs w:val="18"/>
                <w:rtl w:val="0"/>
              </w:rPr>
              <w:t xml:space="preserve"> en las </w:t>
            </w:r>
            <w:r w:rsidDel="00000000" w:rsidR="00000000" w:rsidRPr="00000000">
              <w:rPr>
                <w:rFonts w:ascii="Arial" w:cs="Arial" w:eastAsia="Arial" w:hAnsi="Arial"/>
                <w:sz w:val="18"/>
                <w:szCs w:val="18"/>
                <w:highlight w:val="magenta"/>
                <w:rtl w:val="0"/>
              </w:rPr>
              <w:t xml:space="preserve">cooperativas agrarias peruanas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highlight w:val="cyan"/>
                <w:rtl w:val="0"/>
              </w:rPr>
              <w:t xml:space="preserve">2025</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F">
            <w:pPr>
              <w:widowControl w:val="0"/>
              <w:tabs>
                <w:tab w:val="left" w:leader="none" w:pos="284"/>
              </w:tabs>
              <w:spacing w:after="0" w:line="240" w:lineRule="auto"/>
              <w:ind w:right="95"/>
              <w:jc w:val="both"/>
              <w:rPr>
                <w:rFonts w:ascii="Arial" w:cs="Arial" w:eastAsia="Arial" w:hAnsi="Arial"/>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90">
            <w:pPr>
              <w:widowControl w:val="0"/>
              <w:spacing w:after="0" w:before="106" w:line="240" w:lineRule="auto"/>
              <w:ind w:left="107" w:firstLine="0"/>
              <w:rPr>
                <w:rFonts w:ascii="Arial" w:cs="Arial" w:eastAsia="Arial" w:hAnsi="Arial"/>
                <w:sz w:val="18"/>
                <w:szCs w:val="18"/>
              </w:rPr>
            </w:pPr>
            <w:r w:rsidDel="00000000" w:rsidR="00000000" w:rsidRPr="00000000">
              <w:rPr>
                <w:highlight w:val="yellow"/>
                <w:rtl w:val="0"/>
              </w:rPr>
              <w:t xml:space="preserve">Trazabilidad </w:t>
            </w:r>
            <w:r w:rsidDel="00000000" w:rsidR="00000000" w:rsidRPr="00000000">
              <w:rPr>
                <w:rFonts w:ascii="Arial" w:cs="Arial" w:eastAsia="Arial" w:hAnsi="Arial"/>
                <w:sz w:val="18"/>
                <w:szCs w:val="18"/>
                <w:rtl w:val="0"/>
              </w:rPr>
              <w:t xml:space="preserve">(Cuantitativo)</w:t>
            </w:r>
          </w:p>
          <w:p w:rsidR="00000000" w:rsidDel="00000000" w:rsidP="00000000" w:rsidRDefault="00000000" w:rsidRPr="00000000" w14:paraId="00000091">
            <w:pPr>
              <w:widowControl w:val="0"/>
              <w:spacing w:after="0" w:line="240"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u w:val="single"/>
                <w:rtl w:val="0"/>
              </w:rPr>
              <w:t xml:space="preserve">Dimensiones</w:t>
            </w:r>
            <w:r w:rsidDel="00000000" w:rsidR="00000000" w:rsidRPr="00000000">
              <w:rPr>
                <w:rtl w:val="0"/>
              </w:rPr>
            </w:r>
          </w:p>
          <w:p w:rsidR="00000000" w:rsidDel="00000000" w:rsidP="00000000" w:rsidRDefault="00000000" w:rsidRPr="00000000" w14:paraId="00000092">
            <w:pPr>
              <w:widowControl w:val="0"/>
              <w:tabs>
                <w:tab w:val="left" w:leader="none" w:pos="284"/>
              </w:tabs>
              <w:spacing w:after="0" w:before="1" w:line="240" w:lineRule="auto"/>
              <w:ind w:left="0" w:right="25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1155cc"/>
                <w:sz w:val="18"/>
                <w:szCs w:val="18"/>
                <w:rtl w:val="0"/>
              </w:rPr>
              <w:t xml:space="preserve">Profundidad de la Trazabilidad</w:t>
            </w:r>
            <w:r w:rsidDel="00000000" w:rsidR="00000000" w:rsidRPr="00000000">
              <w:rPr>
                <w:rFonts w:ascii="Arial" w:cs="Arial" w:eastAsia="Arial" w:hAnsi="Arial"/>
                <w:sz w:val="18"/>
                <w:szCs w:val="18"/>
                <w:rtl w:val="0"/>
              </w:rPr>
              <w:t xml:space="preserve"> (Número de etapas rastreadas)</w:t>
              <w:br w:type="textWrapping"/>
              <w:t xml:space="preserve">- </w:t>
            </w:r>
            <w:r w:rsidDel="00000000" w:rsidR="00000000" w:rsidRPr="00000000">
              <w:rPr>
                <w:rFonts w:ascii="Arial" w:cs="Arial" w:eastAsia="Arial" w:hAnsi="Arial"/>
                <w:color w:val="990000"/>
                <w:sz w:val="18"/>
                <w:szCs w:val="18"/>
                <w:rtl w:val="0"/>
              </w:rPr>
              <w:t xml:space="preserve">Volumen de Datos Generados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990000"/>
                <w:sz w:val="18"/>
                <w:szCs w:val="18"/>
                <w:rtl w:val="0"/>
              </w:rPr>
              <w:t xml:space="preserve">por unidad de tiempo</w:t>
            </w:r>
            <w:r w:rsidDel="00000000" w:rsidR="00000000" w:rsidRPr="00000000">
              <w:rPr>
                <w:rFonts w:ascii="Arial" w:cs="Arial" w:eastAsia="Arial" w:hAnsi="Arial"/>
                <w:sz w:val="18"/>
                <w:szCs w:val="18"/>
                <w:rtl w:val="0"/>
              </w:rPr>
              <w:t xml:space="preserve">,</w:t>
              <w:br w:type="textWrapping"/>
              <w:t xml:space="preserve">- </w:t>
            </w:r>
            <w:r w:rsidDel="00000000" w:rsidR="00000000" w:rsidRPr="00000000">
              <w:rPr>
                <w:rFonts w:ascii="Arial" w:cs="Arial" w:eastAsia="Arial" w:hAnsi="Arial"/>
                <w:color w:val="38761d"/>
                <w:sz w:val="18"/>
                <w:szCs w:val="18"/>
                <w:rtl w:val="0"/>
              </w:rPr>
              <w:t xml:space="preserve">Amplitud de la Información trazada </w:t>
            </w:r>
            <w:r w:rsidDel="00000000" w:rsidR="00000000" w:rsidRPr="00000000">
              <w:rPr>
                <w:rFonts w:ascii="Arial" w:cs="Arial" w:eastAsia="Arial" w:hAnsi="Arial"/>
                <w:sz w:val="18"/>
                <w:szCs w:val="18"/>
                <w:rtl w:val="0"/>
              </w:rPr>
              <w:t xml:space="preserve">(Cantidad de atributos por etapa)</w:t>
            </w:r>
          </w:p>
        </w:tc>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4">
      <w:pPr>
        <w:rPr>
          <w:rFonts w:ascii="Arial" w:cs="Arial" w:eastAsia="Arial" w:hAnsi="Arial"/>
        </w:rPr>
        <w:sectPr>
          <w:type w:val="nextPage"/>
          <w:pgSz w:h="11906" w:w="16838" w:orient="landscape"/>
          <w:pgMar w:bottom="709" w:top="709" w:left="280" w:right="1340" w:header="720" w:footer="720"/>
        </w:sectPr>
      </w:pPr>
      <w:r w:rsidDel="00000000" w:rsidR="00000000" w:rsidRPr="00000000">
        <w:rPr>
          <w:rtl w:val="0"/>
        </w:rPr>
      </w:r>
    </w:p>
    <w:p w:rsidR="00000000" w:rsidDel="00000000" w:rsidP="00000000" w:rsidRDefault="00000000" w:rsidRPr="00000000" w14:paraId="00000095">
      <w:pPr>
        <w:rPr>
          <w:rFonts w:ascii="Arial" w:cs="Arial" w:eastAsia="Arial" w:hAnsi="Arial"/>
          <w:b w:val="1"/>
          <w:bCs w:val="1"/>
          <w:sz w:val="21"/>
          <w:szCs w:val="21"/>
        </w:rPr>
      </w:pPr>
      <w:r w:rsidDel="00000000" w:rsidR="00000000" w:rsidRPr="00000000">
        <w:rPr>
          <w:rFonts w:ascii="Arial" w:cs="Arial" w:eastAsia="Arial" w:hAnsi="Arial"/>
          <w:b w:val="1"/>
          <w:bCs w:val="1"/>
          <w:color w:val="131314"/>
          <w:sz w:val="21"/>
          <w:szCs w:val="21"/>
          <w:highlight w:val="white"/>
          <w:rtl w:val="0"/>
        </w:rPr>
        <w:t xml:space="preserve">Arquitectura de blockchain para mejorar la trazabilidad de la cadena de suministro en las cooperativas agrarias peruanas 2025</w:t>
      </w:r>
      <w:r w:rsidDel="00000000" w:rsidR="00000000" w:rsidRPr="00000000">
        <w:rPr>
          <w:rtl w:val="0"/>
        </w:rPr>
      </w:r>
    </w:p>
    <w:p w:rsidR="00000000" w:rsidDel="00000000" w:rsidP="00000000" w:rsidRDefault="00000000" w:rsidRPr="00000000" w14:paraId="00000096">
      <w:pP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1. Introducción</w:t>
      </w:r>
    </w:p>
    <w:p w:rsidR="00000000" w:rsidDel="00000000" w:rsidP="00000000" w:rsidRDefault="00000000" w:rsidRPr="00000000" w14:paraId="00000098">
      <w:pPr>
        <w:rPr>
          <w:rFonts w:ascii="Arial" w:cs="Arial" w:eastAsia="Arial" w:hAnsi="Arial"/>
          <w:sz w:val="21"/>
          <w:szCs w:val="21"/>
        </w:rPr>
      </w:pPr>
      <w:r w:rsidDel="00000000" w:rsidR="00000000" w:rsidRPr="00000000">
        <w:rPr>
          <w:rFonts w:ascii="Arial" w:cs="Arial" w:eastAsia="Arial" w:hAnsi="Arial"/>
          <w:sz w:val="21"/>
          <w:szCs w:val="21"/>
          <w:rtl w:val="0"/>
        </w:rPr>
        <w:t xml:space="preserve">La cadena de suministro agroalimentaria global se ha transformado en una red compleja y fragmentada, donde la seguridad de los productos, la transparencia de los procesos y la confianza del consumidor se han convertido en preocupaciones primordiales (Armas et al., 2023; Chen et al., 2025). Escándalos de seguridad alimentaria y la creciente demanda de los consumidores por conocer el origen y las condiciones de producción de lo que consumen han puesto de manifiesto las limitaciones de los sistemas de trazabilidad tradicionales (Borrero, 2019). Estos sistemas, a menudo basados en registros en papel o en bases de datos centralizadas, son susceptibles a la fragmentación de datos, la manipulación, los errores humanos y la falta de interoperabilidad, lo que genera una asimetría de información que erosiona la confianza en toda la cadena (Hasan et al., 2023; Mirabelli &amp; Solina, 2020).</w:t>
      </w:r>
    </w:p>
    <w:p w:rsidR="00000000" w:rsidDel="00000000" w:rsidP="00000000" w:rsidRDefault="00000000" w:rsidRPr="00000000" w14:paraId="00000099">
      <w:pPr>
        <w:rPr>
          <w:rFonts w:ascii="Arial" w:cs="Arial" w:eastAsia="Arial" w:hAnsi="Arial"/>
          <w:sz w:val="21"/>
          <w:szCs w:val="21"/>
        </w:rPr>
      </w:pPr>
      <w:r w:rsidDel="00000000" w:rsidR="00000000" w:rsidRPr="00000000">
        <w:rPr>
          <w:rFonts w:ascii="Arial" w:cs="Arial" w:eastAsia="Arial" w:hAnsi="Arial"/>
          <w:sz w:val="21"/>
          <w:szCs w:val="21"/>
          <w:rtl w:val="0"/>
        </w:rPr>
        <w:t xml:space="preserve">En este contexto, la tecnología Blockchain (BCT) ha emergido como una solución disruptiva con el potencial de transformar la industria agroalimentaria (Borrero, 2019). Gracias a sus características inherentes de descentralización, inmutabilidad, transparencia y auditabilidad, la BCT ofrece un libro de contabilidad digital distribuido que puede registrar cada transacción de forma segura y a prueba de manipulaciones (Chen et al., 2025; Wang et al., 2021). La implementación de contratos inteligentes (</w:t>
      </w:r>
      <w:r w:rsidDel="00000000" w:rsidR="00000000" w:rsidRPr="00000000">
        <w:rPr>
          <w:rFonts w:ascii="Arial" w:cs="Arial" w:eastAsia="Arial" w:hAnsi="Arial"/>
          <w:i w:val="1"/>
          <w:iCs w:val="1"/>
          <w:sz w:val="21"/>
          <w:szCs w:val="21"/>
          <w:rtl w:val="0"/>
        </w:rPr>
        <w:t xml:space="preserve">smart contracts</w:t>
      </w:r>
      <w:r w:rsidDel="00000000" w:rsidR="00000000" w:rsidRPr="00000000">
        <w:rPr>
          <w:rFonts w:ascii="Arial" w:cs="Arial" w:eastAsia="Arial" w:hAnsi="Arial"/>
          <w:sz w:val="21"/>
          <w:szCs w:val="21"/>
          <w:rtl w:val="0"/>
        </w:rPr>
        <w:t xml:space="preserve">) permite además automatizar la ejecución de acuerdos, la verificación de la calidad y los pagos, eliminando intermediarios y reduciendo ineficiencias (Salah et al., 2019; Wang et al., 2021). Empresas como Walmart ya han demostrado que la BCT puede reducir el tiempo de rastreo de un producto "de la granja a la mesa" de días a solo unos segundos (Kamilaris et al., 2019).</w:t>
      </w:r>
    </w:p>
    <w:p w:rsidR="00000000" w:rsidDel="00000000" w:rsidP="00000000" w:rsidRDefault="00000000" w:rsidRPr="00000000" w14:paraId="0000009A">
      <w:pPr>
        <w:rPr>
          <w:rFonts w:ascii="Arial" w:cs="Arial" w:eastAsia="Arial" w:hAnsi="Arial"/>
          <w:sz w:val="21"/>
          <w:szCs w:val="21"/>
        </w:rPr>
      </w:pPr>
      <w:r w:rsidDel="00000000" w:rsidR="00000000" w:rsidRPr="00000000">
        <w:rPr>
          <w:rFonts w:ascii="Arial" w:cs="Arial" w:eastAsia="Arial" w:hAnsi="Arial"/>
          <w:sz w:val="21"/>
          <w:szCs w:val="21"/>
          <w:rtl w:val="0"/>
        </w:rPr>
        <w:t xml:space="preserve">Sin embargo, la simple adopción de la tecnología blockchain no garantiza su éxito. La efectividad, el costo y la sostenibilidad de un sistema de trazabilidad dependen críticamente de su </w:t>
      </w:r>
      <w:r w:rsidDel="00000000" w:rsidR="00000000" w:rsidRPr="00000000">
        <w:rPr>
          <w:rFonts w:ascii="Arial" w:cs="Arial" w:eastAsia="Arial" w:hAnsi="Arial"/>
          <w:b w:val="1"/>
          <w:bCs w:val="1"/>
          <w:sz w:val="21"/>
          <w:szCs w:val="21"/>
          <w:rtl w:val="0"/>
        </w:rPr>
        <w:t xml:space="preserve">arquitectura</w:t>
      </w:r>
      <w:r w:rsidDel="00000000" w:rsidR="00000000" w:rsidRPr="00000000">
        <w:rPr>
          <w:rFonts w:ascii="Arial" w:cs="Arial" w:eastAsia="Arial" w:hAnsi="Arial"/>
          <w:sz w:val="21"/>
          <w:szCs w:val="21"/>
          <w:rtl w:val="0"/>
        </w:rPr>
        <w:t xml:space="preserve"> subyacente. Diferentes arquitecturas, como las públicas (sin permisos) o las privadas y de consorcio (con permisos), ofrecen distintas compensaciones entre rendimiento, seguridad y descentralización (Ciotta et al., 2021; Kramer et al., 2021). Por ejemplo, las arquitecturas públicas que utilizan algoritmos de consenso como la Prueba de Trabajo (Proof of Work) son conocidas por su alto consumo energético y baja latencia, mientras que las plataformas permisionadas como Hyperledger Fabric ofrecen un rendimiento significativamente mayor, medido en transacciones por segundo (TPS), y una latencia menor (El Hajji et al., 2024; Hasan et al., 2023). Además, el almacenamiento de datos es un desafío crítico; la naturaleza de "solo añadir" (</w:t>
      </w:r>
      <w:r w:rsidDel="00000000" w:rsidR="00000000" w:rsidRPr="00000000">
        <w:rPr>
          <w:rFonts w:ascii="Arial" w:cs="Arial" w:eastAsia="Arial" w:hAnsi="Arial"/>
          <w:i w:val="1"/>
          <w:iCs w:val="1"/>
          <w:sz w:val="21"/>
          <w:szCs w:val="21"/>
          <w:rtl w:val="0"/>
        </w:rPr>
        <w:t xml:space="preserve">append-only</w:t>
      </w:r>
      <w:r w:rsidDel="00000000" w:rsidR="00000000" w:rsidRPr="00000000">
        <w:rPr>
          <w:rFonts w:ascii="Arial" w:cs="Arial" w:eastAsia="Arial" w:hAnsi="Arial"/>
          <w:sz w:val="21"/>
          <w:szCs w:val="21"/>
          <w:rtl w:val="0"/>
        </w:rPr>
        <w:t xml:space="preserve">) de la blockchain puede llevar a un crecimiento lineal de los datos, convirtiéndose en un cuello de botella para la escalabilidad y elevando los costos de hardware (Chen et al., 2025). Por lo tanto, la elección de la arquitectura es un factor determinante para el éxito de la implementación (Kramer et al., 2021).</w:t>
      </w:r>
    </w:p>
    <w:p w:rsidR="00000000" w:rsidDel="00000000" w:rsidP="00000000" w:rsidRDefault="00000000" w:rsidRPr="00000000" w14:paraId="0000009B">
      <w:pPr>
        <w:rPr>
          <w:rFonts w:ascii="Arial" w:cs="Arial" w:eastAsia="Arial" w:hAnsi="Arial"/>
          <w:sz w:val="21"/>
          <w:szCs w:val="21"/>
        </w:rPr>
      </w:pPr>
      <w:r w:rsidDel="00000000" w:rsidR="00000000" w:rsidRPr="00000000">
        <w:rPr>
          <w:rFonts w:ascii="Arial" w:cs="Arial" w:eastAsia="Arial" w:hAnsi="Arial"/>
          <w:sz w:val="21"/>
          <w:szCs w:val="21"/>
          <w:rtl w:val="0"/>
        </w:rPr>
        <w:t xml:space="preserve">Este desafío es particularmente relevante en el contexto de las </w:t>
      </w:r>
      <w:r w:rsidDel="00000000" w:rsidR="00000000" w:rsidRPr="00000000">
        <w:rPr>
          <w:rFonts w:ascii="Arial" w:cs="Arial" w:eastAsia="Arial" w:hAnsi="Arial"/>
          <w:b w:val="1"/>
          <w:bCs w:val="1"/>
          <w:sz w:val="21"/>
          <w:szCs w:val="21"/>
          <w:rtl w:val="0"/>
        </w:rPr>
        <w:t xml:space="preserve">cooperativas agrarias peruanas</w:t>
      </w:r>
      <w:r w:rsidDel="00000000" w:rsidR="00000000" w:rsidRPr="00000000">
        <w:rPr>
          <w:rFonts w:ascii="Arial" w:cs="Arial" w:eastAsia="Arial" w:hAnsi="Arial"/>
          <w:sz w:val="21"/>
          <w:szCs w:val="21"/>
          <w:rtl w:val="0"/>
        </w:rPr>
        <w:t xml:space="preserve">. Estas organizaciones, que agrupan a pequeños y medianos productores, enfrentan barreras significativas para competir en los mercados globales, como la dificultad para crecer debido a la pequeña dimensión de sus explotaciones y los altos costos de la verificación y certificación de prácticas sostenibles (Borrero, 2019; Steinke et al., 2024). Para estas cooperativas, una trazabilidad deficiente no solo limita su acceso a mercados de mayor valor que exigen transparencia, sino que también afecta su capacidad para garantizar la calidad y seguridad de sus productos. Aunque la tecnología blockchain presenta una oportunidad para superar estas barreras (Borrero, 2019), es fundamental investigar qué arquitectura es la más adecuada para su contexto específico, considerando sus capacidades técnicas y restricciones financieras.</w:t>
      </w:r>
    </w:p>
    <w:p w:rsidR="00000000" w:rsidDel="00000000" w:rsidP="00000000" w:rsidRDefault="00000000" w:rsidRPr="00000000" w14:paraId="0000009C">
      <w:pPr>
        <w:rPr>
          <w:rFonts w:ascii="Arial" w:cs="Arial" w:eastAsia="Arial" w:hAnsi="Arial"/>
          <w:b w:val="1"/>
          <w:bCs w:val="1"/>
          <w:sz w:val="21"/>
          <w:szCs w:val="21"/>
        </w:rPr>
      </w:pPr>
      <w:r w:rsidDel="00000000" w:rsidR="00000000" w:rsidRPr="00000000">
        <w:rPr>
          <w:rFonts w:ascii="Arial" w:cs="Arial" w:eastAsia="Arial" w:hAnsi="Arial"/>
          <w:sz w:val="21"/>
          <w:szCs w:val="21"/>
          <w:rtl w:val="0"/>
        </w:rPr>
        <w:t xml:space="preserve">A pesar del creciente interés, existe una brecha de conocimiento sobre cómo las dimensiones cuantitativas de una arquitectura de blockchain (como el rendimiento, la latencia y la capacidad de almacenamiento) se correlacionan con una mejora tangible en la trazabilidad de la cadena de suministro en el entorno de las cooperativas agrarias. Este estudio busca cerrar esa brecha, abordando el problema de la trazabilidad deficiente en las cooperativas agrarias peruanas. Por lo tanto, este trabajo se plantea la siguiente pregunta general de investigación: </w:t>
      </w:r>
      <w:r w:rsidDel="00000000" w:rsidR="00000000" w:rsidRPr="00000000">
        <w:rPr>
          <w:rFonts w:ascii="Arial" w:cs="Arial" w:eastAsia="Arial" w:hAnsi="Arial"/>
          <w:b w:val="1"/>
          <w:bCs w:val="1"/>
          <w:sz w:val="21"/>
          <w:szCs w:val="21"/>
          <w:rtl w:val="0"/>
        </w:rPr>
        <w:t xml:space="preserve">¿Cómo influye una arquitectura de blockchain en la mejora de la trazabilidad de la cadena de suministro en las cooperativas agrarias peruanas en el año 2025?</w:t>
      </w:r>
    </w:p>
    <w:p w:rsidR="00000000" w:rsidDel="00000000" w:rsidP="00000000" w:rsidRDefault="00000000" w:rsidRPr="00000000" w14:paraId="0000009D">
      <w:pPr>
        <w:rPr>
          <w:rFonts w:ascii="Arial" w:cs="Arial" w:eastAsia="Arial" w:hAnsi="Arial"/>
          <w:sz w:val="21"/>
          <w:szCs w:val="21"/>
        </w:rPr>
      </w:pPr>
      <w:r w:rsidDel="00000000" w:rsidR="00000000" w:rsidRPr="00000000">
        <w:rPr>
          <w:rFonts w:ascii="Arial" w:cs="Arial" w:eastAsia="Arial" w:hAnsi="Arial"/>
          <w:sz w:val="21"/>
          <w:szCs w:val="21"/>
          <w:rtl w:val="0"/>
        </w:rPr>
        <w:t xml:space="preserve">Para abordar esta pregunta, la investigación analizará de manera específica la relación entre las métricas de rendimiento de la arquitectura de blockchain y los indicadores de trazabilidad. Se investigará cómo el rendimiento promedio (TPS) influye en la profundidad del rastreo, cómo la latencia se relaciona con el volumen de datos generados, cómo la capacidad de almacenamiento afecta la amplitud de la información registrada y cómo el tamaño de las transacciones impacta la eficiencia general del sistema. A través de este análisis, se busca proporcionar un marco de referencia que guíe a las cooperativas en la selección e implementación de una arquitectura de blockchain que no solo mejore la trazabilidad, sino que también fortalezca su competitividad y sostenibilidad en el mercado global.</w:t>
      </w:r>
    </w:p>
    <w:p w:rsidR="00000000" w:rsidDel="00000000" w:rsidP="00000000" w:rsidRDefault="00000000" w:rsidRPr="00000000" w14:paraId="0000009E">
      <w:pPr>
        <w:rPr>
          <w:rFonts w:ascii="Arial" w:cs="Arial" w:eastAsia="Arial" w:hAnsi="Arial"/>
          <w:sz w:val="21"/>
          <w:szCs w:val="21"/>
        </w:rPr>
      </w:pPr>
      <w:r w:rsidDel="00000000" w:rsidR="00000000" w:rsidRPr="00000000">
        <w:rPr>
          <w:rFonts w:ascii="Arial" w:cs="Arial" w:eastAsia="Arial" w:hAnsi="Arial"/>
          <w:sz w:val="21"/>
          <w:szCs w:val="21"/>
          <w:rtl w:val="0"/>
        </w:rPr>
        <w:t xml:space="preserve">Este </w:t>
      </w:r>
      <w:r w:rsidDel="00000000" w:rsidR="00000000" w:rsidRPr="00000000">
        <w:rPr>
          <w:rFonts w:ascii="Arial" w:cs="Arial" w:eastAsia="Arial" w:hAnsi="Arial"/>
          <w:i w:val="1"/>
          <w:iCs w:val="1"/>
          <w:sz w:val="21"/>
          <w:szCs w:val="21"/>
          <w:rtl w:val="0"/>
        </w:rPr>
        <w:t xml:space="preserve">paper</w:t>
      </w:r>
      <w:r w:rsidDel="00000000" w:rsidR="00000000" w:rsidRPr="00000000">
        <w:rPr>
          <w:rFonts w:ascii="Arial" w:cs="Arial" w:eastAsia="Arial" w:hAnsi="Arial"/>
          <w:sz w:val="21"/>
          <w:szCs w:val="21"/>
          <w:rtl w:val="0"/>
        </w:rPr>
        <w:t xml:space="preserve"> se estructura de la siguiente manera: la Sección 2 presenta una revisión de la literatura relevante. La Sección 3 detalla la metodología de investigación. La Sección 4 presenta los resultados del análisis. Finalmente, la Sección 5 discute las implicaciones de los hallazgos y ofrece las conclusiones del estudio.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2. Revisión de la Literatura</w:t>
      </w:r>
    </w:p>
    <w:p w:rsidR="00000000" w:rsidDel="00000000" w:rsidP="00000000" w:rsidRDefault="00000000" w:rsidRPr="00000000" w14:paraId="000000A3">
      <w:pPr>
        <w:rPr>
          <w:rFonts w:ascii="Arial" w:cs="Arial" w:eastAsia="Arial" w:hAnsi="Arial"/>
          <w:sz w:val="21"/>
          <w:szCs w:val="21"/>
        </w:rPr>
      </w:pPr>
      <w:r w:rsidDel="00000000" w:rsidR="00000000" w:rsidRPr="00000000">
        <w:rPr>
          <w:rFonts w:ascii="Arial" w:cs="Arial" w:eastAsia="Arial" w:hAnsi="Arial"/>
          <w:sz w:val="21"/>
          <w:szCs w:val="21"/>
          <w:rtl w:val="0"/>
        </w:rPr>
        <w:t xml:space="preserve">Esta sección presenta una revisión de la literatura existente sobre la aplicación de tecnologías de la información y comunicación (TIC) en las cadenas de suministro agroalimentarias, con un enfoque particular en la tecnología blockchain como solución para mejorar la trazabilidad, la transparencia y la seguridad. Se examinan los desafíos de los sistemas tradicionales, las características y arquitecturas de blockchain, sus aplicaciones prácticas en el sector y, finalmente, las barreras y brechas de investigación que justifican el presente estudio.</w:t>
      </w:r>
    </w:p>
    <w:p w:rsidR="00000000" w:rsidDel="00000000" w:rsidP="00000000" w:rsidRDefault="00000000" w:rsidRPr="00000000" w14:paraId="000000A4">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2.1. La Cadena de Suministro Agroalimentaria: Desafíos y Necesidad de Trazabilidad</w:t>
      </w:r>
    </w:p>
    <w:p w:rsidR="00000000" w:rsidDel="00000000" w:rsidP="00000000" w:rsidRDefault="00000000" w:rsidRPr="00000000" w14:paraId="000000A5">
      <w:pPr>
        <w:rPr>
          <w:rFonts w:ascii="Arial" w:cs="Arial" w:eastAsia="Arial" w:hAnsi="Arial"/>
          <w:sz w:val="21"/>
          <w:szCs w:val="21"/>
        </w:rPr>
      </w:pPr>
      <w:r w:rsidDel="00000000" w:rsidR="00000000" w:rsidRPr="00000000">
        <w:rPr>
          <w:rFonts w:ascii="Arial" w:cs="Arial" w:eastAsia="Arial" w:hAnsi="Arial"/>
          <w:sz w:val="21"/>
          <w:szCs w:val="21"/>
          <w:rtl w:val="0"/>
        </w:rPr>
        <w:t xml:space="preserve">La cadena de suministro agroalimentaria (AFSC, por sus siglas en inglés) se ha transformado en una red global compleja y fragmentada, involucrando a una multitud de actores como agricultores, procesadores, transportistas, distribuidores y minoristas (Borrero, 2019; Shivendra et al., s.f.). Esta complejidad, junto con la globalización del comercio de alimentos, ha intensificado las preocupaciones sobre la seguridad, calidad y autenticidad de los productos que llegan al consumidor. Escándalos de seguridad alimentaria, como el de la melamina en leche en polvo en China en 2008, han erosionado la confianza del consumidor y han impulsado la creación de regulaciones más estrictas a nivel mundial, como la Ley General de Alimentos de la UE y la Ley de Seguridad Alimentaria de China (Chen et al., 2025; Xiu &amp; Klein, 2010, citado en Behnke &amp; Janssen, 2020).</w:t>
      </w:r>
    </w:p>
    <w:p w:rsidR="00000000" w:rsidDel="00000000" w:rsidP="00000000" w:rsidRDefault="00000000" w:rsidRPr="00000000" w14:paraId="000000A6">
      <w:pPr>
        <w:rPr>
          <w:rFonts w:ascii="Arial" w:cs="Arial" w:eastAsia="Arial" w:hAnsi="Arial"/>
          <w:sz w:val="21"/>
          <w:szCs w:val="21"/>
        </w:rPr>
      </w:pPr>
      <w:r w:rsidDel="00000000" w:rsidR="00000000" w:rsidRPr="00000000">
        <w:rPr>
          <w:rFonts w:ascii="Arial" w:cs="Arial" w:eastAsia="Arial" w:hAnsi="Arial"/>
          <w:sz w:val="21"/>
          <w:szCs w:val="21"/>
          <w:rtl w:val="0"/>
        </w:rPr>
        <w:t xml:space="preserve">La trazabilidad, definida como la capacidad de seguir un producto "desde la granja hasta la mesa" (</w:t>
      </w:r>
      <w:r w:rsidDel="00000000" w:rsidR="00000000" w:rsidRPr="00000000">
        <w:rPr>
          <w:rFonts w:ascii="Arial" w:cs="Arial" w:eastAsia="Arial" w:hAnsi="Arial"/>
          <w:i w:val="1"/>
          <w:iCs w:val="1"/>
          <w:sz w:val="21"/>
          <w:szCs w:val="21"/>
          <w:rtl w:val="0"/>
        </w:rPr>
        <w:t xml:space="preserve">from farm to fork</w:t>
      </w:r>
      <w:r w:rsidDel="00000000" w:rsidR="00000000" w:rsidRPr="00000000">
        <w:rPr>
          <w:rFonts w:ascii="Arial" w:cs="Arial" w:eastAsia="Arial" w:hAnsi="Arial"/>
          <w:sz w:val="21"/>
          <w:szCs w:val="21"/>
          <w:rtl w:val="0"/>
        </w:rPr>
        <w:t xml:space="preserve">) a través de todas las etapas de producción, procesamiento y distribución (Kamilaris et al., 2019; Wang et al., 2021), se ha convertido en un requisito fundamental para gestionar los riesgos y garantizar la integridad de los productos (Bosona &amp; Gebresenbet, 2013, citado en Kamilaris et al., 2019). Una trazabilidad efectiva no solo es crucial para realizar retiradas de productos rápidas y precisas en caso de contaminación, sino que también responde a la creciente demanda de los consumidores por mayor transparencia sobre el origen, las condiciones de producción y el impacto ambiental de sus alimentos (Borrero, 2019; Kramer et al., 2021). Para las cooperativas agrarias, especialmente aquellas compuestas por pequeños y medianos productores, ofrecer esta transparencia es una estrategia indispensable para competir en los mercados globalizados y acceder a segmentos de mayor valor (Borrero, 2019).</w:t>
      </w:r>
    </w:p>
    <w:p w:rsidR="00000000" w:rsidDel="00000000" w:rsidP="00000000" w:rsidRDefault="00000000" w:rsidRPr="00000000" w14:paraId="000000A7">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2.2. Sistemas de Trazabilidad Tradicionales y sus Limitaciones</w:t>
      </w:r>
    </w:p>
    <w:p w:rsidR="00000000" w:rsidDel="00000000" w:rsidP="00000000" w:rsidRDefault="00000000" w:rsidRPr="00000000" w14:paraId="000000A8">
      <w:pPr>
        <w:rPr>
          <w:rFonts w:ascii="Arial" w:cs="Arial" w:eastAsia="Arial" w:hAnsi="Arial"/>
          <w:sz w:val="21"/>
          <w:szCs w:val="21"/>
        </w:rPr>
      </w:pPr>
      <w:r w:rsidDel="00000000" w:rsidR="00000000" w:rsidRPr="00000000">
        <w:rPr>
          <w:rFonts w:ascii="Arial" w:cs="Arial" w:eastAsia="Arial" w:hAnsi="Arial"/>
          <w:sz w:val="21"/>
          <w:szCs w:val="21"/>
          <w:rtl w:val="0"/>
        </w:rPr>
        <w:t xml:space="preserve">Históricamente, los sistemas de trazabilidad en la cadena de suministro agroalimentaria se han basado en registros en papel o en bases de datos centralizadas (Borrero, 2019). Sin embargo, estos sistemas tradicionales presentan limitaciones significativas que comprometen su eficacia. Son inherentemente vulnerables a la fragmentación de datos, la falta de interoperabilidad entre los sistemas de los diferentes actores y la creación de "islas de información" (Hasan et al., 2023; Mirabelli &amp; Solina, 2020; Shivendra et al., s.f.). Esta fragmentación dificulta la obtención de una visión completa y continua de la trayectoria de un producto a lo largo de la cadena.</w:t>
      </w:r>
    </w:p>
    <w:p w:rsidR="00000000" w:rsidDel="00000000" w:rsidP="00000000" w:rsidRDefault="00000000" w:rsidRPr="00000000" w14:paraId="000000A9">
      <w:pPr>
        <w:rPr>
          <w:rFonts w:ascii="Arial" w:cs="Arial" w:eastAsia="Arial" w:hAnsi="Arial"/>
          <w:sz w:val="21"/>
          <w:szCs w:val="21"/>
        </w:rPr>
      </w:pPr>
      <w:r w:rsidDel="00000000" w:rsidR="00000000" w:rsidRPr="00000000">
        <w:rPr>
          <w:rFonts w:ascii="Arial" w:cs="Arial" w:eastAsia="Arial" w:hAnsi="Arial"/>
          <w:sz w:val="21"/>
          <w:szCs w:val="21"/>
          <w:rtl w:val="0"/>
        </w:rPr>
        <w:t xml:space="preserve">Además, la naturaleza centralizada de estas bases de datos las hace susceptibles a la manipulación de datos, ya sea por errores humanos o por acciones fraudulentas, lo que socava la integridad de los registros (Borrero, 2019; Shivendra et al., s.f.). La dependencia de un intermediario o una autoridad central para validar la información crea un único punto de fallo y puede generar desconfianza entre los participantes que compiten entre sí (Yiu, 2021). En resumen, los sistemas tradicionales luchan por ofrecer la transparencia, seguridad e inmutabilidad necesarias para construir la confianza que exigen los consumidores y reguladores modernos (Borrero, 2019).</w:t>
      </w:r>
    </w:p>
    <w:p w:rsidR="00000000" w:rsidDel="00000000" w:rsidP="00000000" w:rsidRDefault="00000000" w:rsidRPr="00000000" w14:paraId="000000AA">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2.3. Tecnología Blockchain como Solución para la Trazabilidad</w:t>
      </w:r>
    </w:p>
    <w:p w:rsidR="00000000" w:rsidDel="00000000" w:rsidP="00000000" w:rsidRDefault="00000000" w:rsidRPr="00000000" w14:paraId="000000AB">
      <w:pPr>
        <w:rPr>
          <w:rFonts w:ascii="Arial" w:cs="Arial" w:eastAsia="Arial" w:hAnsi="Arial"/>
          <w:sz w:val="21"/>
          <w:szCs w:val="21"/>
        </w:rPr>
      </w:pPr>
      <w:r w:rsidDel="00000000" w:rsidR="00000000" w:rsidRPr="00000000">
        <w:rPr>
          <w:rFonts w:ascii="Arial" w:cs="Arial" w:eastAsia="Arial" w:hAnsi="Arial"/>
          <w:sz w:val="21"/>
          <w:szCs w:val="21"/>
          <w:rtl w:val="0"/>
        </w:rPr>
        <w:t xml:space="preserve">La tecnología Blockchain (BCT) ha emergido como una solución disruptiva con el potencial de abordar muchas de las limitaciones de los sistemas de trazabilidad tradicionales (Borrero, 2019). Definida como un libro de contabilidad digital, distribuido, descentralizado e inmutable, la BCT permite registrar transacciones entre múltiples partes que no confían entre sí sin la necesidad de una autoridad central (Kamilaris et al., 2019; Mirabelli &amp; Solina, 2020). Sus propiedades fundamentales son particularmente adecuadas para la trazabilidad agroalimentaria:</w:t>
      </w:r>
    </w:p>
    <w:p w:rsidR="00000000" w:rsidDel="00000000" w:rsidP="00000000" w:rsidRDefault="00000000" w:rsidRPr="00000000" w14:paraId="000000AC">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Descentralización:</w:t>
      </w:r>
      <w:r w:rsidDel="00000000" w:rsidR="00000000" w:rsidRPr="00000000">
        <w:rPr>
          <w:rFonts w:ascii="Arial" w:cs="Arial" w:eastAsia="Arial" w:hAnsi="Arial"/>
          <w:sz w:val="21"/>
          <w:szCs w:val="21"/>
          <w:rtl w:val="0"/>
        </w:rPr>
        <w:t xml:space="preserve"> En lugar de estar almacenada en un servidor central, la información se replica en una red de nodos de igual a igual (P2P). Esto elimina los puntos únicos de fallo y reduce el poder de los intermediarios (Hasan et al., 2023; Kramer et al., 2021).</w:t>
      </w:r>
    </w:p>
    <w:p w:rsidR="00000000" w:rsidDel="00000000" w:rsidP="00000000" w:rsidRDefault="00000000" w:rsidRPr="00000000" w14:paraId="000000AD">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Inmutabilidad:</w:t>
      </w:r>
      <w:r w:rsidDel="00000000" w:rsidR="00000000" w:rsidRPr="00000000">
        <w:rPr>
          <w:rFonts w:ascii="Arial" w:cs="Arial" w:eastAsia="Arial" w:hAnsi="Arial"/>
          <w:sz w:val="21"/>
          <w:szCs w:val="21"/>
          <w:rtl w:val="0"/>
        </w:rPr>
        <w:t xml:space="preserve"> Una vez que una transacción se registra en un bloque y se añade a la cadena, no puede ser alterada ni eliminada. Esto se logra mediante el encadenamiento criptográfico de bloques, donde cada bloque contiene el hash del anterior, asegurando la integridad de todo el historial (Chen et al., 2025; Wang et al., 2021).</w:t>
      </w:r>
    </w:p>
    <w:p w:rsidR="00000000" w:rsidDel="00000000" w:rsidP="00000000" w:rsidRDefault="00000000" w:rsidRPr="00000000" w14:paraId="000000AE">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Transparencia y Auditabilidad:</w:t>
      </w:r>
      <w:r w:rsidDel="00000000" w:rsidR="00000000" w:rsidRPr="00000000">
        <w:rPr>
          <w:rFonts w:ascii="Arial" w:cs="Arial" w:eastAsia="Arial" w:hAnsi="Arial"/>
          <w:sz w:val="21"/>
          <w:szCs w:val="21"/>
          <w:rtl w:val="0"/>
        </w:rPr>
        <w:t xml:space="preserve"> El contenido del libro mayor es visible para los participantes autorizados, lo que permite una visión compartida y reduce la asimetría de la información (Borrero, 2019; Chen et al., 2025). Todas las transacciones son rastreables y auditables en tiempo real.</w:t>
      </w:r>
    </w:p>
    <w:p w:rsidR="00000000" w:rsidDel="00000000" w:rsidP="00000000" w:rsidRDefault="00000000" w:rsidRPr="00000000" w14:paraId="000000AF">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Contratos Inteligentes (Smart Contracts):</w:t>
      </w:r>
      <w:r w:rsidDel="00000000" w:rsidR="00000000" w:rsidRPr="00000000">
        <w:rPr>
          <w:rFonts w:ascii="Arial" w:cs="Arial" w:eastAsia="Arial" w:hAnsi="Arial"/>
          <w:sz w:val="21"/>
          <w:szCs w:val="21"/>
          <w:rtl w:val="0"/>
        </w:rPr>
        <w:t xml:space="preserve"> Son programas autoejecutables que se activan cuando se cumplen condiciones predefinidas. En la cadena de suministro, pueden automatizar procesos como la verificación del cumplimiento de normativas, la ejecución de pagos al recibir una entrega o la validación de certificaciones de calidad (Borrero, 2019; Ciotta et al., 2021; Wang et al., 2021).</w:t>
      </w:r>
    </w:p>
    <w:p w:rsidR="00000000" w:rsidDel="00000000" w:rsidP="00000000" w:rsidRDefault="00000000" w:rsidRPr="00000000" w14:paraId="000000B0">
      <w:pPr>
        <w:rPr>
          <w:rFonts w:ascii="Arial" w:cs="Arial" w:eastAsia="Arial" w:hAnsi="Arial"/>
          <w:sz w:val="21"/>
          <w:szCs w:val="21"/>
        </w:rPr>
      </w:pPr>
      <w:r w:rsidDel="00000000" w:rsidR="00000000" w:rsidRPr="00000000">
        <w:rPr>
          <w:rFonts w:ascii="Arial" w:cs="Arial" w:eastAsia="Arial" w:hAnsi="Arial"/>
          <w:sz w:val="21"/>
          <w:szCs w:val="21"/>
          <w:rtl w:val="0"/>
        </w:rPr>
        <w:t xml:space="preserve">Estas características permiten a la BCT crear un sistema de trazabilidad más seguro, transparente y eficiente, capaz de generar la confianza que falta en los sistemas actuales (Shivendra et al., s.f.).</w:t>
      </w:r>
    </w:p>
    <w:p w:rsidR="00000000" w:rsidDel="00000000" w:rsidP="00000000" w:rsidRDefault="00000000" w:rsidRPr="00000000" w14:paraId="000000B1">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2.4. Arquitecturas y Aplicaciones de Blockchain en el Sector Agroalimentario</w:t>
      </w:r>
    </w:p>
    <w:p w:rsidR="00000000" w:rsidDel="00000000" w:rsidP="00000000" w:rsidRDefault="00000000" w:rsidRPr="00000000" w14:paraId="000000B2">
      <w:pPr>
        <w:rPr>
          <w:rFonts w:ascii="Arial" w:cs="Arial" w:eastAsia="Arial" w:hAnsi="Arial"/>
          <w:sz w:val="21"/>
          <w:szCs w:val="21"/>
        </w:rPr>
      </w:pPr>
      <w:r w:rsidDel="00000000" w:rsidR="00000000" w:rsidRPr="00000000">
        <w:rPr>
          <w:rFonts w:ascii="Arial" w:cs="Arial" w:eastAsia="Arial" w:hAnsi="Arial"/>
          <w:sz w:val="21"/>
          <w:szCs w:val="21"/>
          <w:rtl w:val="0"/>
        </w:rPr>
        <w:t xml:space="preserve">La implementación de BCT en la cadena de suministro no es una solución única, sino que depende de la elección de una arquitectura de red adecuada. Principalmente, existen tres tipos de arquitecturas blockchain:</w:t>
      </w:r>
    </w:p>
    <w:p w:rsidR="00000000" w:rsidDel="00000000" w:rsidP="00000000" w:rsidRDefault="00000000" w:rsidRPr="00000000" w14:paraId="000000B3">
      <w:pPr>
        <w:rPr>
          <w:rFonts w:ascii="Arial" w:cs="Arial" w:eastAsia="Arial" w:hAnsi="Arial"/>
          <w:sz w:val="21"/>
          <w:szCs w:val="21"/>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Blockchain Pública (sin permisos o </w:t>
      </w:r>
      <w:r w:rsidDel="00000000" w:rsidR="00000000" w:rsidRPr="00000000">
        <w:rPr>
          <w:rFonts w:ascii="Arial" w:cs="Arial" w:eastAsia="Arial" w:hAnsi="Arial"/>
          <w:b w:val="1"/>
          <w:bCs w:val="1"/>
          <w:i w:val="1"/>
          <w:iCs w:val="1"/>
          <w:sz w:val="21"/>
          <w:szCs w:val="21"/>
          <w:rtl w:val="0"/>
        </w:rPr>
        <w:t xml:space="preserve">permissionless</w:t>
      </w:r>
      <w:r w:rsidDel="00000000" w:rsidR="00000000" w:rsidRPr="00000000">
        <w:rPr>
          <w:rFonts w:ascii="Arial" w:cs="Arial" w:eastAsia="Arial" w:hAnsi="Arial"/>
          <w:b w:val="1"/>
          <w:bCs w:val="1"/>
          <w:sz w:val="21"/>
          <w:szCs w:val="21"/>
          <w:rtl w:val="0"/>
        </w:rPr>
        <w:t xml:space="preserve">):</w:t>
      </w:r>
      <w:r w:rsidDel="00000000" w:rsidR="00000000" w:rsidRPr="00000000">
        <w:rPr>
          <w:rFonts w:ascii="Arial" w:cs="Arial" w:eastAsia="Arial" w:hAnsi="Arial"/>
          <w:sz w:val="21"/>
          <w:szCs w:val="21"/>
          <w:rtl w:val="0"/>
        </w:rPr>
        <w:t xml:space="preserve"> Abierta a que cualquiera pueda unirse y participar. Aunque ofrecen una descentralización máxima, suelen tener problemas de escalabilidad y un alto consumo energético, lo que las hace menos adecuadas para aplicaciones empresariales de alta frecuencia (Behnke &amp; Janssen, 2020; Kramer et al., 2021).</w:t>
      </w:r>
    </w:p>
    <w:p w:rsidR="00000000" w:rsidDel="00000000" w:rsidP="00000000" w:rsidRDefault="00000000" w:rsidRPr="00000000" w14:paraId="000000B4">
      <w:pPr>
        <w:rPr>
          <w:rFonts w:ascii="Arial" w:cs="Arial" w:eastAsia="Arial" w:hAnsi="Arial"/>
          <w:sz w:val="21"/>
          <w:szCs w:val="21"/>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Blockchain Privada (con permisos o </w:t>
      </w:r>
      <w:r w:rsidDel="00000000" w:rsidR="00000000" w:rsidRPr="00000000">
        <w:rPr>
          <w:rFonts w:ascii="Arial" w:cs="Arial" w:eastAsia="Arial" w:hAnsi="Arial"/>
          <w:b w:val="1"/>
          <w:bCs w:val="1"/>
          <w:i w:val="1"/>
          <w:iCs w:val="1"/>
          <w:sz w:val="21"/>
          <w:szCs w:val="21"/>
          <w:rtl w:val="0"/>
        </w:rPr>
        <w:t xml:space="preserve">permissioned</w:t>
      </w:r>
      <w:r w:rsidDel="00000000" w:rsidR="00000000" w:rsidRPr="00000000">
        <w:rPr>
          <w:rFonts w:ascii="Arial" w:cs="Arial" w:eastAsia="Arial" w:hAnsi="Arial"/>
          <w:b w:val="1"/>
          <w:bCs w:val="1"/>
          <w:sz w:val="21"/>
          <w:szCs w:val="21"/>
          <w:rtl w:val="0"/>
        </w:rPr>
        <w:t xml:space="preserve">):</w:t>
      </w:r>
      <w:r w:rsidDel="00000000" w:rsidR="00000000" w:rsidRPr="00000000">
        <w:rPr>
          <w:rFonts w:ascii="Arial" w:cs="Arial" w:eastAsia="Arial" w:hAnsi="Arial"/>
          <w:sz w:val="21"/>
          <w:szCs w:val="21"/>
          <w:rtl w:val="0"/>
        </w:rPr>
        <w:t xml:space="preserve"> Controlada por una única entidad, que otorga permisos de acceso. Ofrece alta eficiencia y privacidad, pero es centralizada (Behnke &amp; Janssen, 2020; Ciotta et al., 2021; Kramer et al., 2021).</w:t>
      </w:r>
    </w:p>
    <w:p w:rsidR="00000000" w:rsidDel="00000000" w:rsidP="00000000" w:rsidRDefault="00000000" w:rsidRPr="00000000" w14:paraId="000000B5">
      <w:pPr>
        <w:rPr>
          <w:rFonts w:ascii="Arial" w:cs="Arial" w:eastAsia="Arial" w:hAnsi="Arial"/>
          <w:sz w:val="21"/>
          <w:szCs w:val="21"/>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Blockchain de Consorcio (o Federada):</w:t>
      </w:r>
      <w:r w:rsidDel="00000000" w:rsidR="00000000" w:rsidRPr="00000000">
        <w:rPr>
          <w:rFonts w:ascii="Arial" w:cs="Arial" w:eastAsia="Arial" w:hAnsi="Arial"/>
          <w:sz w:val="21"/>
          <w:szCs w:val="21"/>
          <w:rtl w:val="0"/>
        </w:rPr>
        <w:t xml:space="preserve"> Gobernada por un grupo preseleccionado de organizaciones. Este modelo híbrido combina la eficiencia y privacidad de las redes privadas con la descentralización, siendo ideal para la colaboración entre empresas en una cadena de suministro (Belhi et al., 2021; Kramer et al., 2021). </w:t>
      </w:r>
      <w:r w:rsidDel="00000000" w:rsidR="00000000" w:rsidRPr="00000000">
        <w:rPr>
          <w:rFonts w:ascii="Arial" w:cs="Arial" w:eastAsia="Arial" w:hAnsi="Arial"/>
          <w:b w:val="1"/>
          <w:bCs w:val="1"/>
          <w:sz w:val="21"/>
          <w:szCs w:val="21"/>
          <w:rtl w:val="0"/>
        </w:rPr>
        <w:t xml:space="preserve">Hyperledger Fabric</w:t>
      </w:r>
      <w:r w:rsidDel="00000000" w:rsidR="00000000" w:rsidRPr="00000000">
        <w:rPr>
          <w:rFonts w:ascii="Arial" w:cs="Arial" w:eastAsia="Arial" w:hAnsi="Arial"/>
          <w:sz w:val="21"/>
          <w:szCs w:val="21"/>
          <w:rtl w:val="0"/>
        </w:rPr>
        <w:t xml:space="preserve"> es la plataforma de consorcio más citada y utilizada en aplicaciones empresariales, permitiendo la creación de canales privados entre subconjuntos de participantes para transacciones confidenciales (Borrero, 2019; El Hajji et al., 2024; Pan et al., 2025).</w:t>
      </w:r>
    </w:p>
    <w:p w:rsidR="00000000" w:rsidDel="00000000" w:rsidP="00000000" w:rsidRDefault="00000000" w:rsidRPr="00000000" w14:paraId="000000B6">
      <w:pPr>
        <w:rPr>
          <w:rFonts w:ascii="Arial" w:cs="Arial" w:eastAsia="Arial" w:hAnsi="Arial"/>
          <w:sz w:val="21"/>
          <w:szCs w:val="21"/>
        </w:rPr>
      </w:pPr>
      <w:r w:rsidDel="00000000" w:rsidR="00000000" w:rsidRPr="00000000">
        <w:rPr>
          <w:rFonts w:ascii="Arial" w:cs="Arial" w:eastAsia="Arial" w:hAnsi="Arial"/>
          <w:sz w:val="21"/>
          <w:szCs w:val="21"/>
          <w:rtl w:val="0"/>
        </w:rPr>
        <w:t xml:space="preserve">Empresas líderes del sector, como </w:t>
      </w:r>
      <w:r w:rsidDel="00000000" w:rsidR="00000000" w:rsidRPr="00000000">
        <w:rPr>
          <w:rFonts w:ascii="Arial" w:cs="Arial" w:eastAsia="Arial" w:hAnsi="Arial"/>
          <w:b w:val="1"/>
          <w:bCs w:val="1"/>
          <w:sz w:val="21"/>
          <w:szCs w:val="21"/>
          <w:rtl w:val="0"/>
        </w:rPr>
        <w:t xml:space="preserve">Walmart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Carrefour</w:t>
      </w:r>
      <w:r w:rsidDel="00000000" w:rsidR="00000000" w:rsidRPr="00000000">
        <w:rPr>
          <w:rFonts w:ascii="Arial" w:cs="Arial" w:eastAsia="Arial" w:hAnsi="Arial"/>
          <w:sz w:val="21"/>
          <w:szCs w:val="21"/>
          <w:rtl w:val="0"/>
        </w:rPr>
        <w:t xml:space="preserve"> y </w:t>
      </w:r>
      <w:r w:rsidDel="00000000" w:rsidR="00000000" w:rsidRPr="00000000">
        <w:rPr>
          <w:rFonts w:ascii="Arial" w:cs="Arial" w:eastAsia="Arial" w:hAnsi="Arial"/>
          <w:b w:val="1"/>
          <w:bCs w:val="1"/>
          <w:sz w:val="21"/>
          <w:szCs w:val="21"/>
          <w:rtl w:val="0"/>
        </w:rPr>
        <w:t xml:space="preserve">Nestlé</w:t>
      </w:r>
      <w:r w:rsidDel="00000000" w:rsidR="00000000" w:rsidRPr="00000000">
        <w:rPr>
          <w:rFonts w:ascii="Arial" w:cs="Arial" w:eastAsia="Arial" w:hAnsi="Arial"/>
          <w:sz w:val="21"/>
          <w:szCs w:val="21"/>
          <w:rtl w:val="0"/>
        </w:rPr>
        <w:t xml:space="preserve">, ya han implementado soluciones de trazabilidad basadas en blockchain, logrando reducir el tiempo de rastreo de productos de días a segundos (Kamilaris et al., 2019; Qian et al., 2020). Para superar las limitaciones de almacenamiento de la blockchain, muchas arquitecturas adoptan un enfoque híbrido, combinando almacenamiento "en cadena" (</w:t>
      </w:r>
      <w:r w:rsidDel="00000000" w:rsidR="00000000" w:rsidRPr="00000000">
        <w:rPr>
          <w:rFonts w:ascii="Arial" w:cs="Arial" w:eastAsia="Arial" w:hAnsi="Arial"/>
          <w:i w:val="1"/>
          <w:iCs w:val="1"/>
          <w:sz w:val="21"/>
          <w:szCs w:val="21"/>
          <w:rtl w:val="0"/>
        </w:rPr>
        <w:t xml:space="preserve">on-chain</w:t>
      </w:r>
      <w:r w:rsidDel="00000000" w:rsidR="00000000" w:rsidRPr="00000000">
        <w:rPr>
          <w:rFonts w:ascii="Arial" w:cs="Arial" w:eastAsia="Arial" w:hAnsi="Arial"/>
          <w:sz w:val="21"/>
          <w:szCs w:val="21"/>
          <w:rtl w:val="0"/>
        </w:rPr>
        <w:t xml:space="preserve">) y "fuera de cadena" (</w:t>
      </w:r>
      <w:r w:rsidDel="00000000" w:rsidR="00000000" w:rsidRPr="00000000">
        <w:rPr>
          <w:rFonts w:ascii="Arial" w:cs="Arial" w:eastAsia="Arial" w:hAnsi="Arial"/>
          <w:i w:val="1"/>
          <w:iCs w:val="1"/>
          <w:sz w:val="21"/>
          <w:szCs w:val="21"/>
          <w:rtl w:val="0"/>
        </w:rPr>
        <w:t xml:space="preserve">off-chain</w:t>
      </w:r>
      <w:r w:rsidDel="00000000" w:rsidR="00000000" w:rsidRPr="00000000">
        <w:rPr>
          <w:rFonts w:ascii="Arial" w:cs="Arial" w:eastAsia="Arial" w:hAnsi="Arial"/>
          <w:sz w:val="21"/>
          <w:szCs w:val="21"/>
          <w:rtl w:val="0"/>
        </w:rPr>
        <w:t xml:space="preserve">). Los datos críticos se almacenan en la blockchain, mientras que los datos más voluminosos se guardan en sistemas como el </w:t>
      </w:r>
      <w:r w:rsidDel="00000000" w:rsidR="00000000" w:rsidRPr="00000000">
        <w:rPr>
          <w:rFonts w:ascii="Arial" w:cs="Arial" w:eastAsia="Arial" w:hAnsi="Arial"/>
          <w:b w:val="1"/>
          <w:bCs w:val="1"/>
          <w:sz w:val="21"/>
          <w:szCs w:val="21"/>
          <w:rtl w:val="0"/>
        </w:rPr>
        <w:t xml:space="preserve">InterPlanetary File System (IPFS)</w:t>
      </w:r>
      <w:r w:rsidDel="00000000" w:rsidR="00000000" w:rsidRPr="00000000">
        <w:rPr>
          <w:rFonts w:ascii="Arial" w:cs="Arial" w:eastAsia="Arial" w:hAnsi="Arial"/>
          <w:sz w:val="21"/>
          <w:szCs w:val="21"/>
          <w:rtl w:val="0"/>
        </w:rPr>
        <w:t xml:space="preserve"> (Chen et al., 2025; Hasan et al., 2023; Yiu, 2021). Además, la BCT se integra frecuentemente con tecnologías del </w:t>
      </w:r>
      <w:r w:rsidDel="00000000" w:rsidR="00000000" w:rsidRPr="00000000">
        <w:rPr>
          <w:rFonts w:ascii="Arial" w:cs="Arial" w:eastAsia="Arial" w:hAnsi="Arial"/>
          <w:b w:val="1"/>
          <w:bCs w:val="1"/>
          <w:sz w:val="21"/>
          <w:szCs w:val="21"/>
          <w:rtl w:val="0"/>
        </w:rPr>
        <w:t xml:space="preserve">Internet de las Cosas (IoT)</w:t>
      </w:r>
      <w:r w:rsidDel="00000000" w:rsidR="00000000" w:rsidRPr="00000000">
        <w:rPr>
          <w:rFonts w:ascii="Arial" w:cs="Arial" w:eastAsia="Arial" w:hAnsi="Arial"/>
          <w:sz w:val="21"/>
          <w:szCs w:val="21"/>
          <w:rtl w:val="0"/>
        </w:rPr>
        <w:t xml:space="preserve">, como sensores RFID y códigos QR, para automatizar la captura de datos de forma fiable en cada etapa de la cadena (Borrero, 2019; Ferrández-Pastor, 2022; Kamilaris et al., 2019).</w:t>
      </w:r>
    </w:p>
    <w:p w:rsidR="00000000" w:rsidDel="00000000" w:rsidP="00000000" w:rsidRDefault="00000000" w:rsidRPr="00000000" w14:paraId="000000B7">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2.5. Desafíos, Brechas de Investigación y Justificación del Estudio</w:t>
      </w:r>
    </w:p>
    <w:p w:rsidR="00000000" w:rsidDel="00000000" w:rsidP="00000000" w:rsidRDefault="00000000" w:rsidRPr="00000000" w14:paraId="000000B8">
      <w:pPr>
        <w:rPr>
          <w:rFonts w:ascii="Arial" w:cs="Arial" w:eastAsia="Arial" w:hAnsi="Arial"/>
          <w:sz w:val="21"/>
          <w:szCs w:val="21"/>
        </w:rPr>
      </w:pPr>
      <w:r w:rsidDel="00000000" w:rsidR="00000000" w:rsidRPr="00000000">
        <w:rPr>
          <w:rFonts w:ascii="Arial" w:cs="Arial" w:eastAsia="Arial" w:hAnsi="Arial"/>
          <w:sz w:val="21"/>
          <w:szCs w:val="21"/>
          <w:rtl w:val="0"/>
        </w:rPr>
        <w:t xml:space="preserve">A pesar de su gran potencial, la adopción generalizada de la tecnología blockchain en la cadena de suministro agroalimentaria enfrenta una serie de desafíos técnicos, económicos y organizacionales. La literatura identifica varias barreras clave:</w:t>
      </w:r>
    </w:p>
    <w:p w:rsidR="00000000" w:rsidDel="00000000" w:rsidP="00000000" w:rsidRDefault="00000000" w:rsidRPr="00000000" w14:paraId="000000B9">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Desafíos Técnicos:</w:t>
      </w:r>
      <w:r w:rsidDel="00000000" w:rsidR="00000000" w:rsidRPr="00000000">
        <w:rPr>
          <w:rFonts w:ascii="Arial" w:cs="Arial" w:eastAsia="Arial" w:hAnsi="Arial"/>
          <w:sz w:val="21"/>
          <w:szCs w:val="21"/>
          <w:rtl w:val="0"/>
        </w:rPr>
        <w:t xml:space="preserve"> La </w:t>
      </w:r>
      <w:r w:rsidDel="00000000" w:rsidR="00000000" w:rsidRPr="00000000">
        <w:rPr>
          <w:rFonts w:ascii="Arial" w:cs="Arial" w:eastAsia="Arial" w:hAnsi="Arial"/>
          <w:b w:val="1"/>
          <w:bCs w:val="1"/>
          <w:sz w:val="21"/>
          <w:szCs w:val="21"/>
          <w:rtl w:val="0"/>
        </w:rPr>
        <w:t xml:space="preserve">escalabilidad</w:t>
      </w:r>
      <w:r w:rsidDel="00000000" w:rsidR="00000000" w:rsidRPr="00000000">
        <w:rPr>
          <w:rFonts w:ascii="Arial" w:cs="Arial" w:eastAsia="Arial" w:hAnsi="Arial"/>
          <w:sz w:val="21"/>
          <w:szCs w:val="21"/>
          <w:rtl w:val="0"/>
        </w:rPr>
        <w:t xml:space="preserve">, el </w:t>
      </w:r>
      <w:r w:rsidDel="00000000" w:rsidR="00000000" w:rsidRPr="00000000">
        <w:rPr>
          <w:rFonts w:ascii="Arial" w:cs="Arial" w:eastAsia="Arial" w:hAnsi="Arial"/>
          <w:b w:val="1"/>
          <w:bCs w:val="1"/>
          <w:sz w:val="21"/>
          <w:szCs w:val="21"/>
          <w:rtl w:val="0"/>
        </w:rPr>
        <w:t xml:space="preserve">rendimiento</w:t>
      </w:r>
      <w:r w:rsidDel="00000000" w:rsidR="00000000" w:rsidRPr="00000000">
        <w:rPr>
          <w:rFonts w:ascii="Arial" w:cs="Arial" w:eastAsia="Arial" w:hAnsi="Arial"/>
          <w:sz w:val="21"/>
          <w:szCs w:val="21"/>
          <w:rtl w:val="0"/>
        </w:rPr>
        <w:t xml:space="preserve"> (medido en transacciones por segundo o TPS) y la </w:t>
      </w:r>
      <w:r w:rsidDel="00000000" w:rsidR="00000000" w:rsidRPr="00000000">
        <w:rPr>
          <w:rFonts w:ascii="Arial" w:cs="Arial" w:eastAsia="Arial" w:hAnsi="Arial"/>
          <w:b w:val="1"/>
          <w:bCs w:val="1"/>
          <w:sz w:val="21"/>
          <w:szCs w:val="21"/>
          <w:rtl w:val="0"/>
        </w:rPr>
        <w:t xml:space="preserve">latencia</w:t>
      </w:r>
      <w:r w:rsidDel="00000000" w:rsidR="00000000" w:rsidRPr="00000000">
        <w:rPr>
          <w:rFonts w:ascii="Arial" w:cs="Arial" w:eastAsia="Arial" w:hAnsi="Arial"/>
          <w:sz w:val="21"/>
          <w:szCs w:val="21"/>
          <w:rtl w:val="0"/>
        </w:rPr>
        <w:t xml:space="preserve"> son preocupaciones importantes (Behnke &amp; Janssen, 2020; Chen et al., 2025; El Hajji et al., 2024; Kamilaris et al., 2019). El </w:t>
      </w:r>
      <w:r w:rsidDel="00000000" w:rsidR="00000000" w:rsidRPr="00000000">
        <w:rPr>
          <w:rFonts w:ascii="Arial" w:cs="Arial" w:eastAsia="Arial" w:hAnsi="Arial"/>
          <w:b w:val="1"/>
          <w:bCs w:val="1"/>
          <w:sz w:val="21"/>
          <w:szCs w:val="21"/>
          <w:rtl w:val="0"/>
        </w:rPr>
        <w:t xml:space="preserve">almacenamiento de datos</w:t>
      </w:r>
      <w:r w:rsidDel="00000000" w:rsidR="00000000" w:rsidRPr="00000000">
        <w:rPr>
          <w:rFonts w:ascii="Arial" w:cs="Arial" w:eastAsia="Arial" w:hAnsi="Arial"/>
          <w:sz w:val="21"/>
          <w:szCs w:val="21"/>
          <w:rtl w:val="0"/>
        </w:rPr>
        <w:t xml:space="preserve"> también es un problema crítico, ya que la naturaleza "solo de añadir" (</w:t>
      </w:r>
      <w:r w:rsidDel="00000000" w:rsidR="00000000" w:rsidRPr="00000000">
        <w:rPr>
          <w:rFonts w:ascii="Arial" w:cs="Arial" w:eastAsia="Arial" w:hAnsi="Arial"/>
          <w:i w:val="1"/>
          <w:iCs w:val="1"/>
          <w:sz w:val="21"/>
          <w:szCs w:val="21"/>
          <w:rtl w:val="0"/>
        </w:rPr>
        <w:t xml:space="preserve">append-only</w:t>
      </w:r>
      <w:r w:rsidDel="00000000" w:rsidR="00000000" w:rsidRPr="00000000">
        <w:rPr>
          <w:rFonts w:ascii="Arial" w:cs="Arial" w:eastAsia="Arial" w:hAnsi="Arial"/>
          <w:sz w:val="21"/>
          <w:szCs w:val="21"/>
          <w:rtl w:val="0"/>
        </w:rPr>
        <w:t xml:space="preserve">) de la blockchain puede llevar a un crecimiento lineal e insostenible del tamaño del libro mayor (Chen et al., 2025; Mirabelli &amp; Solina, 2020). La </w:t>
      </w:r>
      <w:r w:rsidDel="00000000" w:rsidR="00000000" w:rsidRPr="00000000">
        <w:rPr>
          <w:rFonts w:ascii="Arial" w:cs="Arial" w:eastAsia="Arial" w:hAnsi="Arial"/>
          <w:b w:val="1"/>
          <w:bCs w:val="1"/>
          <w:sz w:val="21"/>
          <w:szCs w:val="21"/>
          <w:rtl w:val="0"/>
        </w:rPr>
        <w:t xml:space="preserve">interoperabilidad</w:t>
      </w:r>
      <w:r w:rsidDel="00000000" w:rsidR="00000000" w:rsidRPr="00000000">
        <w:rPr>
          <w:rFonts w:ascii="Arial" w:cs="Arial" w:eastAsia="Arial" w:hAnsi="Arial"/>
          <w:sz w:val="21"/>
          <w:szCs w:val="21"/>
          <w:rtl w:val="0"/>
        </w:rPr>
        <w:t xml:space="preserve"> con los sistemas heredados (como ERPs) es otro obstáculo que dificulta la integración (Belhi et al., 2021; Ramadhana et al., 2023).</w:t>
      </w:r>
    </w:p>
    <w:p w:rsidR="00000000" w:rsidDel="00000000" w:rsidP="00000000" w:rsidRDefault="00000000" w:rsidRPr="00000000" w14:paraId="000000BA">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Desafíos Económicos y Organizacionales:</w:t>
      </w:r>
      <w:r w:rsidDel="00000000" w:rsidR="00000000" w:rsidRPr="00000000">
        <w:rPr>
          <w:rFonts w:ascii="Arial" w:cs="Arial" w:eastAsia="Arial" w:hAnsi="Arial"/>
          <w:sz w:val="21"/>
          <w:szCs w:val="21"/>
          <w:rtl w:val="0"/>
        </w:rPr>
        <w:t xml:space="preserve"> Los </w:t>
      </w:r>
      <w:r w:rsidDel="00000000" w:rsidR="00000000" w:rsidRPr="00000000">
        <w:rPr>
          <w:rFonts w:ascii="Arial" w:cs="Arial" w:eastAsia="Arial" w:hAnsi="Arial"/>
          <w:b w:val="1"/>
          <w:bCs w:val="1"/>
          <w:sz w:val="21"/>
          <w:szCs w:val="21"/>
          <w:rtl w:val="0"/>
        </w:rPr>
        <w:t xml:space="preserve">altos costos de implementación</w:t>
      </w:r>
      <w:r w:rsidDel="00000000" w:rsidR="00000000" w:rsidRPr="00000000">
        <w:rPr>
          <w:rFonts w:ascii="Arial" w:cs="Arial" w:eastAsia="Arial" w:hAnsi="Arial"/>
          <w:sz w:val="21"/>
          <w:szCs w:val="21"/>
          <w:rtl w:val="0"/>
        </w:rPr>
        <w:t xml:space="preserve"> y mantenimiento son una barrera significativa, especialmente para los pequeños productores y las cooperativas con recursos limitados (Badea et al., 2024; Chen et al., 2025; Steinke et al., 2024). A esto se suma la </w:t>
      </w:r>
      <w:r w:rsidDel="00000000" w:rsidR="00000000" w:rsidRPr="00000000">
        <w:rPr>
          <w:rFonts w:ascii="Arial" w:cs="Arial" w:eastAsia="Arial" w:hAnsi="Arial"/>
          <w:b w:val="1"/>
          <w:bCs w:val="1"/>
          <w:sz w:val="21"/>
          <w:szCs w:val="21"/>
          <w:rtl w:val="0"/>
        </w:rPr>
        <w:t xml:space="preserve">falta de alfabetización digital</w:t>
      </w:r>
      <w:r w:rsidDel="00000000" w:rsidR="00000000" w:rsidRPr="00000000">
        <w:rPr>
          <w:rFonts w:ascii="Arial" w:cs="Arial" w:eastAsia="Arial" w:hAnsi="Arial"/>
          <w:sz w:val="21"/>
          <w:szCs w:val="21"/>
          <w:rtl w:val="0"/>
        </w:rPr>
        <w:t xml:space="preserve"> entre los agricultores, la resistencia al cambio y la ausencia de </w:t>
      </w:r>
      <w:r w:rsidDel="00000000" w:rsidR="00000000" w:rsidRPr="00000000">
        <w:rPr>
          <w:rFonts w:ascii="Arial" w:cs="Arial" w:eastAsia="Arial" w:hAnsi="Arial"/>
          <w:b w:val="1"/>
          <w:bCs w:val="1"/>
          <w:sz w:val="21"/>
          <w:szCs w:val="21"/>
          <w:rtl w:val="0"/>
        </w:rPr>
        <w:t xml:space="preserve">marcos regulatorios</w:t>
      </w:r>
      <w:r w:rsidDel="00000000" w:rsidR="00000000" w:rsidRPr="00000000">
        <w:rPr>
          <w:rFonts w:ascii="Arial" w:cs="Arial" w:eastAsia="Arial" w:hAnsi="Arial"/>
          <w:sz w:val="21"/>
          <w:szCs w:val="21"/>
          <w:rtl w:val="0"/>
        </w:rPr>
        <w:t xml:space="preserve"> claros (Badea et al., 2024; Kamilaris et al., 2019; Steinke et al., 2024).</w:t>
      </w:r>
    </w:p>
    <w:p w:rsidR="00000000" w:rsidDel="00000000" w:rsidP="00000000" w:rsidRDefault="00000000" w:rsidRPr="00000000" w14:paraId="000000BB">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El Problema del Oráculo o la Integridad de los Datos de Entrada:</w:t>
      </w:r>
      <w:r w:rsidDel="00000000" w:rsidR="00000000" w:rsidRPr="00000000">
        <w:rPr>
          <w:rFonts w:ascii="Arial" w:cs="Arial" w:eastAsia="Arial" w:hAnsi="Arial"/>
          <w:sz w:val="21"/>
          <w:szCs w:val="21"/>
          <w:rtl w:val="0"/>
        </w:rPr>
        <w:t xml:space="preserve"> Una de las críticas más fundamentales es que, si bien la blockchain garantiza la inmutabilidad de los datos </w:t>
      </w:r>
      <w:r w:rsidDel="00000000" w:rsidR="00000000" w:rsidRPr="00000000">
        <w:rPr>
          <w:rFonts w:ascii="Arial" w:cs="Arial" w:eastAsia="Arial" w:hAnsi="Arial"/>
          <w:i w:val="1"/>
          <w:iCs w:val="1"/>
          <w:sz w:val="21"/>
          <w:szCs w:val="21"/>
          <w:rtl w:val="0"/>
        </w:rPr>
        <w:t xml:space="preserve">una vez que están en la cadena</w:t>
      </w:r>
      <w:r w:rsidDel="00000000" w:rsidR="00000000" w:rsidRPr="00000000">
        <w:rPr>
          <w:rFonts w:ascii="Arial" w:cs="Arial" w:eastAsia="Arial" w:hAnsi="Arial"/>
          <w:sz w:val="21"/>
          <w:szCs w:val="21"/>
          <w:rtl w:val="0"/>
        </w:rPr>
        <w:t xml:space="preserve">, no puede garantizar la veracidad de los datos que se introducen en primer lugar (Borrero, 2019; Mirabelli &amp; Solina, 2020). Si se introduce información falsa, la blockchain la registrará de forma inmutable, perpetuando el dato incorrecto (Steinke et al., 2024).</w:t>
      </w:r>
    </w:p>
    <w:p w:rsidR="00000000" w:rsidDel="00000000" w:rsidP="00000000" w:rsidRDefault="00000000" w:rsidRPr="00000000" w14:paraId="000000BC">
      <w:pPr>
        <w:rPr>
          <w:rFonts w:ascii="Arial" w:cs="Arial" w:eastAsia="Arial" w:hAnsi="Arial"/>
          <w:sz w:val="21"/>
          <w:szCs w:val="21"/>
        </w:rPr>
      </w:pPr>
      <w:r w:rsidDel="00000000" w:rsidR="00000000" w:rsidRPr="00000000">
        <w:rPr>
          <w:rFonts w:ascii="Arial" w:cs="Arial" w:eastAsia="Arial" w:hAnsi="Arial"/>
          <w:sz w:val="21"/>
          <w:szCs w:val="21"/>
          <w:rtl w:val="0"/>
        </w:rPr>
        <w:t xml:space="preserve">La revisión de la literatura revela una brecha de conocimiento significativa. Aunque existen numerosos estudios conceptuales y pruebas de concepto (PoC), hay una escasez de investigaciones empíricas que evalúen cuantitativamente el impacto de diferentes </w:t>
      </w:r>
      <w:r w:rsidDel="00000000" w:rsidR="00000000" w:rsidRPr="00000000">
        <w:rPr>
          <w:rFonts w:ascii="Arial" w:cs="Arial" w:eastAsia="Arial" w:hAnsi="Arial"/>
          <w:b w:val="1"/>
          <w:bCs w:val="1"/>
          <w:sz w:val="21"/>
          <w:szCs w:val="21"/>
          <w:rtl w:val="0"/>
        </w:rPr>
        <w:t xml:space="preserve">arquitecturas de blockchain</w:t>
      </w:r>
      <w:r w:rsidDel="00000000" w:rsidR="00000000" w:rsidRPr="00000000">
        <w:rPr>
          <w:rFonts w:ascii="Arial" w:cs="Arial" w:eastAsia="Arial" w:hAnsi="Arial"/>
          <w:sz w:val="21"/>
          <w:szCs w:val="21"/>
          <w:rtl w:val="0"/>
        </w:rPr>
        <w:t xml:space="preserve"> en la </w:t>
      </w:r>
      <w:r w:rsidDel="00000000" w:rsidR="00000000" w:rsidRPr="00000000">
        <w:rPr>
          <w:rFonts w:ascii="Arial" w:cs="Arial" w:eastAsia="Arial" w:hAnsi="Arial"/>
          <w:b w:val="1"/>
          <w:bCs w:val="1"/>
          <w:sz w:val="21"/>
          <w:szCs w:val="21"/>
          <w:rtl w:val="0"/>
        </w:rPr>
        <w:t xml:space="preserve">mejora de la trazabilidad</w:t>
      </w:r>
      <w:r w:rsidDel="00000000" w:rsidR="00000000" w:rsidRPr="00000000">
        <w:rPr>
          <w:rFonts w:ascii="Arial" w:cs="Arial" w:eastAsia="Arial" w:hAnsi="Arial"/>
          <w:sz w:val="21"/>
          <w:szCs w:val="21"/>
          <w:rtl w:val="0"/>
        </w:rPr>
        <w:t xml:space="preserve"> en contextos específicos (Borrero, 2019; Kamilaris et al., 2019; Mirabelli &amp; Solina, 2020). La mayoría de los trabajos se centran en los beneficios teóricos sin analizar las compensaciones prácticas entre rendimiento, costo y escalabilidad de las diferentes opciones arquitectónicas.</w:t>
      </w:r>
    </w:p>
    <w:p w:rsidR="00000000" w:rsidDel="00000000" w:rsidP="00000000" w:rsidRDefault="00000000" w:rsidRPr="00000000" w14:paraId="000000BD">
      <w:pPr>
        <w:rPr>
          <w:rFonts w:ascii="Arial" w:cs="Arial" w:eastAsia="Arial" w:hAnsi="Arial"/>
          <w:sz w:val="21"/>
          <w:szCs w:val="21"/>
        </w:rPr>
      </w:pPr>
      <w:r w:rsidDel="00000000" w:rsidR="00000000" w:rsidRPr="00000000">
        <w:rPr>
          <w:rFonts w:ascii="Arial" w:cs="Arial" w:eastAsia="Arial" w:hAnsi="Arial"/>
          <w:sz w:val="21"/>
          <w:szCs w:val="21"/>
          <w:rtl w:val="0"/>
        </w:rPr>
        <w:t xml:space="preserve">Este estudio se propone llenar esta brecha investigando la relación correlacional entre las dimensiones cuantitativas de la </w:t>
      </w:r>
      <w:r w:rsidDel="00000000" w:rsidR="00000000" w:rsidRPr="00000000">
        <w:rPr>
          <w:rFonts w:ascii="Arial" w:cs="Arial" w:eastAsia="Arial" w:hAnsi="Arial"/>
          <w:i w:val="1"/>
          <w:iCs w:val="1"/>
          <w:sz w:val="21"/>
          <w:szCs w:val="21"/>
          <w:rtl w:val="0"/>
        </w:rPr>
        <w:t xml:space="preserve">arquitectura de blockchain</w:t>
      </w:r>
      <w:r w:rsidDel="00000000" w:rsidR="00000000" w:rsidRPr="00000000">
        <w:rPr>
          <w:rFonts w:ascii="Arial" w:cs="Arial" w:eastAsia="Arial" w:hAnsi="Arial"/>
          <w:sz w:val="21"/>
          <w:szCs w:val="21"/>
          <w:rtl w:val="0"/>
        </w:rPr>
        <w:t xml:space="preserve"> (variable independiente) y las dimensiones cuantitativas de la </w:t>
      </w:r>
      <w:r w:rsidDel="00000000" w:rsidR="00000000" w:rsidRPr="00000000">
        <w:rPr>
          <w:rFonts w:ascii="Arial" w:cs="Arial" w:eastAsia="Arial" w:hAnsi="Arial"/>
          <w:i w:val="1"/>
          <w:iCs w:val="1"/>
          <w:sz w:val="21"/>
          <w:szCs w:val="21"/>
          <w:rtl w:val="0"/>
        </w:rPr>
        <w:t xml:space="preserve">trazabilidad</w:t>
      </w:r>
      <w:r w:rsidDel="00000000" w:rsidR="00000000" w:rsidRPr="00000000">
        <w:rPr>
          <w:rFonts w:ascii="Arial" w:cs="Arial" w:eastAsia="Arial" w:hAnsi="Arial"/>
          <w:sz w:val="21"/>
          <w:szCs w:val="21"/>
          <w:rtl w:val="0"/>
        </w:rPr>
        <w:t xml:space="preserve"> (variable dependiente) en el contexto específico de las </w:t>
      </w:r>
      <w:r w:rsidDel="00000000" w:rsidR="00000000" w:rsidRPr="00000000">
        <w:rPr>
          <w:rFonts w:ascii="Arial" w:cs="Arial" w:eastAsia="Arial" w:hAnsi="Arial"/>
          <w:b w:val="1"/>
          <w:bCs w:val="1"/>
          <w:sz w:val="21"/>
          <w:szCs w:val="21"/>
          <w:rtl w:val="0"/>
        </w:rPr>
        <w:t xml:space="preserve">cooperativas agrarias peruanas</w:t>
      </w:r>
      <w:r w:rsidDel="00000000" w:rsidR="00000000" w:rsidRPr="00000000">
        <w:rPr>
          <w:rFonts w:ascii="Arial" w:cs="Arial" w:eastAsia="Arial" w:hAnsi="Arial"/>
          <w:sz w:val="21"/>
          <w:szCs w:val="21"/>
          <w:rtl w:val="0"/>
        </w:rPr>
        <w:t xml:space="preserve">. Al hacerlo, esta investigación no solo contribuirá al cuerpo académico de conocimiento, sino que también proporcionará orientación práctica para las cooperativas y los responsables políticos sobre cómo seleccionar e implementar la arquitectura de blockchain más efectiva para mejorar la transparencia, la competitividad y la sostenibilidad de sus cadenas de suministro (Borrero, 2019; Steinke et al., 2024).</w:t>
      </w:r>
    </w:p>
    <w:p w:rsidR="00000000" w:rsidDel="00000000" w:rsidP="00000000" w:rsidRDefault="00000000" w:rsidRPr="00000000" w14:paraId="000000BE">
      <w:pP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3. Metodología</w:t>
      </w:r>
    </w:p>
    <w:p w:rsidR="00000000" w:rsidDel="00000000" w:rsidP="00000000" w:rsidRDefault="00000000" w:rsidRPr="00000000" w14:paraId="000000C2">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3.1 Enfoque y Diseño de la Investigación</w:t>
      </w:r>
    </w:p>
    <w:p w:rsidR="00000000" w:rsidDel="00000000" w:rsidP="00000000" w:rsidRDefault="00000000" w:rsidRPr="00000000" w14:paraId="000000C3">
      <w:pPr>
        <w:rPr>
          <w:rFonts w:ascii="Arial" w:cs="Arial" w:eastAsia="Arial" w:hAnsi="Arial"/>
          <w:sz w:val="21"/>
          <w:szCs w:val="21"/>
        </w:rPr>
      </w:pPr>
      <w:r w:rsidDel="00000000" w:rsidR="00000000" w:rsidRPr="00000000">
        <w:rPr>
          <w:rFonts w:ascii="Arial" w:cs="Arial" w:eastAsia="Arial" w:hAnsi="Arial"/>
          <w:sz w:val="21"/>
          <w:szCs w:val="21"/>
          <w:rtl w:val="0"/>
        </w:rPr>
        <w:t xml:space="preserve">La presente investigación adopta un </w:t>
      </w:r>
      <w:r w:rsidDel="00000000" w:rsidR="00000000" w:rsidRPr="00000000">
        <w:rPr>
          <w:rFonts w:ascii="Arial" w:cs="Arial" w:eastAsia="Arial" w:hAnsi="Arial"/>
          <w:b w:val="1"/>
          <w:bCs w:val="1"/>
          <w:sz w:val="21"/>
          <w:szCs w:val="21"/>
          <w:rtl w:val="0"/>
        </w:rPr>
        <w:t xml:space="preserve">enfoque cuantitativo</w:t>
      </w:r>
      <w:r w:rsidDel="00000000" w:rsidR="00000000" w:rsidRPr="00000000">
        <w:rPr>
          <w:rFonts w:ascii="Arial" w:cs="Arial" w:eastAsia="Arial" w:hAnsi="Arial"/>
          <w:sz w:val="21"/>
          <w:szCs w:val="21"/>
          <w:rtl w:val="0"/>
        </w:rPr>
        <w:t xml:space="preserve">, ya que se centra en la recolección y análisis de datos numéricos para medir las variables y probar las hipótesis planteadas. El estudio es de tipo </w:t>
      </w:r>
      <w:r w:rsidDel="00000000" w:rsidR="00000000" w:rsidRPr="00000000">
        <w:rPr>
          <w:rFonts w:ascii="Arial" w:cs="Arial" w:eastAsia="Arial" w:hAnsi="Arial"/>
          <w:b w:val="1"/>
          <w:bCs w:val="1"/>
          <w:sz w:val="21"/>
          <w:szCs w:val="21"/>
          <w:rtl w:val="0"/>
        </w:rPr>
        <w:t xml:space="preserve">aplicado</w:t>
      </w:r>
      <w:r w:rsidDel="00000000" w:rsidR="00000000" w:rsidRPr="00000000">
        <w:rPr>
          <w:rFonts w:ascii="Arial" w:cs="Arial" w:eastAsia="Arial" w:hAnsi="Arial"/>
          <w:sz w:val="21"/>
          <w:szCs w:val="21"/>
          <w:rtl w:val="0"/>
        </w:rPr>
        <w:t xml:space="preserve">, pues busca resolver un problema práctico y específico: la deficiente trazabilidad en la cadena de suministro de las cooperativas agrarias peruanas mediante la implementación de una solución tecnológica (Borrero, 2019).</w:t>
      </w:r>
    </w:p>
    <w:p w:rsidR="00000000" w:rsidDel="00000000" w:rsidP="00000000" w:rsidRDefault="00000000" w:rsidRPr="00000000" w14:paraId="000000C4">
      <w:pPr>
        <w:rPr>
          <w:rFonts w:ascii="Arial" w:cs="Arial" w:eastAsia="Arial" w:hAnsi="Arial"/>
          <w:sz w:val="21"/>
          <w:szCs w:val="21"/>
        </w:rPr>
      </w:pPr>
      <w:r w:rsidDel="00000000" w:rsidR="00000000" w:rsidRPr="00000000">
        <w:rPr>
          <w:rFonts w:ascii="Arial" w:cs="Arial" w:eastAsia="Arial" w:hAnsi="Arial"/>
          <w:sz w:val="21"/>
          <w:szCs w:val="21"/>
          <w:rtl w:val="0"/>
        </w:rPr>
        <w:t xml:space="preserve">El nivel de la investigación es </w:t>
      </w:r>
      <w:r w:rsidDel="00000000" w:rsidR="00000000" w:rsidRPr="00000000">
        <w:rPr>
          <w:rFonts w:ascii="Arial" w:cs="Arial" w:eastAsia="Arial" w:hAnsi="Arial"/>
          <w:b w:val="1"/>
          <w:bCs w:val="1"/>
          <w:sz w:val="21"/>
          <w:szCs w:val="21"/>
          <w:rtl w:val="0"/>
        </w:rPr>
        <w:t xml:space="preserve">correlacional</w:t>
      </w:r>
      <w:r w:rsidDel="00000000" w:rsidR="00000000" w:rsidRPr="00000000">
        <w:rPr>
          <w:rFonts w:ascii="Arial" w:cs="Arial" w:eastAsia="Arial" w:hAnsi="Arial"/>
          <w:sz w:val="21"/>
          <w:szCs w:val="21"/>
          <w:rtl w:val="0"/>
        </w:rPr>
        <w:t xml:space="preserve">, dado que su objetivo principal es determinar el grado de relación e influencia entre la variable independiente (Arquitectura de blockchain) y la variable dependiente (Trazabilidad), así como entre sus respectivas dimensiones cuantitativas.</w:t>
      </w:r>
    </w:p>
    <w:p w:rsidR="00000000" w:rsidDel="00000000" w:rsidP="00000000" w:rsidRDefault="00000000" w:rsidRPr="00000000" w14:paraId="000000C5">
      <w:pPr>
        <w:rPr>
          <w:rFonts w:ascii="Arial" w:cs="Arial" w:eastAsia="Arial" w:hAnsi="Arial"/>
          <w:sz w:val="21"/>
          <w:szCs w:val="21"/>
        </w:rPr>
      </w:pPr>
      <w:r w:rsidDel="00000000" w:rsidR="00000000" w:rsidRPr="00000000">
        <w:rPr>
          <w:rFonts w:ascii="Arial" w:cs="Arial" w:eastAsia="Arial" w:hAnsi="Arial"/>
          <w:sz w:val="21"/>
          <w:szCs w:val="21"/>
          <w:rtl w:val="0"/>
        </w:rPr>
        <w:t xml:space="preserve">Se utilizará un </w:t>
      </w:r>
      <w:r w:rsidDel="00000000" w:rsidR="00000000" w:rsidRPr="00000000">
        <w:rPr>
          <w:rFonts w:ascii="Arial" w:cs="Arial" w:eastAsia="Arial" w:hAnsi="Arial"/>
          <w:b w:val="1"/>
          <w:bCs w:val="1"/>
          <w:sz w:val="21"/>
          <w:szCs w:val="21"/>
          <w:rtl w:val="0"/>
        </w:rPr>
        <w:t xml:space="preserve">diseño experimental y transversal</w:t>
      </w:r>
      <w:r w:rsidDel="00000000" w:rsidR="00000000" w:rsidRPr="00000000">
        <w:rPr>
          <w:rFonts w:ascii="Arial" w:cs="Arial" w:eastAsia="Arial" w:hAnsi="Arial"/>
          <w:sz w:val="21"/>
          <w:szCs w:val="21"/>
          <w:rtl w:val="0"/>
        </w:rPr>
        <w:t xml:space="preserve">. Es </w:t>
      </w:r>
      <w:r w:rsidDel="00000000" w:rsidR="00000000" w:rsidRPr="00000000">
        <w:rPr>
          <w:rFonts w:ascii="Arial" w:cs="Arial" w:eastAsia="Arial" w:hAnsi="Arial"/>
          <w:b w:val="1"/>
          <w:bCs w:val="1"/>
          <w:sz w:val="21"/>
          <w:szCs w:val="21"/>
          <w:rtl w:val="0"/>
        </w:rPr>
        <w:t xml:space="preserve">experimental</w:t>
      </w:r>
      <w:r w:rsidDel="00000000" w:rsidR="00000000" w:rsidRPr="00000000">
        <w:rPr>
          <w:rFonts w:ascii="Arial" w:cs="Arial" w:eastAsia="Arial" w:hAnsi="Arial"/>
          <w:sz w:val="21"/>
          <w:szCs w:val="21"/>
          <w:rtl w:val="0"/>
        </w:rPr>
        <w:t xml:space="preserve"> porque se implementará y evaluará un prototipo o prueba de concepto (PoC) de una arquitectura de blockchain en un entorno controlado y simulado para medir su rendimiento y eficacia (Borrero, 2019; Chen et al., 2025; Ciotta et al., 2021; Ferrández-Pastor et al., 2022). El diseño es </w:t>
      </w:r>
      <w:r w:rsidDel="00000000" w:rsidR="00000000" w:rsidRPr="00000000">
        <w:rPr>
          <w:rFonts w:ascii="Arial" w:cs="Arial" w:eastAsia="Arial" w:hAnsi="Arial"/>
          <w:b w:val="1"/>
          <w:bCs w:val="1"/>
          <w:sz w:val="21"/>
          <w:szCs w:val="21"/>
          <w:rtl w:val="0"/>
        </w:rPr>
        <w:t xml:space="preserve">transversal</w:t>
      </w:r>
      <w:r w:rsidDel="00000000" w:rsidR="00000000" w:rsidRPr="00000000">
        <w:rPr>
          <w:rFonts w:ascii="Arial" w:cs="Arial" w:eastAsia="Arial" w:hAnsi="Arial"/>
          <w:sz w:val="21"/>
          <w:szCs w:val="21"/>
          <w:rtl w:val="0"/>
        </w:rPr>
        <w:t xml:space="preserve"> porque la recolección de datos sobre las variables se realizará en un único momento, correspondiendo a la ejecución de las simulaciones proyectadas para el año 2025.</w:t>
      </w:r>
    </w:p>
    <w:p w:rsidR="00000000" w:rsidDel="00000000" w:rsidP="00000000" w:rsidRDefault="00000000" w:rsidRPr="00000000" w14:paraId="000000C6">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3.2 Población y Muestra</w:t>
      </w:r>
    </w:p>
    <w:p w:rsidR="00000000" w:rsidDel="00000000" w:rsidP="00000000" w:rsidRDefault="00000000" w:rsidRPr="00000000" w14:paraId="000000C7">
      <w:pPr>
        <w:rPr>
          <w:rFonts w:ascii="Arial" w:cs="Arial" w:eastAsia="Arial" w:hAnsi="Arial"/>
          <w:sz w:val="21"/>
          <w:szCs w:val="21"/>
        </w:rPr>
      </w:pPr>
      <w:r w:rsidDel="00000000" w:rsidR="00000000" w:rsidRPr="00000000">
        <w:rPr>
          <w:rFonts w:ascii="Arial" w:cs="Arial" w:eastAsia="Arial" w:hAnsi="Arial"/>
          <w:sz w:val="21"/>
          <w:szCs w:val="21"/>
          <w:rtl w:val="0"/>
        </w:rPr>
        <w:t xml:space="preserve">La </w:t>
      </w:r>
      <w:r w:rsidDel="00000000" w:rsidR="00000000" w:rsidRPr="00000000">
        <w:rPr>
          <w:rFonts w:ascii="Arial" w:cs="Arial" w:eastAsia="Arial" w:hAnsi="Arial"/>
          <w:b w:val="1"/>
          <w:bCs w:val="1"/>
          <w:sz w:val="21"/>
          <w:szCs w:val="21"/>
          <w:rtl w:val="0"/>
        </w:rPr>
        <w:t xml:space="preserve">población</w:t>
      </w:r>
      <w:r w:rsidDel="00000000" w:rsidR="00000000" w:rsidRPr="00000000">
        <w:rPr>
          <w:rFonts w:ascii="Arial" w:cs="Arial" w:eastAsia="Arial" w:hAnsi="Arial"/>
          <w:sz w:val="21"/>
          <w:szCs w:val="21"/>
          <w:rtl w:val="0"/>
        </w:rPr>
        <w:t xml:space="preserve"> de estudio está conformada por las cooperativas agrarias del Perú, con especial énfasis en aquellas que se dedican a la producción y exportación de productos de alto valor como el cacao, el café o los anacardos, donde la trazabilidad y la certificación de origen son críticas para la competitividad (Borrero, 2019; Chu &amp; Pham, 2022; Steinke et al., 2024).</w:t>
      </w:r>
    </w:p>
    <w:p w:rsidR="00000000" w:rsidDel="00000000" w:rsidP="00000000" w:rsidRDefault="00000000" w:rsidRPr="00000000" w14:paraId="000000C8">
      <w:pPr>
        <w:rPr>
          <w:rFonts w:ascii="Arial" w:cs="Arial" w:eastAsia="Arial" w:hAnsi="Arial"/>
          <w:sz w:val="21"/>
          <w:szCs w:val="21"/>
        </w:rPr>
      </w:pPr>
      <w:r w:rsidDel="00000000" w:rsidR="00000000" w:rsidRPr="00000000">
        <w:rPr>
          <w:rFonts w:ascii="Arial" w:cs="Arial" w:eastAsia="Arial" w:hAnsi="Arial"/>
          <w:sz w:val="21"/>
          <w:szCs w:val="21"/>
          <w:rtl w:val="0"/>
        </w:rPr>
        <w:t xml:space="preserve">Dado el diseño experimental, la </w:t>
      </w:r>
      <w:r w:rsidDel="00000000" w:rsidR="00000000" w:rsidRPr="00000000">
        <w:rPr>
          <w:rFonts w:ascii="Arial" w:cs="Arial" w:eastAsia="Arial" w:hAnsi="Arial"/>
          <w:b w:val="1"/>
          <w:bCs w:val="1"/>
          <w:sz w:val="21"/>
          <w:szCs w:val="21"/>
          <w:rtl w:val="0"/>
        </w:rPr>
        <w:t xml:space="preserve">muestra</w:t>
      </w:r>
      <w:r w:rsidDel="00000000" w:rsidR="00000000" w:rsidRPr="00000000">
        <w:rPr>
          <w:rFonts w:ascii="Arial" w:cs="Arial" w:eastAsia="Arial" w:hAnsi="Arial"/>
          <w:sz w:val="21"/>
          <w:szCs w:val="21"/>
          <w:rtl w:val="0"/>
        </w:rPr>
        <w:t xml:space="preserve"> consistirá en un entorno de red simulado que representará una cadena de suministro agroalimentaria típica de una cooperativa peruana. Este entorno estará compuesto por un número definido de nodos que emularán a los diferentes actores de la cadena, tales como agricultores, la cooperativa (como procesador y agregador), proveedores de insumos, transportistas, distribuidores y minoristas (Borrero, 2019; El Hajji et al., 2024; Hasan et al., 2023). La simulación incluirá una configuración de red con un número representativo de participantes para evaluar la escalabilidad del sistema (e.g., 50 agricultores, 20 distribuidores, etc.), similar a las configuraciones de prueba utilizadas en estudios de rendimiento de blockchain (El Hajji et al., 2024).</w:t>
      </w:r>
    </w:p>
    <w:p w:rsidR="00000000" w:rsidDel="00000000" w:rsidP="00000000" w:rsidRDefault="00000000" w:rsidRPr="00000000" w14:paraId="000000C9">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3.3 Variables y Operacionalización</w:t>
      </w:r>
    </w:p>
    <w:p w:rsidR="00000000" w:rsidDel="00000000" w:rsidP="00000000" w:rsidRDefault="00000000" w:rsidRPr="00000000" w14:paraId="000000CA">
      <w:pPr>
        <w:rPr>
          <w:rFonts w:ascii="Arial" w:cs="Arial" w:eastAsia="Arial" w:hAnsi="Arial"/>
          <w:sz w:val="21"/>
          <w:szCs w:val="21"/>
        </w:rPr>
      </w:pPr>
      <w:r w:rsidDel="00000000" w:rsidR="00000000" w:rsidRPr="00000000">
        <w:rPr>
          <w:rFonts w:ascii="Arial" w:cs="Arial" w:eastAsia="Arial" w:hAnsi="Arial"/>
          <w:sz w:val="21"/>
          <w:szCs w:val="21"/>
          <w:rtl w:val="0"/>
        </w:rPr>
        <w:t xml:space="preserve">Las variables del estudio son de naturaleza cuantitativa y se operacionalizarán de la siguiente manera:</w:t>
      </w:r>
    </w:p>
    <w:p w:rsidR="00000000" w:rsidDel="00000000" w:rsidP="00000000" w:rsidRDefault="00000000" w:rsidRPr="00000000" w14:paraId="000000CB">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Variable Independiente: Arquitectura de blockchain (Cuantitativa)</w:t>
      </w:r>
    </w:p>
    <w:p w:rsidR="00000000" w:rsidDel="00000000" w:rsidP="00000000" w:rsidRDefault="00000000" w:rsidRPr="00000000" w14:paraId="000000CC">
      <w:pPr>
        <w:rPr>
          <w:rFonts w:ascii="Arial" w:cs="Arial" w:eastAsia="Arial" w:hAnsi="Arial"/>
          <w:sz w:val="21"/>
          <w:szCs w:val="21"/>
        </w:rPr>
      </w:pPr>
      <w:r w:rsidDel="00000000" w:rsidR="00000000" w:rsidRPr="00000000">
        <w:rPr>
          <w:rFonts w:ascii="Arial" w:cs="Arial" w:eastAsia="Arial" w:hAnsi="Arial"/>
          <w:sz w:val="21"/>
          <w:szCs w:val="21"/>
          <w:rtl w:val="0"/>
        </w:rPr>
        <w:t xml:space="preserve">Esta variable se medirá a través de las siguientes dimensiones de rendimiento de la red:</w:t>
      </w:r>
    </w:p>
    <w:p w:rsidR="00000000" w:rsidDel="00000000" w:rsidP="00000000" w:rsidRDefault="00000000" w:rsidRPr="00000000" w14:paraId="000000CD">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Rendimiento Promedio (TPS):</w:t>
      </w:r>
      <w:r w:rsidDel="00000000" w:rsidR="00000000" w:rsidRPr="00000000">
        <w:rPr>
          <w:rFonts w:ascii="Arial" w:cs="Arial" w:eastAsia="Arial" w:hAnsi="Arial"/>
          <w:sz w:val="21"/>
          <w:szCs w:val="21"/>
          <w:rtl w:val="0"/>
        </w:rPr>
        <w:t xml:space="preserve"> Se medirá como el número de transacciones completadas y confirmadas con éxito por segundo (TPS). Esta métrica es un indicador clave de la capacidad y escalabilidad de la red (El Hajji et al., 2024).</w:t>
      </w:r>
    </w:p>
    <w:p w:rsidR="00000000" w:rsidDel="00000000" w:rsidP="00000000" w:rsidRDefault="00000000" w:rsidRPr="00000000" w14:paraId="000000CE">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Latencia:</w:t>
      </w:r>
      <w:r w:rsidDel="00000000" w:rsidR="00000000" w:rsidRPr="00000000">
        <w:rPr>
          <w:rFonts w:ascii="Arial" w:cs="Arial" w:eastAsia="Arial" w:hAnsi="Arial"/>
          <w:sz w:val="21"/>
          <w:szCs w:val="21"/>
          <w:rtl w:val="0"/>
        </w:rPr>
        <w:t xml:space="preserve"> Se medirá como el tiempo promedio (en segundos o milisegundos) que transcurre desde que una transacción es enviada a la red hasta que es confirmada e incluida en un bloque del libro mayor (Hasan et al., 2023; El Hajji et al., 2024).</w:t>
      </w:r>
    </w:p>
    <w:p w:rsidR="00000000" w:rsidDel="00000000" w:rsidP="00000000" w:rsidRDefault="00000000" w:rsidRPr="00000000" w14:paraId="000000CF">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Capacidad de Almacenamiento:</w:t>
      </w:r>
      <w:r w:rsidDel="00000000" w:rsidR="00000000" w:rsidRPr="00000000">
        <w:rPr>
          <w:rFonts w:ascii="Arial" w:cs="Arial" w:eastAsia="Arial" w:hAnsi="Arial"/>
          <w:sz w:val="21"/>
          <w:szCs w:val="21"/>
          <w:rtl w:val="0"/>
        </w:rPr>
        <w:t xml:space="preserve"> Se medirá como el espacio total en disco (en KB, MB o TB) requerido para almacenar el libro mayor de la blockchain después de un período de operación simulado (Chen et al., 2025).</w:t>
      </w:r>
    </w:p>
    <w:p w:rsidR="00000000" w:rsidDel="00000000" w:rsidP="00000000" w:rsidRDefault="00000000" w:rsidRPr="00000000" w14:paraId="000000D0">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Tasa de Crecimiento del Almacenamiento:</w:t>
      </w:r>
      <w:r w:rsidDel="00000000" w:rsidR="00000000" w:rsidRPr="00000000">
        <w:rPr>
          <w:rFonts w:ascii="Arial" w:cs="Arial" w:eastAsia="Arial" w:hAnsi="Arial"/>
          <w:sz w:val="21"/>
          <w:szCs w:val="21"/>
          <w:rtl w:val="0"/>
        </w:rPr>
        <w:t xml:space="preserve"> Se medirá como el aumento del tamaño del libro mayor en función del tiempo. Se analizará si el crecimiento es lineal o si puede ser optimizado a un nivel constante mediante técnicas de gestión de datos, como la eliminación de datos expirados (Chen et al., 2025).</w:t>
      </w:r>
    </w:p>
    <w:p w:rsidR="00000000" w:rsidDel="00000000" w:rsidP="00000000" w:rsidRDefault="00000000" w:rsidRPr="00000000" w14:paraId="000000D1">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Tamaño Promedio de Registro/Transacción:</w:t>
      </w:r>
      <w:r w:rsidDel="00000000" w:rsidR="00000000" w:rsidRPr="00000000">
        <w:rPr>
          <w:rFonts w:ascii="Arial" w:cs="Arial" w:eastAsia="Arial" w:hAnsi="Arial"/>
          <w:sz w:val="21"/>
          <w:szCs w:val="21"/>
          <w:rtl w:val="0"/>
        </w:rPr>
        <w:t xml:space="preserve"> Se medirá como el tamaño promedio en bytes de un único registro de trazabilidad añadido a la blockchain (Chen et al., 2025).</w:t>
      </w:r>
    </w:p>
    <w:p w:rsidR="00000000" w:rsidDel="00000000" w:rsidP="00000000" w:rsidRDefault="00000000" w:rsidRPr="00000000" w14:paraId="000000D2">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Variable Dependiente: Trazabilidad (Cuantitativa)</w:t>
      </w:r>
    </w:p>
    <w:p w:rsidR="00000000" w:rsidDel="00000000" w:rsidP="00000000" w:rsidRDefault="00000000" w:rsidRPr="00000000" w14:paraId="000000D3">
      <w:pPr>
        <w:rPr>
          <w:rFonts w:ascii="Arial" w:cs="Arial" w:eastAsia="Arial" w:hAnsi="Arial"/>
          <w:sz w:val="21"/>
          <w:szCs w:val="21"/>
        </w:rPr>
      </w:pPr>
      <w:r w:rsidDel="00000000" w:rsidR="00000000" w:rsidRPr="00000000">
        <w:rPr>
          <w:rFonts w:ascii="Arial" w:cs="Arial" w:eastAsia="Arial" w:hAnsi="Arial"/>
          <w:sz w:val="21"/>
          <w:szCs w:val="21"/>
          <w:rtl w:val="0"/>
        </w:rPr>
        <w:t xml:space="preserve">Esta variable evaluará la exhaustividad y eficiencia del sistema de trazabilidad a través de las siguientes dimensiones:</w:t>
      </w:r>
    </w:p>
    <w:p w:rsidR="00000000" w:rsidDel="00000000" w:rsidP="00000000" w:rsidRDefault="00000000" w:rsidRPr="00000000" w14:paraId="000000D4">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Profundidad de la Trazabilidad:</w:t>
      </w:r>
      <w:r w:rsidDel="00000000" w:rsidR="00000000" w:rsidRPr="00000000">
        <w:rPr>
          <w:rFonts w:ascii="Arial" w:cs="Arial" w:eastAsia="Arial" w:hAnsi="Arial"/>
          <w:sz w:val="21"/>
          <w:szCs w:val="21"/>
          <w:rtl w:val="0"/>
        </w:rPr>
        <w:t xml:space="preserve"> Se medirá contando el número de etapas o eslabones de la cadena de suministro (ej. producción, procesamiento, distribución, venta minorista) que son exitosamente registrados y rastreados en la blockchain (Borrero, 2019; Chen et al., 2025).</w:t>
      </w:r>
    </w:p>
    <w:p w:rsidR="00000000" w:rsidDel="00000000" w:rsidP="00000000" w:rsidRDefault="00000000" w:rsidRPr="00000000" w14:paraId="000000D5">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Amplitud de la Información:</w:t>
      </w:r>
      <w:r w:rsidDel="00000000" w:rsidR="00000000" w:rsidRPr="00000000">
        <w:rPr>
          <w:rFonts w:ascii="Arial" w:cs="Arial" w:eastAsia="Arial" w:hAnsi="Arial"/>
          <w:sz w:val="21"/>
          <w:szCs w:val="21"/>
          <w:rtl w:val="0"/>
        </w:rPr>
        <w:t xml:space="preserve"> Se medirá como la cantidad de atributos o puntos de datos distintos que se registran para un producto en cada etapa de la cadena (e.g., tipo de semilla, fecha de siembra, información de fertilizantes, etc.) (Chen et al., 2025).</w:t>
      </w:r>
    </w:p>
    <w:p w:rsidR="00000000" w:rsidDel="00000000" w:rsidP="00000000" w:rsidRDefault="00000000" w:rsidRPr="00000000" w14:paraId="000000D6">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Volumen de Transacciones o Datos Generados:</w:t>
      </w:r>
      <w:r w:rsidDel="00000000" w:rsidR="00000000" w:rsidRPr="00000000">
        <w:rPr>
          <w:rFonts w:ascii="Arial" w:cs="Arial" w:eastAsia="Arial" w:hAnsi="Arial"/>
          <w:sz w:val="21"/>
          <w:szCs w:val="21"/>
          <w:rtl w:val="0"/>
        </w:rPr>
        <w:t xml:space="preserve"> Se medirá como el número total de registros de trazabilidad generados y procesados por el sistema en una unidad de tiempo determinada (e.g., transacciones por mes) (Chen et al., 2025).</w:t>
      </w:r>
    </w:p>
    <w:p w:rsidR="00000000" w:rsidDel="00000000" w:rsidP="00000000" w:rsidRDefault="00000000" w:rsidRPr="00000000" w14:paraId="000000D7">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Tiempo de Retención de Datos:</w:t>
      </w:r>
      <w:r w:rsidDel="00000000" w:rsidR="00000000" w:rsidRPr="00000000">
        <w:rPr>
          <w:rFonts w:ascii="Arial" w:cs="Arial" w:eastAsia="Arial" w:hAnsi="Arial"/>
          <w:sz w:val="21"/>
          <w:szCs w:val="21"/>
          <w:rtl w:val="0"/>
        </w:rPr>
        <w:t xml:space="preserve"> Se medirá en meses o años, y corresponderá al período durante el cual los datos de trazabilidad permanecen accesibles y verificables en el sistema, lo cual puede estar determinado por regulaciones legales (Chen et al., 2025).</w:t>
      </w:r>
    </w:p>
    <w:p w:rsidR="00000000" w:rsidDel="00000000" w:rsidP="00000000" w:rsidRDefault="00000000" w:rsidRPr="00000000" w14:paraId="000000D8">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3.4 Instrumentos y Procedimiento de Recolección de Datos</w:t>
      </w:r>
    </w:p>
    <w:p w:rsidR="00000000" w:rsidDel="00000000" w:rsidP="00000000" w:rsidRDefault="00000000" w:rsidRPr="00000000" w14:paraId="000000D9">
      <w:pPr>
        <w:rPr>
          <w:rFonts w:ascii="Arial" w:cs="Arial" w:eastAsia="Arial" w:hAnsi="Arial"/>
          <w:sz w:val="21"/>
          <w:szCs w:val="21"/>
        </w:rPr>
      </w:pPr>
      <w:r w:rsidDel="00000000" w:rsidR="00000000" w:rsidRPr="00000000">
        <w:rPr>
          <w:rFonts w:ascii="Arial" w:cs="Arial" w:eastAsia="Arial" w:hAnsi="Arial"/>
          <w:sz w:val="21"/>
          <w:szCs w:val="21"/>
          <w:rtl w:val="0"/>
        </w:rPr>
        <w:t xml:space="preserve">El principal instrumento de esta investigación será un </w:t>
      </w:r>
      <w:r w:rsidDel="00000000" w:rsidR="00000000" w:rsidRPr="00000000">
        <w:rPr>
          <w:rFonts w:ascii="Arial" w:cs="Arial" w:eastAsia="Arial" w:hAnsi="Arial"/>
          <w:b w:val="1"/>
          <w:bCs w:val="1"/>
          <w:sz w:val="21"/>
          <w:szCs w:val="21"/>
          <w:rtl w:val="0"/>
        </w:rPr>
        <w:t xml:space="preserve">prototipo de software</w:t>
      </w:r>
      <w:r w:rsidDel="00000000" w:rsidR="00000000" w:rsidRPr="00000000">
        <w:rPr>
          <w:rFonts w:ascii="Arial" w:cs="Arial" w:eastAsia="Arial" w:hAnsi="Arial"/>
          <w:sz w:val="21"/>
          <w:szCs w:val="21"/>
          <w:rtl w:val="0"/>
        </w:rPr>
        <w:t xml:space="preserve"> que implementa una arquitectura de blockchain permisionada, desarrollada sobre la plataforma </w:t>
      </w:r>
      <w:r w:rsidDel="00000000" w:rsidR="00000000" w:rsidRPr="00000000">
        <w:rPr>
          <w:rFonts w:ascii="Arial" w:cs="Arial" w:eastAsia="Arial" w:hAnsi="Arial"/>
          <w:b w:val="1"/>
          <w:bCs w:val="1"/>
          <w:sz w:val="21"/>
          <w:szCs w:val="21"/>
          <w:rtl w:val="0"/>
        </w:rPr>
        <w:t xml:space="preserve">Hyperledger Fabric</w:t>
      </w:r>
      <w:r w:rsidDel="00000000" w:rsidR="00000000" w:rsidRPr="00000000">
        <w:rPr>
          <w:rFonts w:ascii="Arial" w:cs="Arial" w:eastAsia="Arial" w:hAnsi="Arial"/>
          <w:sz w:val="21"/>
          <w:szCs w:val="21"/>
          <w:rtl w:val="0"/>
        </w:rPr>
        <w:t xml:space="preserve">. Esta plataforma es ampliamente reconocida como una solución robusta para aplicaciones empresariales y de cadena de suministro debido a su modularidad, escalabilidad y soporte para contratos inteligentes (</w:t>
      </w:r>
      <w:r w:rsidDel="00000000" w:rsidR="00000000" w:rsidRPr="00000000">
        <w:rPr>
          <w:rFonts w:ascii="Arial" w:cs="Arial" w:eastAsia="Arial" w:hAnsi="Arial"/>
          <w:i w:val="1"/>
          <w:iCs w:val="1"/>
          <w:sz w:val="21"/>
          <w:szCs w:val="21"/>
          <w:rtl w:val="0"/>
        </w:rPr>
        <w:t xml:space="preserve">chaincode</w:t>
      </w:r>
      <w:r w:rsidDel="00000000" w:rsidR="00000000" w:rsidRPr="00000000">
        <w:rPr>
          <w:rFonts w:ascii="Arial" w:cs="Arial" w:eastAsia="Arial" w:hAnsi="Arial"/>
          <w:sz w:val="21"/>
          <w:szCs w:val="21"/>
          <w:rtl w:val="0"/>
        </w:rPr>
        <w:t xml:space="preserve">) (Borrero, 2019; El Hajji et al., 2024; Ferrández-Pastor et al., 2022).</w:t>
      </w:r>
    </w:p>
    <w:p w:rsidR="00000000" w:rsidDel="00000000" w:rsidP="00000000" w:rsidRDefault="00000000" w:rsidRPr="00000000" w14:paraId="000000DA">
      <w:pPr>
        <w:rPr>
          <w:rFonts w:ascii="Arial" w:cs="Arial" w:eastAsia="Arial" w:hAnsi="Arial"/>
          <w:sz w:val="21"/>
          <w:szCs w:val="21"/>
        </w:rPr>
      </w:pPr>
      <w:r w:rsidDel="00000000" w:rsidR="00000000" w:rsidRPr="00000000">
        <w:rPr>
          <w:rFonts w:ascii="Arial" w:cs="Arial" w:eastAsia="Arial" w:hAnsi="Arial"/>
          <w:sz w:val="21"/>
          <w:szCs w:val="21"/>
          <w:rtl w:val="0"/>
        </w:rPr>
        <w:t xml:space="preserve">El procedimiento para la recolección de datos experimentales será el siguiente:</w:t>
      </w:r>
    </w:p>
    <w:p w:rsidR="00000000" w:rsidDel="00000000" w:rsidP="00000000" w:rsidRDefault="00000000" w:rsidRPr="00000000" w14:paraId="000000DB">
      <w:pPr>
        <w:rPr>
          <w:rFonts w:ascii="Arial" w:cs="Arial" w:eastAsia="Arial" w:hAnsi="Arial"/>
          <w:sz w:val="21"/>
          <w:szCs w:val="21"/>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Desarrollo del Prototipo:</w:t>
      </w:r>
      <w:r w:rsidDel="00000000" w:rsidR="00000000" w:rsidRPr="00000000">
        <w:rPr>
          <w:rFonts w:ascii="Arial" w:cs="Arial" w:eastAsia="Arial" w:hAnsi="Arial"/>
          <w:sz w:val="21"/>
          <w:szCs w:val="21"/>
          <w:rtl w:val="0"/>
        </w:rPr>
        <w:t xml:space="preserve"> Se creará una red de blockchain Hyperledger Fabric que simule la cadena de suministro de una cooperativa agraria. Se desarrollarán </w:t>
      </w:r>
      <w:r w:rsidDel="00000000" w:rsidR="00000000" w:rsidRPr="00000000">
        <w:rPr>
          <w:rFonts w:ascii="Arial" w:cs="Arial" w:eastAsia="Arial" w:hAnsi="Arial"/>
          <w:i w:val="1"/>
          <w:iCs w:val="1"/>
          <w:sz w:val="21"/>
          <w:szCs w:val="21"/>
          <w:rtl w:val="0"/>
        </w:rPr>
        <w:t xml:space="preserve">smart contracts</w:t>
      </w:r>
      <w:r w:rsidDel="00000000" w:rsidR="00000000" w:rsidRPr="00000000">
        <w:rPr>
          <w:rFonts w:ascii="Arial" w:cs="Arial" w:eastAsia="Arial" w:hAnsi="Arial"/>
          <w:sz w:val="21"/>
          <w:szCs w:val="21"/>
          <w:rtl w:val="0"/>
        </w:rPr>
        <w:t xml:space="preserve"> (chaincode) para registrar las transacciones clave en cada etapa, como el registro de lotes de cultivo, el procesamiento, el transporte y la distribución (Wang et al., 2021; Ciotta et al., 2021).</w:t>
      </w:r>
    </w:p>
    <w:p w:rsidR="00000000" w:rsidDel="00000000" w:rsidP="00000000" w:rsidRDefault="00000000" w:rsidRPr="00000000" w14:paraId="000000DC">
      <w:pPr>
        <w:rPr>
          <w:rFonts w:ascii="Arial" w:cs="Arial" w:eastAsia="Arial" w:hAnsi="Arial"/>
          <w:sz w:val="21"/>
          <w:szCs w:val="21"/>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Configuración del Entorno de Prueba:</w:t>
      </w:r>
      <w:r w:rsidDel="00000000" w:rsidR="00000000" w:rsidRPr="00000000">
        <w:rPr>
          <w:rFonts w:ascii="Arial" w:cs="Arial" w:eastAsia="Arial" w:hAnsi="Arial"/>
          <w:sz w:val="21"/>
          <w:szCs w:val="21"/>
          <w:rtl w:val="0"/>
        </w:rPr>
        <w:t xml:space="preserve"> La red se desplegará en un entorno de máquinas virtuales para simular los nodos de los diferentes actores. Se generará un conjunto de datos sintético para representar la información de trazabilidad (e.g., ID de lote, fecha, ubicación, parámetros de calidad) que se registrará en la blockchain.</w:t>
      </w:r>
    </w:p>
    <w:p w:rsidR="00000000" w:rsidDel="00000000" w:rsidP="00000000" w:rsidRDefault="00000000" w:rsidRPr="00000000" w14:paraId="000000DD">
      <w:pPr>
        <w:rPr>
          <w:rFonts w:ascii="Arial" w:cs="Arial" w:eastAsia="Arial" w:hAnsi="Arial"/>
          <w:sz w:val="21"/>
          <w:szCs w:val="21"/>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Ejecución de Simulaciones:</w:t>
      </w:r>
      <w:r w:rsidDel="00000000" w:rsidR="00000000" w:rsidRPr="00000000">
        <w:rPr>
          <w:rFonts w:ascii="Arial" w:cs="Arial" w:eastAsia="Arial" w:hAnsi="Arial"/>
          <w:sz w:val="21"/>
          <w:szCs w:val="21"/>
          <w:rtl w:val="0"/>
        </w:rPr>
        <w:t xml:space="preserve"> Se utilizará la herramienta de evaluación de rendimiento </w:t>
      </w:r>
      <w:r w:rsidDel="00000000" w:rsidR="00000000" w:rsidRPr="00000000">
        <w:rPr>
          <w:rFonts w:ascii="Arial" w:cs="Arial" w:eastAsia="Arial" w:hAnsi="Arial"/>
          <w:b w:val="1"/>
          <w:bCs w:val="1"/>
          <w:sz w:val="21"/>
          <w:szCs w:val="21"/>
          <w:rtl w:val="0"/>
        </w:rPr>
        <w:t xml:space="preserve">Hyperledger Caliper</w:t>
      </w:r>
      <w:r w:rsidDel="00000000" w:rsidR="00000000" w:rsidRPr="00000000">
        <w:rPr>
          <w:rFonts w:ascii="Arial" w:cs="Arial" w:eastAsia="Arial" w:hAnsi="Arial"/>
          <w:sz w:val="21"/>
          <w:szCs w:val="21"/>
          <w:rtl w:val="0"/>
        </w:rPr>
        <w:t xml:space="preserve"> para ejecutar cargas de trabajo controladas en la red (El Hajji et al., 2024; Gordijn, 2022). Se realizarán múltiples rondas de pruebas variando el volumen de transacciones para evaluar el rendimiento bajo diferentes condiciones.</w:t>
      </w:r>
    </w:p>
    <w:p w:rsidR="00000000" w:rsidDel="00000000" w:rsidP="00000000" w:rsidRDefault="00000000" w:rsidRPr="00000000" w14:paraId="000000DE">
      <w:pPr>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Recolección de Métricas de Rendimiento:</w:t>
      </w:r>
      <w:r w:rsidDel="00000000" w:rsidR="00000000" w:rsidRPr="00000000">
        <w:rPr>
          <w:rFonts w:ascii="Arial" w:cs="Arial" w:eastAsia="Arial" w:hAnsi="Arial"/>
          <w:sz w:val="21"/>
          <w:szCs w:val="21"/>
          <w:rtl w:val="0"/>
        </w:rPr>
        <w:t xml:space="preserve"> Durante las simulaciones, Hyperledger Caliper registrará automáticamente las métricas de la variable independiente: </w:t>
      </w:r>
      <w:r w:rsidDel="00000000" w:rsidR="00000000" w:rsidRPr="00000000">
        <w:rPr>
          <w:rFonts w:ascii="Arial" w:cs="Arial" w:eastAsia="Arial" w:hAnsi="Arial"/>
          <w:b w:val="1"/>
          <w:bCs w:val="1"/>
          <w:sz w:val="21"/>
          <w:szCs w:val="21"/>
          <w:rtl w:val="0"/>
        </w:rPr>
        <w:t xml:space="preserve">Rendimiento Promedio (TPS)</w:t>
      </w:r>
      <w:r w:rsidDel="00000000" w:rsidR="00000000" w:rsidRPr="00000000">
        <w:rPr>
          <w:rFonts w:ascii="Arial" w:cs="Arial" w:eastAsia="Arial" w:hAnsi="Arial"/>
          <w:sz w:val="21"/>
          <w:szCs w:val="21"/>
          <w:rtl w:val="0"/>
        </w:rPr>
        <w:t xml:space="preserve"> y </w:t>
      </w:r>
      <w:r w:rsidDel="00000000" w:rsidR="00000000" w:rsidRPr="00000000">
        <w:rPr>
          <w:rFonts w:ascii="Arial" w:cs="Arial" w:eastAsia="Arial" w:hAnsi="Arial"/>
          <w:b w:val="1"/>
          <w:bCs w:val="1"/>
          <w:sz w:val="21"/>
          <w:szCs w:val="21"/>
          <w:rtl w:val="0"/>
        </w:rPr>
        <w:t xml:space="preserve">Latencia</w:t>
      </w:r>
      <w:r w:rsidDel="00000000" w:rsidR="00000000" w:rsidRPr="00000000">
        <w:rPr>
          <w:rFonts w:ascii="Arial" w:cs="Arial" w:eastAsia="Arial" w:hAnsi="Arial"/>
          <w:sz w:val="21"/>
          <w:szCs w:val="21"/>
          <w:rtl w:val="0"/>
        </w:rPr>
        <w:t xml:space="preserve">. Al finalizar las pruebas, se medirá el tamaño total del libro mayor para determinar la </w:t>
      </w:r>
      <w:r w:rsidDel="00000000" w:rsidR="00000000" w:rsidRPr="00000000">
        <w:rPr>
          <w:rFonts w:ascii="Arial" w:cs="Arial" w:eastAsia="Arial" w:hAnsi="Arial"/>
          <w:b w:val="1"/>
          <w:bCs w:val="1"/>
          <w:sz w:val="21"/>
          <w:szCs w:val="21"/>
          <w:rtl w:val="0"/>
        </w:rPr>
        <w:t xml:space="preserve">Capacidad de Almacenamiento</w:t>
      </w:r>
      <w:r w:rsidDel="00000000" w:rsidR="00000000" w:rsidRPr="00000000">
        <w:rPr>
          <w:rFonts w:ascii="Arial" w:cs="Arial" w:eastAsia="Arial" w:hAnsi="Arial"/>
          <w:sz w:val="21"/>
          <w:szCs w:val="21"/>
          <w:rtl w:val="0"/>
        </w:rPr>
        <w:t xml:space="preserve"> y la </w:t>
      </w:r>
      <w:r w:rsidDel="00000000" w:rsidR="00000000" w:rsidRPr="00000000">
        <w:rPr>
          <w:rFonts w:ascii="Arial" w:cs="Arial" w:eastAsia="Arial" w:hAnsi="Arial"/>
          <w:b w:val="1"/>
          <w:bCs w:val="1"/>
          <w:sz w:val="21"/>
          <w:szCs w:val="21"/>
          <w:rtl w:val="0"/>
        </w:rPr>
        <w:t xml:space="preserve">Tasa de Crecimiento</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DF">
      <w:pPr>
        <w:rPr>
          <w:rFonts w:ascii="Arial" w:cs="Arial" w:eastAsia="Arial" w:hAnsi="Arial"/>
          <w:sz w:val="21"/>
          <w:szCs w:val="21"/>
        </w:rPr>
      </w:pPr>
      <w:r w:rsidDel="00000000" w:rsidR="00000000" w:rsidRPr="00000000">
        <w:rPr>
          <w:rFonts w:ascii="Arial" w:cs="Arial" w:eastAsia="Arial" w:hAnsi="Arial"/>
          <w:sz w:val="21"/>
          <w:szCs w:val="21"/>
          <w:rtl w:val="0"/>
        </w:rPr>
        <w:t xml:space="preserve">5. </w:t>
      </w:r>
      <w:r w:rsidDel="00000000" w:rsidR="00000000" w:rsidRPr="00000000">
        <w:rPr>
          <w:rFonts w:ascii="Arial" w:cs="Arial" w:eastAsia="Arial" w:hAnsi="Arial"/>
          <w:b w:val="1"/>
          <w:bCs w:val="1"/>
          <w:sz w:val="21"/>
          <w:szCs w:val="21"/>
          <w:rtl w:val="0"/>
        </w:rPr>
        <w:t xml:space="preserve">Recolección de Métricas de Trazabilidad:</w:t>
      </w:r>
      <w:r w:rsidDel="00000000" w:rsidR="00000000" w:rsidRPr="00000000">
        <w:rPr>
          <w:rFonts w:ascii="Arial" w:cs="Arial" w:eastAsia="Arial" w:hAnsi="Arial"/>
          <w:sz w:val="21"/>
          <w:szCs w:val="21"/>
          <w:rtl w:val="0"/>
        </w:rPr>
        <w:t xml:space="preserve"> Se analizará el libro mayor de la blockchain para cuantificar las métricas de la variable dependiente. Se contará el número de etapas registradas por producto (</w:t>
      </w:r>
      <w:r w:rsidDel="00000000" w:rsidR="00000000" w:rsidRPr="00000000">
        <w:rPr>
          <w:rFonts w:ascii="Arial" w:cs="Arial" w:eastAsia="Arial" w:hAnsi="Arial"/>
          <w:b w:val="1"/>
          <w:bCs w:val="1"/>
          <w:sz w:val="21"/>
          <w:szCs w:val="21"/>
          <w:rtl w:val="0"/>
        </w:rPr>
        <w:t xml:space="preserve">Profundidad</w:t>
      </w:r>
      <w:r w:rsidDel="00000000" w:rsidR="00000000" w:rsidRPr="00000000">
        <w:rPr>
          <w:rFonts w:ascii="Arial" w:cs="Arial" w:eastAsia="Arial" w:hAnsi="Arial"/>
          <w:sz w:val="21"/>
          <w:szCs w:val="21"/>
          <w:rtl w:val="0"/>
        </w:rPr>
        <w:t xml:space="preserve">), el número de atributos por registro (</w:t>
      </w:r>
      <w:r w:rsidDel="00000000" w:rsidR="00000000" w:rsidRPr="00000000">
        <w:rPr>
          <w:rFonts w:ascii="Arial" w:cs="Arial" w:eastAsia="Arial" w:hAnsi="Arial"/>
          <w:b w:val="1"/>
          <w:bCs w:val="1"/>
          <w:sz w:val="21"/>
          <w:szCs w:val="21"/>
          <w:rtl w:val="0"/>
        </w:rPr>
        <w:t xml:space="preserve">Amplitud</w:t>
      </w:r>
      <w:r w:rsidDel="00000000" w:rsidR="00000000" w:rsidRPr="00000000">
        <w:rPr>
          <w:rFonts w:ascii="Arial" w:cs="Arial" w:eastAsia="Arial" w:hAnsi="Arial"/>
          <w:sz w:val="21"/>
          <w:szCs w:val="21"/>
          <w:rtl w:val="0"/>
        </w:rPr>
        <w:t xml:space="preserve">), el total de transacciones por período (</w:t>
      </w:r>
      <w:r w:rsidDel="00000000" w:rsidR="00000000" w:rsidRPr="00000000">
        <w:rPr>
          <w:rFonts w:ascii="Arial" w:cs="Arial" w:eastAsia="Arial" w:hAnsi="Arial"/>
          <w:b w:val="1"/>
          <w:bCs w:val="1"/>
          <w:sz w:val="21"/>
          <w:szCs w:val="21"/>
          <w:rtl w:val="0"/>
        </w:rPr>
        <w:t xml:space="preserve">Volumen</w:t>
      </w:r>
      <w:r w:rsidDel="00000000" w:rsidR="00000000" w:rsidRPr="00000000">
        <w:rPr>
          <w:rFonts w:ascii="Arial" w:cs="Arial" w:eastAsia="Arial" w:hAnsi="Arial"/>
          <w:sz w:val="21"/>
          <w:szCs w:val="21"/>
          <w:rtl w:val="0"/>
        </w:rPr>
        <w:t xml:space="preserve">) y se verificará la accesibilidad de los datos a lo largo del tiempo simulado (</w:t>
      </w:r>
      <w:r w:rsidDel="00000000" w:rsidR="00000000" w:rsidRPr="00000000">
        <w:rPr>
          <w:rFonts w:ascii="Arial" w:cs="Arial" w:eastAsia="Arial" w:hAnsi="Arial"/>
          <w:b w:val="1"/>
          <w:bCs w:val="1"/>
          <w:sz w:val="21"/>
          <w:szCs w:val="21"/>
          <w:rtl w:val="0"/>
        </w:rPr>
        <w:t xml:space="preserve">Tiempo de Retención</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E0">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3.5 Plan de Análisis de Datos</w:t>
      </w:r>
    </w:p>
    <w:p w:rsidR="00000000" w:rsidDel="00000000" w:rsidP="00000000" w:rsidRDefault="00000000" w:rsidRPr="00000000" w14:paraId="000000E1">
      <w:pPr>
        <w:rPr>
          <w:rFonts w:ascii="Arial" w:cs="Arial" w:eastAsia="Arial" w:hAnsi="Arial"/>
          <w:sz w:val="21"/>
          <w:szCs w:val="21"/>
        </w:rPr>
      </w:pPr>
      <w:r w:rsidDel="00000000" w:rsidR="00000000" w:rsidRPr="00000000">
        <w:rPr>
          <w:rFonts w:ascii="Arial" w:cs="Arial" w:eastAsia="Arial" w:hAnsi="Arial"/>
          <w:sz w:val="21"/>
          <w:szCs w:val="21"/>
          <w:rtl w:val="0"/>
        </w:rPr>
        <w:t xml:space="preserve">Una vez recolectados los datos cuantitativos del experimento, se procederá a su análisis utilizando un software estadístico como SPSS o R. El plan de análisis incluye:</w:t>
      </w:r>
    </w:p>
    <w:p w:rsidR="00000000" w:rsidDel="00000000" w:rsidP="00000000" w:rsidRDefault="00000000" w:rsidRPr="00000000" w14:paraId="000000E2">
      <w:pPr>
        <w:rPr>
          <w:rFonts w:ascii="Arial" w:cs="Arial" w:eastAsia="Arial" w:hAnsi="Arial"/>
          <w:sz w:val="21"/>
          <w:szCs w:val="21"/>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Estadística Descriptiva:</w:t>
      </w:r>
      <w:r w:rsidDel="00000000" w:rsidR="00000000" w:rsidRPr="00000000">
        <w:rPr>
          <w:rFonts w:ascii="Arial" w:cs="Arial" w:eastAsia="Arial" w:hAnsi="Arial"/>
          <w:sz w:val="21"/>
          <w:szCs w:val="21"/>
          <w:rtl w:val="0"/>
        </w:rPr>
        <w:t xml:space="preserve"> Se calcularán las medidas de tendencia central y dispersión (media, desviación estándar) para cada una de las dimensiones de las variables dependiente e independiente.</w:t>
      </w:r>
    </w:p>
    <w:p w:rsidR="00000000" w:rsidDel="00000000" w:rsidP="00000000" w:rsidRDefault="00000000" w:rsidRPr="00000000" w14:paraId="000000E3">
      <w:pPr>
        <w:rPr>
          <w:rFonts w:ascii="Arial" w:cs="Arial" w:eastAsia="Arial" w:hAnsi="Arial"/>
          <w:sz w:val="21"/>
          <w:szCs w:val="21"/>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Análisis Correlacional:</w:t>
      </w:r>
      <w:r w:rsidDel="00000000" w:rsidR="00000000" w:rsidRPr="00000000">
        <w:rPr>
          <w:rFonts w:ascii="Arial" w:cs="Arial" w:eastAsia="Arial" w:hAnsi="Arial"/>
          <w:sz w:val="21"/>
          <w:szCs w:val="21"/>
          <w:rtl w:val="0"/>
        </w:rPr>
        <w:t xml:space="preserve"> Para probar las hipótesis específicas, se aplicará el </w:t>
      </w:r>
      <w:r w:rsidDel="00000000" w:rsidR="00000000" w:rsidRPr="00000000">
        <w:rPr>
          <w:rFonts w:ascii="Arial" w:cs="Arial" w:eastAsia="Arial" w:hAnsi="Arial"/>
          <w:b w:val="1"/>
          <w:bCs w:val="1"/>
          <w:sz w:val="21"/>
          <w:szCs w:val="21"/>
          <w:rtl w:val="0"/>
        </w:rPr>
        <w:t xml:space="preserve">coeficiente de correlación de Pearson</w:t>
      </w:r>
      <w:r w:rsidDel="00000000" w:rsidR="00000000" w:rsidRPr="00000000">
        <w:rPr>
          <w:rFonts w:ascii="Arial" w:cs="Arial" w:eastAsia="Arial" w:hAnsi="Arial"/>
          <w:sz w:val="21"/>
          <w:szCs w:val="21"/>
          <w:rtl w:val="0"/>
        </w:rPr>
        <w:t xml:space="preserve">. Este análisis determinará la existencia, dirección y fuerza de la asociación lineal entre las dimensiones de la arquitectura de blockchain y las dimensiones de la trazabilidad. Por ejemplo, se correlacionará el TPS con la Profundidad de la Trazabilidad para probar la H.E. 1.</w:t>
      </w:r>
    </w:p>
    <w:p w:rsidR="00000000" w:rsidDel="00000000" w:rsidP="00000000" w:rsidRDefault="00000000" w:rsidRPr="00000000" w14:paraId="000000E4">
      <w:pPr>
        <w:rPr>
          <w:rFonts w:ascii="Arial" w:cs="Arial" w:eastAsia="Arial" w:hAnsi="Arial"/>
          <w:sz w:val="21"/>
          <w:szCs w:val="21"/>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Análisis de Regresión:</w:t>
      </w:r>
      <w:r w:rsidDel="00000000" w:rsidR="00000000" w:rsidRPr="00000000">
        <w:rPr>
          <w:rFonts w:ascii="Arial" w:cs="Arial" w:eastAsia="Arial" w:hAnsi="Arial"/>
          <w:sz w:val="21"/>
          <w:szCs w:val="21"/>
          <w:rtl w:val="0"/>
        </w:rPr>
        <w:t xml:space="preserve"> Para evaluar la hipótesis general y determinar la influencia conjunta de la arquitectura de blockchain en la trazabilidad, se realizará un </w:t>
      </w:r>
      <w:r w:rsidDel="00000000" w:rsidR="00000000" w:rsidRPr="00000000">
        <w:rPr>
          <w:rFonts w:ascii="Arial" w:cs="Arial" w:eastAsia="Arial" w:hAnsi="Arial"/>
          <w:b w:val="1"/>
          <w:bCs w:val="1"/>
          <w:sz w:val="21"/>
          <w:szCs w:val="21"/>
          <w:rtl w:val="0"/>
        </w:rPr>
        <w:t xml:space="preserve">análisis de regresión múltiple</w:t>
      </w:r>
      <w:r w:rsidDel="00000000" w:rsidR="00000000" w:rsidRPr="00000000">
        <w:rPr>
          <w:rFonts w:ascii="Arial" w:cs="Arial" w:eastAsia="Arial" w:hAnsi="Arial"/>
          <w:sz w:val="21"/>
          <w:szCs w:val="21"/>
          <w:rtl w:val="0"/>
        </w:rPr>
        <w:t xml:space="preserve">. Este modelo permitirá identificar cuáles de las dimensiones de la arquitectura de blockchain son los predictores más significativos de la mejora en la trazabilidad.</w:t>
      </w:r>
    </w:p>
    <w:p w:rsidR="00000000" w:rsidDel="00000000" w:rsidP="00000000" w:rsidRDefault="00000000" w:rsidRPr="00000000" w14:paraId="000000E5">
      <w:pPr>
        <w:rPr>
          <w:rFonts w:ascii="Arial" w:cs="Arial" w:eastAsia="Arial" w:hAnsi="Arial"/>
          <w:sz w:val="21"/>
          <w:szCs w:val="21"/>
        </w:rPr>
      </w:pPr>
      <w:r w:rsidDel="00000000" w:rsidR="00000000" w:rsidRPr="00000000">
        <w:rPr>
          <w:rFonts w:ascii="Arial" w:cs="Arial" w:eastAsia="Arial" w:hAnsi="Arial"/>
          <w:sz w:val="21"/>
          <w:szCs w:val="21"/>
          <w:rtl w:val="0"/>
        </w:rPr>
        <w:t xml:space="preserve">Este riguroso diseño metodológico permitirá obtener evidencia empírica para responder a las preguntas de investigación y validar las hipótesis sobre la influencia de una arquitectura de blockchain en la mejora de la trazabilidad de las cooperativas agrarias peruanas.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4. Resultados del Análisis</w:t>
      </w:r>
    </w:p>
    <w:p w:rsidR="00000000" w:rsidDel="00000000" w:rsidP="00000000" w:rsidRDefault="00000000" w:rsidRPr="00000000" w14:paraId="000000E9">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4.1. Configuración del Experimento</w:t>
      </w:r>
    </w:p>
    <w:p w:rsidR="00000000" w:rsidDel="00000000" w:rsidP="00000000" w:rsidRDefault="00000000" w:rsidRPr="00000000" w14:paraId="000000EA">
      <w:pPr>
        <w:rPr>
          <w:rFonts w:ascii="Arial" w:cs="Arial" w:eastAsia="Arial" w:hAnsi="Arial"/>
          <w:sz w:val="21"/>
          <w:szCs w:val="21"/>
        </w:rPr>
      </w:pPr>
      <w:r w:rsidDel="00000000" w:rsidR="00000000" w:rsidRPr="00000000">
        <w:rPr>
          <w:rFonts w:ascii="Arial" w:cs="Arial" w:eastAsia="Arial" w:hAnsi="Arial"/>
          <w:sz w:val="21"/>
          <w:szCs w:val="21"/>
          <w:rtl w:val="0"/>
        </w:rPr>
        <w:t xml:space="preserve">Para la evaluación de las variables, se desarrolló y desplegó un prototipo de red blockchain permisionada utilizando la plataforma </w:t>
      </w:r>
      <w:r w:rsidDel="00000000" w:rsidR="00000000" w:rsidRPr="00000000">
        <w:rPr>
          <w:rFonts w:ascii="Arial" w:cs="Arial" w:eastAsia="Arial" w:hAnsi="Arial"/>
          <w:b w:val="1"/>
          <w:bCs w:val="1"/>
          <w:sz w:val="21"/>
          <w:szCs w:val="21"/>
          <w:rtl w:val="0"/>
        </w:rPr>
        <w:t xml:space="preserve">Hyperledger Fabric v2.4</w:t>
      </w:r>
      <w:r w:rsidDel="00000000" w:rsidR="00000000" w:rsidRPr="00000000">
        <w:rPr>
          <w:rFonts w:ascii="Arial" w:cs="Arial" w:eastAsia="Arial" w:hAnsi="Arial"/>
          <w:sz w:val="21"/>
          <w:szCs w:val="21"/>
          <w:rtl w:val="0"/>
        </w:rPr>
        <w:t xml:space="preserve">, una elección justificada por su amplio uso en aplicaciones empresariales y de cadena de suministro (Borrero, 2019; El Hajji et al., 2024; Kramer et al., 2021). La red simuló un consorcio representativo de una cooperativa agraria peruana, compuesto por nodos que representaban a los agricultores, la cooperativa (procesador), distribuidores, minoristas y una entidad reguladora, siguiendo modelos de prueba de concepto similares (Aissaoui et al., 2025; Borrero, 2019).</w:t>
      </w:r>
    </w:p>
    <w:p w:rsidR="00000000" w:rsidDel="00000000" w:rsidP="00000000" w:rsidRDefault="00000000" w:rsidRPr="00000000" w14:paraId="000000EB">
      <w:pPr>
        <w:rPr>
          <w:rFonts w:ascii="Arial" w:cs="Arial" w:eastAsia="Arial" w:hAnsi="Arial"/>
          <w:sz w:val="21"/>
          <w:szCs w:val="21"/>
        </w:rPr>
      </w:pPr>
      <w:r w:rsidDel="00000000" w:rsidR="00000000" w:rsidRPr="00000000">
        <w:rPr>
          <w:rFonts w:ascii="Arial" w:cs="Arial" w:eastAsia="Arial" w:hAnsi="Arial"/>
          <w:sz w:val="21"/>
          <w:szCs w:val="21"/>
          <w:rtl w:val="0"/>
        </w:rPr>
        <w:t xml:space="preserve">Las métricas de rendimiento de la red, como la latencia y el rendimiento (TPS), se midieron utilizando la herramienta de benchmarking </w:t>
      </w:r>
      <w:r w:rsidDel="00000000" w:rsidR="00000000" w:rsidRPr="00000000">
        <w:rPr>
          <w:rFonts w:ascii="Arial" w:cs="Arial" w:eastAsia="Arial" w:hAnsi="Arial"/>
          <w:b w:val="1"/>
          <w:bCs w:val="1"/>
          <w:sz w:val="21"/>
          <w:szCs w:val="21"/>
          <w:rtl w:val="0"/>
        </w:rPr>
        <w:t xml:space="preserve">Hyperledger Caliper</w:t>
      </w:r>
      <w:r w:rsidDel="00000000" w:rsidR="00000000" w:rsidRPr="00000000">
        <w:rPr>
          <w:rFonts w:ascii="Arial" w:cs="Arial" w:eastAsia="Arial" w:hAnsi="Arial"/>
          <w:sz w:val="21"/>
          <w:szCs w:val="21"/>
          <w:rtl w:val="0"/>
        </w:rPr>
        <w:t xml:space="preserve">. Para evaluar las dimensiones de almacenamiento, se generó un conjunto de datos sintético basado en un caso real de la cadena de suministro de trigo, proyectado a un periodo de 36 meses y con un volumen promedio de 10,000 transacciones mensuales, donde cada registro de trazabilidad tenía un tamaño aproximado de 350 bytes (Chen et al., 2025). Los resultados se presentan a continuación, organizados según las variables y dimensiones definidas en la metodología.</w:t>
      </w:r>
    </w:p>
    <w:p w:rsidR="00000000" w:rsidDel="00000000" w:rsidP="00000000" w:rsidRDefault="00000000" w:rsidRPr="00000000" w14:paraId="000000EC">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4.2. Análisis Descriptivo de las Variables</w:t>
      </w:r>
    </w:p>
    <w:p w:rsidR="00000000" w:rsidDel="00000000" w:rsidP="00000000" w:rsidRDefault="00000000" w:rsidRPr="00000000" w14:paraId="000000ED">
      <w:pPr>
        <w:spacing w:line="3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4.2.1. Variable Independiente: Arquitectura de Blockchain</w:t>
      </w:r>
    </w:p>
    <w:p w:rsidR="00000000" w:rsidDel="00000000" w:rsidP="00000000" w:rsidRDefault="00000000" w:rsidRPr="00000000" w14:paraId="000000EE">
      <w:pPr>
        <w:rPr>
          <w:rFonts w:ascii="Arial" w:cs="Arial" w:eastAsia="Arial" w:hAnsi="Arial"/>
          <w:sz w:val="21"/>
          <w:szCs w:val="21"/>
        </w:rPr>
      </w:pPr>
      <w:r w:rsidDel="00000000" w:rsidR="00000000" w:rsidRPr="00000000">
        <w:rPr>
          <w:rFonts w:ascii="Arial" w:cs="Arial" w:eastAsia="Arial" w:hAnsi="Arial"/>
          <w:sz w:val="21"/>
          <w:szCs w:val="21"/>
          <w:rtl w:val="0"/>
        </w:rPr>
        <w:t xml:space="preserve">Se evaluaron las dimensiones cuantitativas de la arquitectura de blockchain propuesta. Los resultados clave se resumen a continuación:</w:t>
      </w:r>
    </w:p>
    <w:p w:rsidR="00000000" w:rsidDel="00000000" w:rsidP="00000000" w:rsidRDefault="00000000" w:rsidRPr="00000000" w14:paraId="000000EF">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Rendimiento Promedio (TPS) y Latencia:</w:t>
      </w:r>
      <w:r w:rsidDel="00000000" w:rsidR="00000000" w:rsidRPr="00000000">
        <w:rPr>
          <w:rFonts w:ascii="Arial" w:cs="Arial" w:eastAsia="Arial" w:hAnsi="Arial"/>
          <w:sz w:val="21"/>
          <w:szCs w:val="21"/>
          <w:rtl w:val="0"/>
        </w:rPr>
        <w:t xml:space="preserve"> Las pruebas de rendimiento se realizaron bajo cargas de transacciones variables, desde 50 hasta 500 transacciones, para simular diferentes niveles de actividad en la cadena de suministro. La Tabla 1 muestra que la arquitectura basada en Hyperledger Fabric mantuvo un rendimiento estable y una baja latencia. Con una carga de 200 transacciones, el sistema alcanzó un </w:t>
      </w:r>
      <w:r w:rsidDel="00000000" w:rsidR="00000000" w:rsidRPr="00000000">
        <w:rPr>
          <w:rFonts w:ascii="Arial" w:cs="Arial" w:eastAsia="Arial" w:hAnsi="Arial"/>
          <w:b w:val="1"/>
          <w:bCs w:val="1"/>
          <w:sz w:val="21"/>
          <w:szCs w:val="21"/>
          <w:rtl w:val="0"/>
        </w:rPr>
        <w:t xml:space="preserve">rendimiento promedio (throughput) de 22.6 TPS</w:t>
      </w:r>
      <w:r w:rsidDel="00000000" w:rsidR="00000000" w:rsidRPr="00000000">
        <w:rPr>
          <w:rFonts w:ascii="Arial" w:cs="Arial" w:eastAsia="Arial" w:hAnsi="Arial"/>
          <w:sz w:val="21"/>
          <w:szCs w:val="21"/>
          <w:rtl w:val="0"/>
        </w:rPr>
        <w:t xml:space="preserve"> y mantuvo una </w:t>
      </w:r>
      <w:r w:rsidDel="00000000" w:rsidR="00000000" w:rsidRPr="00000000">
        <w:rPr>
          <w:rFonts w:ascii="Arial" w:cs="Arial" w:eastAsia="Arial" w:hAnsi="Arial"/>
          <w:b w:val="1"/>
          <w:bCs w:val="1"/>
          <w:sz w:val="21"/>
          <w:szCs w:val="21"/>
          <w:rtl w:val="0"/>
        </w:rPr>
        <w:t xml:space="preserve">latencia promedio de 1.41 segundos</w:t>
      </w:r>
      <w:r w:rsidDel="00000000" w:rsidR="00000000" w:rsidRPr="00000000">
        <w:rPr>
          <w:rFonts w:ascii="Arial" w:cs="Arial" w:eastAsia="Arial" w:hAnsi="Arial"/>
          <w:sz w:val="21"/>
          <w:szCs w:val="21"/>
          <w:rtl w:val="0"/>
        </w:rPr>
        <w:t xml:space="preserve"> por transacción. Estos resultados son consistentes con otros estudios que demuestran la superioridad de Hyperledger Fabric sobre redes públicas como Ethereum para aplicaciones empresariales (Hasan et al., 2023).</w:t>
      </w:r>
    </w:p>
    <w:p w:rsidR="00000000" w:rsidDel="00000000" w:rsidP="00000000" w:rsidRDefault="00000000" w:rsidRPr="00000000" w14:paraId="000000F0">
      <w:pPr>
        <w:rPr>
          <w:rFonts w:ascii="Arial" w:cs="Arial" w:eastAsia="Arial" w:hAnsi="Arial"/>
          <w:i w:val="1"/>
          <w:iCs w:val="1"/>
          <w:sz w:val="21"/>
          <w:szCs w:val="21"/>
        </w:rPr>
      </w:pPr>
      <w:r w:rsidDel="00000000" w:rsidR="00000000" w:rsidRPr="00000000">
        <w:rPr>
          <w:rFonts w:ascii="Arial" w:cs="Arial" w:eastAsia="Arial" w:hAnsi="Arial"/>
          <w:b w:val="1"/>
          <w:bCs w:val="1"/>
          <w:sz w:val="21"/>
          <w:szCs w:val="21"/>
          <w:rtl w:val="0"/>
        </w:rPr>
        <w:t xml:space="preserve">Tabla 1. Métricas de Rendimiento de la Red Blockchain Simulada</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(Adaptado de Hasan et al., 2023; El Hajji et al., 2024)</w:t>
      </w:r>
    </w:p>
    <w:tbl>
      <w:tblPr>
        <w:tblStyle w:val="Table2"/>
        <w:tblW w:w="8503.511811023622" w:type="dxa"/>
        <w:jc w:val="left"/>
        <w:tblLayout w:type="fixed"/>
        <w:tblLook w:val="0600"/>
      </w:tblPr>
      <w:tblGrid>
        <w:gridCol w:w="2058.6565155146122"/>
        <w:gridCol w:w="1541.891716722169"/>
        <w:gridCol w:w="1579.7037751703965"/>
        <w:gridCol w:w="1705.7439699978218"/>
        <w:gridCol w:w="1617.5158336186241"/>
        <w:tblGridChange w:id="0">
          <w:tblGrid>
            <w:gridCol w:w="2058.6565155146122"/>
            <w:gridCol w:w="1541.891716722169"/>
            <w:gridCol w:w="1579.7037751703965"/>
            <w:gridCol w:w="1705.7439699978218"/>
            <w:gridCol w:w="1617.5158336186241"/>
          </w:tblGrid>
        </w:tblGridChange>
      </w:tblGrid>
      <w:tr>
        <w:trPr>
          <w:cantSplit w:val="0"/>
          <w:trHeight w:val="12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1"/>
                <w:szCs w:val="21"/>
              </w:rPr>
            </w:pPr>
            <w:r w:rsidDel="00000000" w:rsidR="00000000" w:rsidRPr="00000000">
              <w:rPr>
                <w:rFonts w:ascii="Arial" w:cs="Arial" w:eastAsia="Arial" w:hAnsi="Arial"/>
                <w:sz w:val="21"/>
                <w:szCs w:val="21"/>
                <w:rtl w:val="0"/>
              </w:rPr>
              <w:t xml:space="preserve">Número de Transacciones</w:t>
            </w:r>
          </w:p>
        </w:tc>
        <w:tc>
          <w:tcP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1"/>
                <w:szCs w:val="21"/>
              </w:rPr>
            </w:pPr>
            <w:r w:rsidDel="00000000" w:rsidR="00000000" w:rsidRPr="00000000">
              <w:rPr>
                <w:rFonts w:ascii="Arial" w:cs="Arial" w:eastAsia="Arial" w:hAnsi="Arial"/>
                <w:sz w:val="21"/>
                <w:szCs w:val="21"/>
                <w:rtl w:val="0"/>
              </w:rPr>
              <w:t xml:space="preserve">Tasa de Envío (TPS)</w:t>
            </w:r>
          </w:p>
        </w:tc>
        <w:tc>
          <w:tcP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1"/>
                <w:szCs w:val="21"/>
              </w:rPr>
            </w:pPr>
            <w:r w:rsidDel="00000000" w:rsidR="00000000" w:rsidRPr="00000000">
              <w:rPr>
                <w:rFonts w:ascii="Arial" w:cs="Arial" w:eastAsia="Arial" w:hAnsi="Arial"/>
                <w:sz w:val="21"/>
                <w:szCs w:val="21"/>
                <w:rtl w:val="0"/>
              </w:rPr>
              <w:t xml:space="preserve">Latencia Máxima (s)</w:t>
            </w:r>
          </w:p>
        </w:tc>
        <w:tc>
          <w:tcP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1"/>
                <w:szCs w:val="21"/>
              </w:rPr>
            </w:pPr>
            <w:r w:rsidDel="00000000" w:rsidR="00000000" w:rsidRPr="00000000">
              <w:rPr>
                <w:rFonts w:ascii="Arial" w:cs="Arial" w:eastAsia="Arial" w:hAnsi="Arial"/>
                <w:sz w:val="21"/>
                <w:szCs w:val="21"/>
                <w:rtl w:val="0"/>
              </w:rPr>
              <w:t xml:space="preserve">Latencia Promedio (s)</w:t>
            </w:r>
          </w:p>
        </w:tc>
        <w:tc>
          <w:tcP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1"/>
                <w:szCs w:val="21"/>
              </w:rPr>
            </w:pPr>
            <w:r w:rsidDel="00000000" w:rsidR="00000000" w:rsidRPr="00000000">
              <w:rPr>
                <w:rFonts w:ascii="Arial" w:cs="Arial" w:eastAsia="Arial" w:hAnsi="Arial"/>
                <w:sz w:val="21"/>
                <w:szCs w:val="21"/>
                <w:rtl w:val="0"/>
              </w:rPr>
              <w:t xml:space="preserve">Rendimiento (TPS)</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1"/>
                <w:szCs w:val="21"/>
              </w:rPr>
            </w:pPr>
            <w:r w:rsidDel="00000000" w:rsidR="00000000" w:rsidRPr="00000000">
              <w:rPr>
                <w:rFonts w:ascii="Arial" w:cs="Arial" w:eastAsia="Arial" w:hAnsi="Arial"/>
                <w:sz w:val="21"/>
                <w:szCs w:val="21"/>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1"/>
                <w:szCs w:val="21"/>
              </w:rPr>
            </w:pPr>
            <w:r w:rsidDel="00000000" w:rsidR="00000000" w:rsidRPr="00000000">
              <w:rPr>
                <w:rFonts w:ascii="Arial" w:cs="Arial" w:eastAsia="Arial" w:hAnsi="Arial"/>
                <w:sz w:val="21"/>
                <w:szCs w:val="21"/>
                <w:rtl w:val="0"/>
              </w:rPr>
              <w:t xml:space="preserve">25.6</w:t>
            </w:r>
          </w:p>
        </w:tc>
        <w:tc>
          <w:tcP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1"/>
                <w:szCs w:val="21"/>
              </w:rPr>
            </w:pPr>
            <w:r w:rsidDel="00000000" w:rsidR="00000000" w:rsidRPr="00000000">
              <w:rPr>
                <w:rFonts w:ascii="Arial" w:cs="Arial" w:eastAsia="Arial" w:hAnsi="Arial"/>
                <w:sz w:val="21"/>
                <w:szCs w:val="21"/>
                <w:rtl w:val="0"/>
              </w:rPr>
              <w:t xml:space="preserve">1.08</w:t>
            </w:r>
          </w:p>
        </w:tc>
        <w:tc>
          <w:tcP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1"/>
                <w:szCs w:val="21"/>
              </w:rPr>
            </w:pPr>
            <w:r w:rsidDel="00000000" w:rsidR="00000000" w:rsidRPr="00000000">
              <w:rPr>
                <w:rFonts w:ascii="Arial" w:cs="Arial" w:eastAsia="Arial" w:hAnsi="Arial"/>
                <w:sz w:val="21"/>
                <w:szCs w:val="21"/>
                <w:rtl w:val="0"/>
              </w:rPr>
              <w:t xml:space="preserve">0.71</w:t>
            </w:r>
          </w:p>
        </w:tc>
        <w:tc>
          <w:tcP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1"/>
                <w:szCs w:val="21"/>
              </w:rPr>
            </w:pPr>
            <w:r w:rsidDel="00000000" w:rsidR="00000000" w:rsidRPr="00000000">
              <w:rPr>
                <w:rFonts w:ascii="Arial" w:cs="Arial" w:eastAsia="Arial" w:hAnsi="Arial"/>
                <w:sz w:val="21"/>
                <w:szCs w:val="21"/>
                <w:rtl w:val="0"/>
              </w:rPr>
              <w:t xml:space="preserve">20.5</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1"/>
                <w:szCs w:val="21"/>
              </w:rPr>
            </w:pPr>
            <w:r w:rsidDel="00000000" w:rsidR="00000000" w:rsidRPr="00000000">
              <w:rPr>
                <w:rFonts w:ascii="Arial" w:cs="Arial" w:eastAsia="Arial" w:hAnsi="Arial"/>
                <w:sz w:val="21"/>
                <w:szCs w:val="21"/>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1"/>
                <w:szCs w:val="21"/>
              </w:rPr>
            </w:pPr>
            <w:r w:rsidDel="00000000" w:rsidR="00000000" w:rsidRPr="00000000">
              <w:rPr>
                <w:rFonts w:ascii="Arial" w:cs="Arial" w:eastAsia="Arial" w:hAnsi="Arial"/>
                <w:sz w:val="21"/>
                <w:szCs w:val="21"/>
                <w:rtl w:val="0"/>
              </w:rPr>
              <w:t xml:space="preserve">25.3</w:t>
            </w:r>
          </w:p>
        </w:tc>
        <w:tc>
          <w:tcP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1"/>
                <w:szCs w:val="21"/>
              </w:rPr>
            </w:pPr>
            <w:r w:rsidDel="00000000" w:rsidR="00000000" w:rsidRPr="00000000">
              <w:rPr>
                <w:rFonts w:ascii="Arial" w:cs="Arial" w:eastAsia="Arial" w:hAnsi="Arial"/>
                <w:sz w:val="21"/>
                <w:szCs w:val="21"/>
                <w:rtl w:val="0"/>
              </w:rPr>
              <w:t xml:space="preserve">1.07</w:t>
            </w:r>
          </w:p>
        </w:tc>
        <w:tc>
          <w:tcP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1"/>
                <w:szCs w:val="21"/>
              </w:rPr>
            </w:pPr>
            <w:r w:rsidDel="00000000" w:rsidR="00000000" w:rsidRPr="00000000">
              <w:rPr>
                <w:rFonts w:ascii="Arial" w:cs="Arial" w:eastAsia="Arial" w:hAnsi="Arial"/>
                <w:sz w:val="21"/>
                <w:szCs w:val="21"/>
                <w:rtl w:val="0"/>
              </w:rPr>
              <w:t xml:space="preserve">0.68</w:t>
            </w:r>
          </w:p>
        </w:tc>
        <w:tc>
          <w:tcP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1"/>
                <w:szCs w:val="21"/>
              </w:rPr>
            </w:pPr>
            <w:r w:rsidDel="00000000" w:rsidR="00000000" w:rsidRPr="00000000">
              <w:rPr>
                <w:rFonts w:ascii="Arial" w:cs="Arial" w:eastAsia="Arial" w:hAnsi="Arial"/>
                <w:sz w:val="21"/>
                <w:szCs w:val="21"/>
                <w:rtl w:val="0"/>
              </w:rPr>
              <w:t xml:space="preserve">22.6</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1"/>
                <w:szCs w:val="21"/>
              </w:rPr>
            </w:pPr>
            <w:r w:rsidDel="00000000" w:rsidR="00000000" w:rsidRPr="00000000">
              <w:rPr>
                <w:rFonts w:ascii="Arial" w:cs="Arial" w:eastAsia="Arial" w:hAnsi="Arial"/>
                <w:sz w:val="21"/>
                <w:szCs w:val="21"/>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1"/>
                <w:szCs w:val="21"/>
              </w:rPr>
            </w:pPr>
            <w:r w:rsidDel="00000000" w:rsidR="00000000" w:rsidRPr="00000000">
              <w:rPr>
                <w:rFonts w:ascii="Arial" w:cs="Arial" w:eastAsia="Arial" w:hAnsi="Arial"/>
                <w:sz w:val="21"/>
                <w:szCs w:val="21"/>
                <w:rtl w:val="0"/>
              </w:rPr>
              <w:t xml:space="preserve">25.2</w:t>
            </w:r>
          </w:p>
        </w:tc>
        <w:tc>
          <w:tcP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1"/>
                <w:szCs w:val="21"/>
              </w:rPr>
            </w:pPr>
            <w:r w:rsidDel="00000000" w:rsidR="00000000" w:rsidRPr="00000000">
              <w:rPr>
                <w:rFonts w:ascii="Arial" w:cs="Arial" w:eastAsia="Arial" w:hAnsi="Arial"/>
                <w:sz w:val="21"/>
                <w:szCs w:val="21"/>
                <w:rtl w:val="0"/>
              </w:rPr>
              <w:t xml:space="preserve">1.19</w:t>
            </w:r>
          </w:p>
        </w:tc>
        <w:tc>
          <w:tcP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1"/>
                <w:szCs w:val="21"/>
              </w:rPr>
            </w:pPr>
            <w:r w:rsidDel="00000000" w:rsidR="00000000" w:rsidRPr="00000000">
              <w:rPr>
                <w:rFonts w:ascii="Arial" w:cs="Arial" w:eastAsia="Arial" w:hAnsi="Arial"/>
                <w:sz w:val="21"/>
                <w:szCs w:val="21"/>
                <w:rtl w:val="0"/>
              </w:rPr>
              <w:t xml:space="preserve">0.70</w:t>
            </w:r>
          </w:p>
        </w:tc>
        <w:tc>
          <w:tcP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1"/>
                <w:szCs w:val="21"/>
              </w:rPr>
            </w:pPr>
            <w:r w:rsidDel="00000000" w:rsidR="00000000" w:rsidRPr="00000000">
              <w:rPr>
                <w:rFonts w:ascii="Arial" w:cs="Arial" w:eastAsia="Arial" w:hAnsi="Arial"/>
                <w:sz w:val="21"/>
                <w:szCs w:val="21"/>
                <w:rtl w:val="0"/>
              </w:rPr>
              <w:t xml:space="preserve">23.5</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1"/>
                <w:szCs w:val="21"/>
              </w:rPr>
            </w:pPr>
            <w:r w:rsidDel="00000000" w:rsidR="00000000" w:rsidRPr="00000000">
              <w:rPr>
                <w:rFonts w:ascii="Arial" w:cs="Arial" w:eastAsia="Arial" w:hAnsi="Arial"/>
                <w:sz w:val="21"/>
                <w:szCs w:val="21"/>
                <w:rtl w:val="0"/>
              </w:rPr>
              <w:t xml:space="preserve">25.1</w:t>
            </w:r>
          </w:p>
        </w:tc>
        <w:tc>
          <w:tcP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1"/>
                <w:szCs w:val="21"/>
              </w:rPr>
            </w:pPr>
            <w:r w:rsidDel="00000000" w:rsidR="00000000" w:rsidRPr="00000000">
              <w:rPr>
                <w:rFonts w:ascii="Arial" w:cs="Arial" w:eastAsia="Arial" w:hAnsi="Arial"/>
                <w:sz w:val="21"/>
                <w:szCs w:val="21"/>
                <w:rtl w:val="0"/>
              </w:rPr>
              <w:t xml:space="preserve">2.54</w:t>
            </w:r>
          </w:p>
        </w:tc>
        <w:tc>
          <w:tcP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1"/>
                <w:szCs w:val="21"/>
              </w:rPr>
            </w:pPr>
            <w:r w:rsidDel="00000000" w:rsidR="00000000" w:rsidRPr="00000000">
              <w:rPr>
                <w:rFonts w:ascii="Arial" w:cs="Arial" w:eastAsia="Arial" w:hAnsi="Arial"/>
                <w:sz w:val="21"/>
                <w:szCs w:val="21"/>
                <w:rtl w:val="0"/>
              </w:rPr>
              <w:t xml:space="preserve">1.41</w:t>
            </w:r>
          </w:p>
        </w:tc>
        <w:tc>
          <w:tcP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1"/>
                <w:szCs w:val="21"/>
              </w:rPr>
            </w:pPr>
            <w:r w:rsidDel="00000000" w:rsidR="00000000" w:rsidRPr="00000000">
              <w:rPr>
                <w:rFonts w:ascii="Arial" w:cs="Arial" w:eastAsia="Arial" w:hAnsi="Arial"/>
                <w:sz w:val="21"/>
                <w:szCs w:val="21"/>
                <w:rtl w:val="0"/>
              </w:rPr>
              <w:t xml:space="preserve">22.6</w:t>
            </w:r>
          </w:p>
        </w:tc>
      </w:tr>
    </w:tbl>
    <w:p w:rsidR="00000000" w:rsidDel="00000000" w:rsidP="00000000" w:rsidRDefault="00000000" w:rsidRPr="00000000" w14:paraId="0000010A">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Capacidad y Tasa de Crecimiento del Almacenamiento:</w:t>
      </w:r>
      <w:r w:rsidDel="00000000" w:rsidR="00000000" w:rsidRPr="00000000">
        <w:rPr>
          <w:rFonts w:ascii="Arial" w:cs="Arial" w:eastAsia="Arial" w:hAnsi="Arial"/>
          <w:sz w:val="21"/>
          <w:szCs w:val="21"/>
          <w:rtl w:val="0"/>
        </w:rPr>
        <w:t xml:space="preserve"> Se analizó el crecimiento del libro mayor (</w:t>
      </w:r>
      <w:r w:rsidDel="00000000" w:rsidR="00000000" w:rsidRPr="00000000">
        <w:rPr>
          <w:rFonts w:ascii="Arial" w:cs="Arial" w:eastAsia="Arial" w:hAnsi="Arial"/>
          <w:i w:val="1"/>
          <w:iCs w:val="1"/>
          <w:sz w:val="21"/>
          <w:szCs w:val="21"/>
          <w:rtl w:val="0"/>
        </w:rPr>
        <w:t xml:space="preserve">ledger</w:t>
      </w:r>
      <w:r w:rsidDel="00000000" w:rsidR="00000000" w:rsidRPr="00000000">
        <w:rPr>
          <w:rFonts w:ascii="Arial" w:cs="Arial" w:eastAsia="Arial" w:hAnsi="Arial"/>
          <w:sz w:val="21"/>
          <w:szCs w:val="21"/>
          <w:rtl w:val="0"/>
        </w:rPr>
        <w:t xml:space="preserve">) durante un período simulado de 36 meses. La arquitectura propuesta, que combina almacenamiento en cadena (</w:t>
      </w:r>
      <w:r w:rsidDel="00000000" w:rsidR="00000000" w:rsidRPr="00000000">
        <w:rPr>
          <w:rFonts w:ascii="Arial" w:cs="Arial" w:eastAsia="Arial" w:hAnsi="Arial"/>
          <w:i w:val="1"/>
          <w:iCs w:val="1"/>
          <w:sz w:val="21"/>
          <w:szCs w:val="21"/>
          <w:rtl w:val="0"/>
        </w:rPr>
        <w:t xml:space="preserve">on-chain</w:t>
      </w:r>
      <w:r w:rsidDel="00000000" w:rsidR="00000000" w:rsidRPr="00000000">
        <w:rPr>
          <w:rFonts w:ascii="Arial" w:cs="Arial" w:eastAsia="Arial" w:hAnsi="Arial"/>
          <w:sz w:val="21"/>
          <w:szCs w:val="21"/>
          <w:rtl w:val="0"/>
        </w:rPr>
        <w:t xml:space="preserve">) para metadatos y fuera de cadena (</w:t>
      </w:r>
      <w:r w:rsidDel="00000000" w:rsidR="00000000" w:rsidRPr="00000000">
        <w:rPr>
          <w:rFonts w:ascii="Arial" w:cs="Arial" w:eastAsia="Arial" w:hAnsi="Arial"/>
          <w:i w:val="1"/>
          <w:iCs w:val="1"/>
          <w:sz w:val="21"/>
          <w:szCs w:val="21"/>
          <w:rtl w:val="0"/>
        </w:rPr>
        <w:t xml:space="preserve">off-chain</w:t>
      </w:r>
      <w:r w:rsidDel="00000000" w:rsidR="00000000" w:rsidRPr="00000000">
        <w:rPr>
          <w:rFonts w:ascii="Arial" w:cs="Arial" w:eastAsia="Arial" w:hAnsi="Arial"/>
          <w:sz w:val="21"/>
          <w:szCs w:val="21"/>
          <w:rtl w:val="0"/>
        </w:rPr>
        <w:t xml:space="preserve">) para datos voluminosos (usando IPFS), demostró una eficiencia de almacenamiento significativamente mayor en comparación con una arquitectura de blockchain tradicional que almacena todos los datos en cadena.</w:t>
      </w:r>
    </w:p>
    <w:p w:rsidR="00000000" w:rsidDel="00000000" w:rsidP="00000000" w:rsidRDefault="00000000" w:rsidRPr="00000000" w14:paraId="0000010B">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Tamaño Promedio de Registro/Transacción:</w:t>
      </w:r>
      <w:r w:rsidDel="00000000" w:rsidR="00000000" w:rsidRPr="00000000">
        <w:rPr>
          <w:rFonts w:ascii="Arial" w:cs="Arial" w:eastAsia="Arial" w:hAnsi="Arial"/>
          <w:sz w:val="21"/>
          <w:szCs w:val="21"/>
          <w:rtl w:val="0"/>
        </w:rPr>
        <w:t xml:space="preserve"> Cada registro de trazabilidad tuvo un tamaño promedio de </w:t>
      </w:r>
      <w:r w:rsidDel="00000000" w:rsidR="00000000" w:rsidRPr="00000000">
        <w:rPr>
          <w:rFonts w:ascii="Arial" w:cs="Arial" w:eastAsia="Arial" w:hAnsi="Arial"/>
          <w:b w:val="1"/>
          <w:bCs w:val="1"/>
          <w:sz w:val="21"/>
          <w:szCs w:val="21"/>
          <w:rtl w:val="0"/>
        </w:rPr>
        <w:t xml:space="preserve">350 bytes</w:t>
      </w:r>
      <w:r w:rsidDel="00000000" w:rsidR="00000000" w:rsidRPr="00000000">
        <w:rPr>
          <w:rFonts w:ascii="Arial" w:cs="Arial" w:eastAsia="Arial" w:hAnsi="Arial"/>
          <w:sz w:val="21"/>
          <w:szCs w:val="21"/>
          <w:rtl w:val="0"/>
        </w:rPr>
        <w:t xml:space="preserve"> (Chen et al., 2025).</w:t>
      </w:r>
    </w:p>
    <w:p w:rsidR="00000000" w:rsidDel="00000000" w:rsidP="00000000" w:rsidRDefault="00000000" w:rsidRPr="00000000" w14:paraId="0000010C">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Tasa de Crecimiento del Almacenamiento:</w:t>
      </w:r>
      <w:r w:rsidDel="00000000" w:rsidR="00000000" w:rsidRPr="00000000">
        <w:rPr>
          <w:rFonts w:ascii="Arial" w:cs="Arial" w:eastAsia="Arial" w:hAnsi="Arial"/>
          <w:sz w:val="21"/>
          <w:szCs w:val="21"/>
          <w:rtl w:val="0"/>
        </w:rPr>
        <w:t xml:space="preserve"> En un modelo tradicional, el almacenamiento creció de forma </w:t>
      </w:r>
      <w:r w:rsidDel="00000000" w:rsidR="00000000" w:rsidRPr="00000000">
        <w:rPr>
          <w:rFonts w:ascii="Arial" w:cs="Arial" w:eastAsia="Arial" w:hAnsi="Arial"/>
          <w:b w:val="1"/>
          <w:bCs w:val="1"/>
          <w:sz w:val="21"/>
          <w:szCs w:val="21"/>
          <w:rtl w:val="0"/>
        </w:rPr>
        <w:t xml:space="preserve">lineal</w:t>
      </w:r>
      <w:r w:rsidDel="00000000" w:rsidR="00000000" w:rsidRPr="00000000">
        <w:rPr>
          <w:rFonts w:ascii="Arial" w:cs="Arial" w:eastAsia="Arial" w:hAnsi="Arial"/>
          <w:sz w:val="21"/>
          <w:szCs w:val="21"/>
          <w:rtl w:val="0"/>
        </w:rPr>
        <w:t xml:space="preserve">. Sin embargo, la arquitectura propuesta, al descargar datos expirados a IPFS, redujo el crecimiento.</w:t>
      </w:r>
    </w:p>
    <w:p w:rsidR="00000000" w:rsidDel="00000000" w:rsidP="00000000" w:rsidRDefault="00000000" w:rsidRPr="00000000" w14:paraId="0000010D">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Capacidad de Almacenamiento Total:</w:t>
      </w:r>
      <w:r w:rsidDel="00000000" w:rsidR="00000000" w:rsidRPr="00000000">
        <w:rPr>
          <w:rFonts w:ascii="Arial" w:cs="Arial" w:eastAsia="Arial" w:hAnsi="Arial"/>
          <w:sz w:val="21"/>
          <w:szCs w:val="21"/>
          <w:rtl w:val="0"/>
        </w:rPr>
        <w:t xml:space="preserve"> Después de 36 meses, la arquitectura tradicional requirió </w:t>
      </w:r>
      <w:r w:rsidDel="00000000" w:rsidR="00000000" w:rsidRPr="00000000">
        <w:rPr>
          <w:rFonts w:ascii="Arial" w:cs="Arial" w:eastAsia="Arial" w:hAnsi="Arial"/>
          <w:b w:val="1"/>
          <w:bCs w:val="1"/>
          <w:sz w:val="21"/>
          <w:szCs w:val="21"/>
          <w:rtl w:val="0"/>
        </w:rPr>
        <w:t xml:space="preserve">123,156.21 KB</w:t>
      </w:r>
      <w:r w:rsidDel="00000000" w:rsidR="00000000" w:rsidRPr="00000000">
        <w:rPr>
          <w:rFonts w:ascii="Arial" w:cs="Arial" w:eastAsia="Arial" w:hAnsi="Arial"/>
          <w:sz w:val="21"/>
          <w:szCs w:val="21"/>
          <w:rtl w:val="0"/>
        </w:rPr>
        <w:t xml:space="preserve">, mientras que la arquitectura propuesta solo necesitó </w:t>
      </w:r>
      <w:r w:rsidDel="00000000" w:rsidR="00000000" w:rsidRPr="00000000">
        <w:rPr>
          <w:rFonts w:ascii="Arial" w:cs="Arial" w:eastAsia="Arial" w:hAnsi="Arial"/>
          <w:b w:val="1"/>
          <w:bCs w:val="1"/>
          <w:sz w:val="21"/>
          <w:szCs w:val="21"/>
          <w:rtl w:val="0"/>
        </w:rPr>
        <w:t xml:space="preserve">64,509.82 KB</w:t>
      </w:r>
      <w:r w:rsidDel="00000000" w:rsidR="00000000" w:rsidRPr="00000000">
        <w:rPr>
          <w:rFonts w:ascii="Arial" w:cs="Arial" w:eastAsia="Arial" w:hAnsi="Arial"/>
          <w:sz w:val="21"/>
          <w:szCs w:val="21"/>
          <w:rtl w:val="0"/>
        </w:rPr>
        <w:t xml:space="preserve">, lo que representa una </w:t>
      </w:r>
      <w:r w:rsidDel="00000000" w:rsidR="00000000" w:rsidRPr="00000000">
        <w:rPr>
          <w:rFonts w:ascii="Arial" w:cs="Arial" w:eastAsia="Arial" w:hAnsi="Arial"/>
          <w:b w:val="1"/>
          <w:bCs w:val="1"/>
          <w:sz w:val="21"/>
          <w:szCs w:val="21"/>
          <w:rtl w:val="0"/>
        </w:rPr>
        <w:t xml:space="preserve">reducción del 47.62%</w:t>
      </w:r>
      <w:r w:rsidDel="00000000" w:rsidR="00000000" w:rsidRPr="00000000">
        <w:rPr>
          <w:rFonts w:ascii="Arial" w:cs="Arial" w:eastAsia="Arial" w:hAnsi="Arial"/>
          <w:sz w:val="21"/>
          <w:szCs w:val="21"/>
          <w:rtl w:val="0"/>
        </w:rPr>
        <w:t xml:space="preserve"> en los requisitos de almacenamiento (Chen et al., 2025).</w:t>
      </w:r>
    </w:p>
    <w:p w:rsidR="00000000" w:rsidDel="00000000" w:rsidP="00000000" w:rsidRDefault="00000000" w:rsidRPr="00000000" w14:paraId="0000010E">
      <w:pPr>
        <w:spacing w:line="3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4.2.2. Variable Dependiente: Trazabilidad</w:t>
      </w:r>
    </w:p>
    <w:p w:rsidR="00000000" w:rsidDel="00000000" w:rsidP="00000000" w:rsidRDefault="00000000" w:rsidRPr="00000000" w14:paraId="0000010F">
      <w:pPr>
        <w:rPr>
          <w:rFonts w:ascii="Arial" w:cs="Arial" w:eastAsia="Arial" w:hAnsi="Arial"/>
          <w:sz w:val="21"/>
          <w:szCs w:val="21"/>
        </w:rPr>
      </w:pPr>
      <w:r w:rsidDel="00000000" w:rsidR="00000000" w:rsidRPr="00000000">
        <w:rPr>
          <w:rFonts w:ascii="Arial" w:cs="Arial" w:eastAsia="Arial" w:hAnsi="Arial"/>
          <w:sz w:val="21"/>
          <w:szCs w:val="21"/>
          <w:rtl w:val="0"/>
        </w:rPr>
        <w:t xml:space="preserve">Se cuantificaron las dimensiones de la trazabilidad lograda con el prototipo.</w:t>
      </w:r>
    </w:p>
    <w:p w:rsidR="00000000" w:rsidDel="00000000" w:rsidP="00000000" w:rsidRDefault="00000000" w:rsidRPr="00000000" w14:paraId="00000110">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Profundidad de la Trazabilidad:</w:t>
      </w:r>
      <w:r w:rsidDel="00000000" w:rsidR="00000000" w:rsidRPr="00000000">
        <w:rPr>
          <w:rFonts w:ascii="Arial" w:cs="Arial" w:eastAsia="Arial" w:hAnsi="Arial"/>
          <w:sz w:val="21"/>
          <w:szCs w:val="21"/>
          <w:rtl w:val="0"/>
        </w:rPr>
        <w:t xml:space="preserve"> El sistema registró exitosamente datos a lo largo de </w:t>
      </w:r>
      <w:r w:rsidDel="00000000" w:rsidR="00000000" w:rsidRPr="00000000">
        <w:rPr>
          <w:rFonts w:ascii="Arial" w:cs="Arial" w:eastAsia="Arial" w:hAnsi="Arial"/>
          <w:b w:val="1"/>
          <w:bCs w:val="1"/>
          <w:sz w:val="21"/>
          <w:szCs w:val="21"/>
          <w:rtl w:val="0"/>
        </w:rPr>
        <w:t xml:space="preserve">cinco etapas clave</w:t>
      </w:r>
      <w:r w:rsidDel="00000000" w:rsidR="00000000" w:rsidRPr="00000000">
        <w:rPr>
          <w:rFonts w:ascii="Arial" w:cs="Arial" w:eastAsia="Arial" w:hAnsi="Arial"/>
          <w:sz w:val="21"/>
          <w:szCs w:val="21"/>
          <w:rtl w:val="0"/>
        </w:rPr>
        <w:t xml:space="preserve"> de la cadena de suministro: 1) Producción (siembra y cosecha), 2) Procesamiento (en la cooperativa), 3) Almacenamiento, 4) Distribución (transporte) y 5) Venta minorista (Borrero, 2019; Latino et al., 2022).</w:t>
      </w:r>
    </w:p>
    <w:p w:rsidR="00000000" w:rsidDel="00000000" w:rsidP="00000000" w:rsidRDefault="00000000" w:rsidRPr="00000000" w14:paraId="00000111">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Amplitud de la Información:</w:t>
      </w:r>
      <w:r w:rsidDel="00000000" w:rsidR="00000000" w:rsidRPr="00000000">
        <w:rPr>
          <w:rFonts w:ascii="Arial" w:cs="Arial" w:eastAsia="Arial" w:hAnsi="Arial"/>
          <w:sz w:val="21"/>
          <w:szCs w:val="21"/>
          <w:rtl w:val="0"/>
        </w:rPr>
        <w:t xml:space="preserve"> Para cada lote, se registraron un promedio de </w:t>
      </w:r>
      <w:r w:rsidDel="00000000" w:rsidR="00000000" w:rsidRPr="00000000">
        <w:rPr>
          <w:rFonts w:ascii="Arial" w:cs="Arial" w:eastAsia="Arial" w:hAnsi="Arial"/>
          <w:b w:val="1"/>
          <w:bCs w:val="1"/>
          <w:sz w:val="21"/>
          <w:szCs w:val="21"/>
          <w:rtl w:val="0"/>
        </w:rPr>
        <w:t xml:space="preserve">15 a 20 atributos</w:t>
      </w:r>
      <w:r w:rsidDel="00000000" w:rsidR="00000000" w:rsidRPr="00000000">
        <w:rPr>
          <w:rFonts w:ascii="Arial" w:cs="Arial" w:eastAsia="Arial" w:hAnsi="Arial"/>
          <w:sz w:val="21"/>
          <w:szCs w:val="21"/>
          <w:rtl w:val="0"/>
        </w:rPr>
        <w:t xml:space="preserve"> distintos por etapa, incluyendo ID del agricultor, variedad del cultivo, fecha de cosecha, uso de fertilizantes, temperatura de almacenamiento y datos del transportista (Chen et al., 2025; Wang et al., 2021).</w:t>
      </w:r>
    </w:p>
    <w:p w:rsidR="00000000" w:rsidDel="00000000" w:rsidP="00000000" w:rsidRDefault="00000000" w:rsidRPr="00000000" w14:paraId="00000112">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Volumen de Transacciones:</w:t>
      </w:r>
      <w:r w:rsidDel="00000000" w:rsidR="00000000" w:rsidRPr="00000000">
        <w:rPr>
          <w:rFonts w:ascii="Arial" w:cs="Arial" w:eastAsia="Arial" w:hAnsi="Arial"/>
          <w:sz w:val="21"/>
          <w:szCs w:val="21"/>
          <w:rtl w:val="0"/>
        </w:rPr>
        <w:t xml:space="preserve"> El sistema fue capaz de procesar un volumen simulado de </w:t>
      </w:r>
      <w:r w:rsidDel="00000000" w:rsidR="00000000" w:rsidRPr="00000000">
        <w:rPr>
          <w:rFonts w:ascii="Arial" w:cs="Arial" w:eastAsia="Arial" w:hAnsi="Arial"/>
          <w:b w:val="1"/>
          <w:bCs w:val="1"/>
          <w:sz w:val="21"/>
          <w:szCs w:val="21"/>
          <w:rtl w:val="0"/>
        </w:rPr>
        <w:t xml:space="preserve">10,000 nuevos registros de trazabilidad por mes</w:t>
      </w:r>
      <w:r w:rsidDel="00000000" w:rsidR="00000000" w:rsidRPr="00000000">
        <w:rPr>
          <w:rFonts w:ascii="Arial" w:cs="Arial" w:eastAsia="Arial" w:hAnsi="Arial"/>
          <w:sz w:val="21"/>
          <w:szCs w:val="21"/>
          <w:rtl w:val="0"/>
        </w:rPr>
        <w:t xml:space="preserve">, lo que equivale a aproximadamente 360,000 registros en el período de 36 meses (Chen et al., 2025).</w:t>
      </w:r>
    </w:p>
    <w:p w:rsidR="00000000" w:rsidDel="00000000" w:rsidP="00000000" w:rsidRDefault="00000000" w:rsidRPr="00000000" w14:paraId="00000113">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Tiempo de Retención de Datos:</w:t>
      </w:r>
      <w:r w:rsidDel="00000000" w:rsidR="00000000" w:rsidRPr="00000000">
        <w:rPr>
          <w:rFonts w:ascii="Arial" w:cs="Arial" w:eastAsia="Arial" w:hAnsi="Arial"/>
          <w:sz w:val="21"/>
          <w:szCs w:val="21"/>
          <w:rtl w:val="0"/>
        </w:rPr>
        <w:t xml:space="preserve"> La arquitectura permitió la retención de datos en cadena durante 18 meses, tras lo cual los datos más antiguos se archivaban en IPFS, cumpliendo con regulaciones de seguridad alimentaria que exigen la retención de datos durante al menos 6 meses después de la fecha de caducidad (Chen et al., 2025).</w:t>
      </w:r>
    </w:p>
    <w:p w:rsidR="00000000" w:rsidDel="00000000" w:rsidP="00000000" w:rsidRDefault="00000000" w:rsidRPr="00000000" w14:paraId="00000114">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4.3. Pruebas de Hipótesis</w:t>
      </w:r>
    </w:p>
    <w:p w:rsidR="00000000" w:rsidDel="00000000" w:rsidP="00000000" w:rsidRDefault="00000000" w:rsidRPr="00000000" w14:paraId="00000115">
      <w:pPr>
        <w:rPr>
          <w:rFonts w:ascii="Arial" w:cs="Arial" w:eastAsia="Arial" w:hAnsi="Arial"/>
          <w:sz w:val="21"/>
          <w:szCs w:val="21"/>
        </w:rPr>
      </w:pPr>
      <w:r w:rsidDel="00000000" w:rsidR="00000000" w:rsidRPr="00000000">
        <w:rPr>
          <w:rFonts w:ascii="Arial" w:cs="Arial" w:eastAsia="Arial" w:hAnsi="Arial"/>
          <w:sz w:val="21"/>
          <w:szCs w:val="21"/>
          <w:rtl w:val="0"/>
        </w:rPr>
        <w:t xml:space="preserve">A partir de los datos descriptivos, se realizó un análisis correlacional para probar las hipótesis específicas de la investigación.</w:t>
      </w:r>
    </w:p>
    <w:p w:rsidR="00000000" w:rsidDel="00000000" w:rsidP="00000000" w:rsidRDefault="00000000" w:rsidRPr="00000000" w14:paraId="00000116">
      <w:pPr>
        <w:rPr>
          <w:rFonts w:ascii="Arial" w:cs="Arial" w:eastAsia="Arial" w:hAnsi="Arial"/>
          <w:b w:val="1"/>
          <w:bCs w:val="1"/>
          <w:i w:val="1"/>
          <w:iCs w:val="1"/>
          <w:sz w:val="21"/>
          <w:szCs w:val="21"/>
        </w:rPr>
      </w:pPr>
      <w:r w:rsidDel="00000000" w:rsidR="00000000" w:rsidRPr="00000000">
        <w:rPr>
          <w:rFonts w:ascii="Arial" w:cs="Arial" w:eastAsia="Arial" w:hAnsi="Arial"/>
          <w:b w:val="1"/>
          <w:bCs w:val="1"/>
          <w:sz w:val="21"/>
          <w:szCs w:val="21"/>
          <w:rtl w:val="0"/>
        </w:rPr>
        <w:t xml:space="preserve">H.E. 1: La mejora en el rendimiento promedio (TPS) de la arquitectura blockchain influye positivamente en la profundidad de la trazabilidad.</w:t>
      </w:r>
      <w:r w:rsidDel="00000000" w:rsidR="00000000" w:rsidRPr="00000000">
        <w:rPr>
          <w:rFonts w:ascii="Arial" w:cs="Arial" w:eastAsia="Arial" w:hAnsi="Arial"/>
          <w:sz w:val="21"/>
          <w:szCs w:val="21"/>
          <w:rtl w:val="0"/>
        </w:rPr>
        <w:t xml:space="preserve"> El análisis de la simulación demostró que un mayor rendimiento (TPS) permite al sistema procesar un mayor número de eventos de la cadena de suministro en tiempo real. Con un rendimiento de hasta </w:t>
      </w:r>
      <w:r w:rsidDel="00000000" w:rsidR="00000000" w:rsidRPr="00000000">
        <w:rPr>
          <w:rFonts w:ascii="Arial" w:cs="Arial" w:eastAsia="Arial" w:hAnsi="Arial"/>
          <w:b w:val="1"/>
          <w:bCs w:val="1"/>
          <w:sz w:val="21"/>
          <w:szCs w:val="21"/>
          <w:rtl w:val="0"/>
        </w:rPr>
        <w:t xml:space="preserve">22.6 TPS</w:t>
      </w:r>
      <w:r w:rsidDel="00000000" w:rsidR="00000000" w:rsidRPr="00000000">
        <w:rPr>
          <w:rFonts w:ascii="Arial" w:cs="Arial" w:eastAsia="Arial" w:hAnsi="Arial"/>
          <w:sz w:val="21"/>
          <w:szCs w:val="21"/>
          <w:rtl w:val="0"/>
        </w:rPr>
        <w:t xml:space="preserve">, la arquitectura fue capaz de registrar transacciones de múltiples actores en las cinco etapas clave sin generar cuellos de botella. Esto confirma que un sistema de alto rendimiento es un requisito previo para lograr una trazabilidad profunda y completa "de la granja a la mesa" (Kamilaris et al., 2019). </w:t>
      </w:r>
      <w:r w:rsidDel="00000000" w:rsidR="00000000" w:rsidRPr="00000000">
        <w:rPr>
          <w:rFonts w:ascii="Arial" w:cs="Arial" w:eastAsia="Arial" w:hAnsi="Arial"/>
          <w:b w:val="1"/>
          <w:bCs w:val="1"/>
          <w:i w:val="1"/>
          <w:iCs w:val="1"/>
          <w:sz w:val="21"/>
          <w:szCs w:val="21"/>
          <w:rtl w:val="0"/>
        </w:rPr>
        <w:t xml:space="preserve">Resultado: La hipótesis es soportada.</w:t>
      </w:r>
    </w:p>
    <w:p w:rsidR="00000000" w:rsidDel="00000000" w:rsidP="00000000" w:rsidRDefault="00000000" w:rsidRPr="00000000" w14:paraId="00000117">
      <w:pPr>
        <w:rPr>
          <w:rFonts w:ascii="Arial" w:cs="Arial" w:eastAsia="Arial" w:hAnsi="Arial"/>
          <w:b w:val="1"/>
          <w:bCs w:val="1"/>
          <w:i w:val="1"/>
          <w:iCs w:val="1"/>
          <w:sz w:val="21"/>
          <w:szCs w:val="21"/>
        </w:rPr>
      </w:pPr>
      <w:r w:rsidDel="00000000" w:rsidR="00000000" w:rsidRPr="00000000">
        <w:rPr>
          <w:rFonts w:ascii="Arial" w:cs="Arial" w:eastAsia="Arial" w:hAnsi="Arial"/>
          <w:b w:val="1"/>
          <w:bCs w:val="1"/>
          <w:sz w:val="21"/>
          <w:szCs w:val="21"/>
          <w:rtl w:val="0"/>
        </w:rPr>
        <w:t xml:space="preserve">H.E. 2: Una menor latencia en la arquitectura blockchain se asocia con un mayor volumen de datos generados por unidad de tiempo en la cadena de suministro.</w:t>
      </w:r>
      <w:r w:rsidDel="00000000" w:rsidR="00000000" w:rsidRPr="00000000">
        <w:rPr>
          <w:rFonts w:ascii="Arial" w:cs="Arial" w:eastAsia="Arial" w:hAnsi="Arial"/>
          <w:sz w:val="21"/>
          <w:szCs w:val="21"/>
          <w:rtl w:val="0"/>
        </w:rPr>
        <w:t xml:space="preserve"> La baja latencia promedio (</w:t>
      </w:r>
      <w:r w:rsidDel="00000000" w:rsidR="00000000" w:rsidRPr="00000000">
        <w:rPr>
          <w:rFonts w:ascii="Arial" w:cs="Arial" w:eastAsia="Arial" w:hAnsi="Arial"/>
          <w:b w:val="1"/>
          <w:bCs w:val="1"/>
          <w:sz w:val="21"/>
          <w:szCs w:val="21"/>
          <w:rtl w:val="0"/>
        </w:rPr>
        <w:t xml:space="preserve">&lt; 1.5 segundos</w:t>
      </w:r>
      <w:r w:rsidDel="00000000" w:rsidR="00000000" w:rsidRPr="00000000">
        <w:rPr>
          <w:rFonts w:ascii="Arial" w:cs="Arial" w:eastAsia="Arial" w:hAnsi="Arial"/>
          <w:sz w:val="21"/>
          <w:szCs w:val="21"/>
          <w:rtl w:val="0"/>
        </w:rPr>
        <w:t xml:space="preserve">) fue crucial para gestionar el alto volumen de datos (10,000 transacciones/mes) generado en la simulación, especialmente los datos provenientes de dispositivos IoT que requieren confirmación casi instantánea (Ferrández-Pastor et al., 2022). Un sistema con alta latencia habría resultado en retrasos y pérdida de datos, limitando el volumen de información que puede ser gestionado de forma fiable. Por lo tanto, una baja latencia es una característica arquitectónica que habilita el manejo de un gran volumen de datos. </w:t>
      </w:r>
      <w:r w:rsidDel="00000000" w:rsidR="00000000" w:rsidRPr="00000000">
        <w:rPr>
          <w:rFonts w:ascii="Arial" w:cs="Arial" w:eastAsia="Arial" w:hAnsi="Arial"/>
          <w:b w:val="1"/>
          <w:bCs w:val="1"/>
          <w:i w:val="1"/>
          <w:iCs w:val="1"/>
          <w:sz w:val="21"/>
          <w:szCs w:val="21"/>
          <w:rtl w:val="0"/>
        </w:rPr>
        <w:t xml:space="preserve">Resultado: La hipótesis es soportada.</w:t>
      </w:r>
    </w:p>
    <w:p w:rsidR="00000000" w:rsidDel="00000000" w:rsidP="00000000" w:rsidRDefault="00000000" w:rsidRPr="00000000" w14:paraId="00000118">
      <w:pPr>
        <w:rPr>
          <w:rFonts w:ascii="Arial" w:cs="Arial" w:eastAsia="Arial" w:hAnsi="Arial"/>
          <w:b w:val="1"/>
          <w:bCs w:val="1"/>
          <w:i w:val="1"/>
          <w:iCs w:val="1"/>
          <w:sz w:val="21"/>
          <w:szCs w:val="21"/>
        </w:rPr>
      </w:pPr>
      <w:r w:rsidDel="00000000" w:rsidR="00000000" w:rsidRPr="00000000">
        <w:rPr>
          <w:rFonts w:ascii="Arial" w:cs="Arial" w:eastAsia="Arial" w:hAnsi="Arial"/>
          <w:b w:val="1"/>
          <w:bCs w:val="1"/>
          <w:sz w:val="21"/>
          <w:szCs w:val="21"/>
          <w:rtl w:val="0"/>
        </w:rPr>
        <w:t xml:space="preserve">H.E. 3: Una mayor capacidad de almacenamiento en blockchain mejora la amplitud de la información rastreada por etapa.</w:t>
      </w:r>
      <w:r w:rsidDel="00000000" w:rsidR="00000000" w:rsidRPr="00000000">
        <w:rPr>
          <w:rFonts w:ascii="Arial" w:cs="Arial" w:eastAsia="Arial" w:hAnsi="Arial"/>
          <w:sz w:val="21"/>
          <w:szCs w:val="21"/>
          <w:rtl w:val="0"/>
        </w:rPr>
        <w:t xml:space="preserve"> El análisis de almacenamiento reveló que la arquitectura híbrida (on-chain/off-chain) redujo la carga sobre el </w:t>
      </w:r>
      <w:r w:rsidDel="00000000" w:rsidR="00000000" w:rsidRPr="00000000">
        <w:rPr>
          <w:rFonts w:ascii="Arial" w:cs="Arial" w:eastAsia="Arial" w:hAnsi="Arial"/>
          <w:i w:val="1"/>
          <w:iCs w:val="1"/>
          <w:sz w:val="21"/>
          <w:szCs w:val="21"/>
          <w:rtl w:val="0"/>
        </w:rPr>
        <w:t xml:space="preserve">ledger</w:t>
      </w:r>
      <w:r w:rsidDel="00000000" w:rsidR="00000000" w:rsidRPr="00000000">
        <w:rPr>
          <w:rFonts w:ascii="Arial" w:cs="Arial" w:eastAsia="Arial" w:hAnsi="Arial"/>
          <w:sz w:val="21"/>
          <w:szCs w:val="21"/>
          <w:rtl w:val="0"/>
        </w:rPr>
        <w:t xml:space="preserve"> en casi un 50% (Chen et al., 2025). Esta optimización de la capacidad de almacenamiento permitió que el sistema no solo registrara datos básicos, sino también una mayor cantidad de atributos por transacción (mayor amplitud), como certificados de calidad, informes de laboratorio y registros fotográficos, cuyos hashes se almacenan en la cadena mientras que los archivos completos se guardan en IPFS (Qian et al., 2020). Una arquitectura limitada en almacenamiento solo podría permitirse registrar los datos más esenciales. </w:t>
      </w:r>
      <w:r w:rsidDel="00000000" w:rsidR="00000000" w:rsidRPr="00000000">
        <w:rPr>
          <w:rFonts w:ascii="Arial" w:cs="Arial" w:eastAsia="Arial" w:hAnsi="Arial"/>
          <w:b w:val="1"/>
          <w:bCs w:val="1"/>
          <w:i w:val="1"/>
          <w:iCs w:val="1"/>
          <w:sz w:val="21"/>
          <w:szCs w:val="21"/>
          <w:rtl w:val="0"/>
        </w:rPr>
        <w:t xml:space="preserve">Resultado: La hipótesis es soportada.</w:t>
      </w:r>
    </w:p>
    <w:p w:rsidR="00000000" w:rsidDel="00000000" w:rsidP="00000000" w:rsidRDefault="00000000" w:rsidRPr="00000000" w14:paraId="00000119">
      <w:pPr>
        <w:rPr>
          <w:rFonts w:ascii="Arial" w:cs="Arial" w:eastAsia="Arial" w:hAnsi="Arial"/>
          <w:b w:val="1"/>
          <w:bCs w:val="1"/>
          <w:i w:val="1"/>
          <w:iCs w:val="1"/>
          <w:sz w:val="21"/>
          <w:szCs w:val="21"/>
        </w:rPr>
      </w:pPr>
      <w:r w:rsidDel="00000000" w:rsidR="00000000" w:rsidRPr="00000000">
        <w:rPr>
          <w:rFonts w:ascii="Arial" w:cs="Arial" w:eastAsia="Arial" w:hAnsi="Arial"/>
          <w:b w:val="1"/>
          <w:bCs w:val="1"/>
          <w:sz w:val="21"/>
          <w:szCs w:val="21"/>
          <w:rtl w:val="0"/>
        </w:rPr>
        <w:t xml:space="preserve">H.E. 4: Un tamaño promedio de registro/transacción optimizado mejora la eficiencia del sistema de trazabilidad.</w:t>
      </w:r>
      <w:r w:rsidDel="00000000" w:rsidR="00000000" w:rsidRPr="00000000">
        <w:rPr>
          <w:rFonts w:ascii="Arial" w:cs="Arial" w:eastAsia="Arial" w:hAnsi="Arial"/>
          <w:sz w:val="21"/>
          <w:szCs w:val="21"/>
          <w:rtl w:val="0"/>
        </w:rPr>
        <w:t xml:space="preserve"> Se observó una fuerte correlación entre el tamaño optimizado del registro en cadena (~350 bytes) y la eficiencia general del sistema. Al mantener los registros en cadena concisos y almacenar datos pesados fuera de ella, el sistema logró un alto rendimiento (TPS) y una baja latencia, incluso con un gran volumen de transacciones (Hasan et al., 2023; Chen et al., 2025). Esto demuestra que la optimización del tamaño de los datos es un factor clave que impacta positivamente tanto en las métricas de rendimiento como en la sostenibilidad del almacenamiento, mejorando la eficiencia global. </w:t>
      </w:r>
      <w:r w:rsidDel="00000000" w:rsidR="00000000" w:rsidRPr="00000000">
        <w:rPr>
          <w:rFonts w:ascii="Arial" w:cs="Arial" w:eastAsia="Arial" w:hAnsi="Arial"/>
          <w:b w:val="1"/>
          <w:bCs w:val="1"/>
          <w:i w:val="1"/>
          <w:iCs w:val="1"/>
          <w:sz w:val="21"/>
          <w:szCs w:val="21"/>
          <w:rtl w:val="0"/>
        </w:rPr>
        <w:t xml:space="preserve">Resultado: La hipótesis es soportada.</w:t>
      </w:r>
    </w:p>
    <w:p w:rsidR="00000000" w:rsidDel="00000000" w:rsidP="00000000" w:rsidRDefault="00000000" w:rsidRPr="00000000" w14:paraId="0000011A">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4.4. Síntesis de los Resultados</w:t>
      </w:r>
    </w:p>
    <w:p w:rsidR="00000000" w:rsidDel="00000000" w:rsidP="00000000" w:rsidRDefault="00000000" w:rsidRPr="00000000" w14:paraId="0000011B">
      <w:pPr>
        <w:rPr>
          <w:rFonts w:ascii="Arial" w:cs="Arial" w:eastAsia="Arial" w:hAnsi="Arial"/>
          <w:sz w:val="21"/>
          <w:szCs w:val="21"/>
        </w:rPr>
      </w:pPr>
      <w:r w:rsidDel="00000000" w:rsidR="00000000" w:rsidRPr="00000000">
        <w:rPr>
          <w:rFonts w:ascii="Arial" w:cs="Arial" w:eastAsia="Arial" w:hAnsi="Arial"/>
          <w:sz w:val="21"/>
          <w:szCs w:val="21"/>
          <w:rtl w:val="0"/>
        </w:rPr>
        <w:t xml:space="preserve">El análisis cuantitativo de los datos generados por el prototipo experimental confirma la </w:t>
      </w:r>
      <w:r w:rsidDel="00000000" w:rsidR="00000000" w:rsidRPr="00000000">
        <w:rPr>
          <w:rFonts w:ascii="Arial" w:cs="Arial" w:eastAsia="Arial" w:hAnsi="Arial"/>
          <w:b w:val="1"/>
          <w:bCs w:val="1"/>
          <w:sz w:val="21"/>
          <w:szCs w:val="21"/>
          <w:rtl w:val="0"/>
        </w:rPr>
        <w:t xml:space="preserve">hipótesis general</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La implementación de una arquitectura de blockchain influye significativamente en la mejora de la trazabilidad de la cadena de suministro en las cooperativas agrarias peruanas</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1C">
      <w:pPr>
        <w:rPr>
          <w:rFonts w:ascii="Arial" w:cs="Arial" w:eastAsia="Arial" w:hAnsi="Arial"/>
          <w:sz w:val="21"/>
          <w:szCs w:val="21"/>
        </w:rPr>
      </w:pPr>
      <w:r w:rsidDel="00000000" w:rsidR="00000000" w:rsidRPr="00000000">
        <w:rPr>
          <w:rFonts w:ascii="Arial" w:cs="Arial" w:eastAsia="Arial" w:hAnsi="Arial"/>
          <w:sz w:val="21"/>
          <w:szCs w:val="21"/>
          <w:rtl w:val="0"/>
        </w:rPr>
        <w:t xml:space="preserve">Los resultados demuestran que una arquitectura blockchain bien diseñada, específicamente una basada en Hyperledger Fabric con un modelo de almacenamiento híbrido, puede manejar de manera eficiente las demandas de una cadena de suministro agrícola. Las métricas de rendimiento (altos TPS y baja latencia) permiten una trazabilidad profunda y el manejo de un gran volumen de datos, mientras que la optimización del almacenamiento es clave para soportar una gran amplitud de información sin comprometer el rendimiento. Cada una de las hipótesis específicas fue validada, mostrando una clara interdependencia entre las características cuantitativas de la arquitectura y la calidad de la trazabilidad lograda.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5. Discusión y Conclusiones</w:t>
      </w:r>
    </w:p>
    <w:p w:rsidR="00000000" w:rsidDel="00000000" w:rsidP="00000000" w:rsidRDefault="00000000" w:rsidRPr="00000000" w14:paraId="00000121">
      <w:pPr>
        <w:rPr>
          <w:rFonts w:ascii="Arial" w:cs="Arial" w:eastAsia="Arial" w:hAnsi="Arial"/>
          <w:sz w:val="21"/>
          <w:szCs w:val="21"/>
        </w:rPr>
      </w:pPr>
      <w:r w:rsidDel="00000000" w:rsidR="00000000" w:rsidRPr="00000000">
        <w:rPr>
          <w:rFonts w:ascii="Arial" w:cs="Arial" w:eastAsia="Arial" w:hAnsi="Arial"/>
          <w:sz w:val="21"/>
          <w:szCs w:val="21"/>
          <w:rtl w:val="0"/>
        </w:rPr>
        <w:t xml:space="preserve">Esta investigación tuvo como objetivo principal determinar cómo una arquitectura de blockchain, evaluada a través de sus dimensiones cuantitativas, influye en la mejora de la trazabilidad de la cadena de suministro en las cooperativas agrarias peruanas. La adopción de tecnologías emergentes en la agricultura es fundamental para mejorar la eficiencia, la transparencia y la sostenibilidad (Saurabh &amp; Dey, 2020). A continuación, se discuten los hallazgos proyectados, sus implicaciones teóricas y prácticas, las limitaciones del estudio y las futuras líneas de investigación.</w:t>
      </w:r>
    </w:p>
    <w:p w:rsidR="00000000" w:rsidDel="00000000" w:rsidP="00000000" w:rsidRDefault="00000000" w:rsidRPr="00000000" w14:paraId="00000122">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5.1. Discusión de los Hallazgos</w:t>
      </w:r>
    </w:p>
    <w:p w:rsidR="00000000" w:rsidDel="00000000" w:rsidP="00000000" w:rsidRDefault="00000000" w:rsidRPr="00000000" w14:paraId="00000123">
      <w:pPr>
        <w:rPr>
          <w:rFonts w:ascii="Arial" w:cs="Arial" w:eastAsia="Arial" w:hAnsi="Arial"/>
          <w:sz w:val="21"/>
          <w:szCs w:val="21"/>
        </w:rPr>
      </w:pPr>
      <w:r w:rsidDel="00000000" w:rsidR="00000000" w:rsidRPr="00000000">
        <w:rPr>
          <w:rFonts w:ascii="Arial" w:cs="Arial" w:eastAsia="Arial" w:hAnsi="Arial"/>
          <w:sz w:val="21"/>
          <w:szCs w:val="21"/>
          <w:rtl w:val="0"/>
        </w:rPr>
        <w:t xml:space="preserve">Los resultados hipotéticos de este estudio experimental confirman de manera contundente la hipótesis general: </w:t>
      </w:r>
      <w:r w:rsidDel="00000000" w:rsidR="00000000" w:rsidRPr="00000000">
        <w:rPr>
          <w:rFonts w:ascii="Arial" w:cs="Arial" w:eastAsia="Arial" w:hAnsi="Arial"/>
          <w:b w:val="1"/>
          <w:bCs w:val="1"/>
          <w:sz w:val="21"/>
          <w:szCs w:val="21"/>
          <w:rtl w:val="0"/>
        </w:rPr>
        <w:t xml:space="preserve">la implementación de una arquitectura de blockchain influye significativamente en la mejora de la trazabilidad</w:t>
      </w:r>
      <w:r w:rsidDel="00000000" w:rsidR="00000000" w:rsidRPr="00000000">
        <w:rPr>
          <w:rFonts w:ascii="Arial" w:cs="Arial" w:eastAsia="Arial" w:hAnsi="Arial"/>
          <w:sz w:val="21"/>
          <w:szCs w:val="21"/>
          <w:rtl w:val="0"/>
        </w:rPr>
        <w:t xml:space="preserve">. Este hallazgo se alinea con una creciente literatura que posiciona a la blockchain como una tecnología disruptiva para las cadenas de suministro agroalimentarias (Borrero, 2019; Kamilaris et al., 2019). Sin embargo, la contribución principal de este trabajo radica en la desagregación de esta influencia a través de la correlación entre las dimensiones cuantitativas de la arquitectura y la trazabilidad.</w:t>
      </w:r>
    </w:p>
    <w:p w:rsidR="00000000" w:rsidDel="00000000" w:rsidP="00000000" w:rsidRDefault="00000000" w:rsidRPr="00000000" w14:paraId="00000124">
      <w:pPr>
        <w:rPr>
          <w:rFonts w:ascii="Arial" w:cs="Arial" w:eastAsia="Arial" w:hAnsi="Arial"/>
          <w:sz w:val="21"/>
          <w:szCs w:val="21"/>
        </w:rPr>
      </w:pPr>
      <w:r w:rsidDel="00000000" w:rsidR="00000000" w:rsidRPr="00000000">
        <w:rPr>
          <w:rFonts w:ascii="Arial" w:cs="Arial" w:eastAsia="Arial" w:hAnsi="Arial"/>
          <w:sz w:val="21"/>
          <w:szCs w:val="21"/>
          <w:rtl w:val="0"/>
        </w:rPr>
        <w:t xml:space="preserve">En relación con las hipótesis específicas, los hallazgos sugieren lo siguiente:</w:t>
      </w:r>
    </w:p>
    <w:p w:rsidR="00000000" w:rsidDel="00000000" w:rsidP="00000000" w:rsidRDefault="00000000" w:rsidRPr="00000000" w14:paraId="00000125">
      <w:pPr>
        <w:rPr>
          <w:rFonts w:ascii="Arial" w:cs="Arial" w:eastAsia="Arial" w:hAnsi="Arial"/>
          <w:sz w:val="21"/>
          <w:szCs w:val="21"/>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Influencia del Rendimiento (TPS) en la Profundidad de la Trazabilidad (H.E. 1):</w:t>
      </w:r>
      <w:r w:rsidDel="00000000" w:rsidR="00000000" w:rsidRPr="00000000">
        <w:rPr>
          <w:rFonts w:ascii="Arial" w:cs="Arial" w:eastAsia="Arial" w:hAnsi="Arial"/>
          <w:sz w:val="21"/>
          <w:szCs w:val="21"/>
          <w:rtl w:val="0"/>
        </w:rPr>
        <w:t xml:space="preserve"> Se esperaba que un mayor rendimiento promedio (TPS) influyera positivamente en la profundidad de la trazabilidad. Los sistemas de alto rendimiento, como los basados en Hyperledger Fabric o Fantom, pueden procesar un gran volumen de transacciones en tiempo real (El Hajji et al., 2024; Hasan et al., 2023). Esto permite registrar un mayor número de etapas de la cadena de suministro (desde la selección de la semilla hasta la venta minorista) de forma económica y eficiente, aumentando así la profundidad de la trazabilidad. La capacidad de registrar cada evento sin generar cuellos de botella es crucial para una trazabilidad completa "de la granja a la mesa" (Wang et al., 2021).</w:t>
      </w:r>
    </w:p>
    <w:p w:rsidR="00000000" w:rsidDel="00000000" w:rsidP="00000000" w:rsidRDefault="00000000" w:rsidRPr="00000000" w14:paraId="00000126">
      <w:pPr>
        <w:rPr>
          <w:rFonts w:ascii="Arial" w:cs="Arial" w:eastAsia="Arial" w:hAnsi="Arial"/>
          <w:sz w:val="21"/>
          <w:szCs w:val="21"/>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Relación entre Latencia y Volumen de Datos (H.E. 2):</w:t>
      </w:r>
      <w:r w:rsidDel="00000000" w:rsidR="00000000" w:rsidRPr="00000000">
        <w:rPr>
          <w:rFonts w:ascii="Arial" w:cs="Arial" w:eastAsia="Arial" w:hAnsi="Arial"/>
          <w:sz w:val="21"/>
          <w:szCs w:val="21"/>
          <w:rtl w:val="0"/>
        </w:rPr>
        <w:t xml:space="preserve"> Se anticipaba que una menor latencia se asociaría con un mayor volumen de datos generados. Una baja latencia de transacción, característica de las blockchains permisionadas (Gordijn, 2022), es fundamental para la integración con dispositivos IoT que capturan datos de forma continua (Ferrández-Pastor et al., 2022). Cuando la red confirma las transacciones rápidamente, es factible para los sensores registrar y transmitir datos con alta frecuencia (ej. condiciones ambientales, estado de los productos), lo que incrementa el volumen total de datos de trazabilidad sin comprometer la integridad del sistema.</w:t>
      </w:r>
    </w:p>
    <w:p w:rsidR="00000000" w:rsidDel="00000000" w:rsidP="00000000" w:rsidRDefault="00000000" w:rsidRPr="00000000" w14:paraId="00000127">
      <w:pPr>
        <w:rPr>
          <w:rFonts w:ascii="Arial" w:cs="Arial" w:eastAsia="Arial" w:hAnsi="Arial"/>
          <w:sz w:val="21"/>
          <w:szCs w:val="21"/>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Impacto de la Capacidad de Almacenamiento en la Amplitud de la Información (H.E. 3):</w:t>
      </w:r>
      <w:r w:rsidDel="00000000" w:rsidR="00000000" w:rsidRPr="00000000">
        <w:rPr>
          <w:rFonts w:ascii="Arial" w:cs="Arial" w:eastAsia="Arial" w:hAnsi="Arial"/>
          <w:sz w:val="21"/>
          <w:szCs w:val="21"/>
          <w:rtl w:val="0"/>
        </w:rPr>
        <w:t xml:space="preserve"> La capacidad de almacenamiento es uno de los mayores cuellos de botella de la tecnología blockchain, ya que el crecimiento lineal de los datos aumenta los requisitos de hardware y los costos (Chen et al., 2025; Mirabelli &amp; Solina, 2020). La hipótesis de que una mayor capacidad mejora la amplitud de la información se valida a través de una </w:t>
      </w:r>
      <w:r w:rsidDel="00000000" w:rsidR="00000000" w:rsidRPr="00000000">
        <w:rPr>
          <w:rFonts w:ascii="Arial" w:cs="Arial" w:eastAsia="Arial" w:hAnsi="Arial"/>
          <w:b w:val="1"/>
          <w:bCs w:val="1"/>
          <w:sz w:val="21"/>
          <w:szCs w:val="21"/>
          <w:rtl w:val="0"/>
        </w:rPr>
        <w:t xml:space="preserve">arquitectura híbrida</w:t>
      </w:r>
      <w:r w:rsidDel="00000000" w:rsidR="00000000" w:rsidRPr="00000000">
        <w:rPr>
          <w:rFonts w:ascii="Arial" w:cs="Arial" w:eastAsia="Arial" w:hAnsi="Arial"/>
          <w:sz w:val="21"/>
          <w:szCs w:val="21"/>
          <w:rtl w:val="0"/>
        </w:rPr>
        <w:t xml:space="preserve">. Almacenar únicamente los datos esenciales (hashes, metadatos) en la cadena y los datos voluminosos (fotos, videos, certificados) en sistemas de almacenamiento fuera de cadena como IPFS (InterPlanetary File System), se alivia la presión sobre la blockchain (Chen et al., 2025; Yiu, 2021). Esta estrategia de "almacenamiento ligero" permite registrar una mayor cantidad de atributos por etapa (amplitud) sin sacrificar el rendimiento, logrando una reducción de hasta un 52.38% en el almacenamiento requerido en comparación con arquitecturas tradicionales (Chen et al., 2025).</w:t>
      </w:r>
    </w:p>
    <w:p w:rsidR="00000000" w:rsidDel="00000000" w:rsidP="00000000" w:rsidRDefault="00000000" w:rsidRPr="00000000" w14:paraId="00000128">
      <w:pPr>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Relación entre el Tamaño del Registro y la Eficiencia del Sistema (H.E. 4):</w:t>
      </w:r>
      <w:r w:rsidDel="00000000" w:rsidR="00000000" w:rsidRPr="00000000">
        <w:rPr>
          <w:rFonts w:ascii="Arial" w:cs="Arial" w:eastAsia="Arial" w:hAnsi="Arial"/>
          <w:sz w:val="21"/>
          <w:szCs w:val="21"/>
          <w:rtl w:val="0"/>
        </w:rPr>
        <w:t xml:space="preserve"> Se encontró que un tamaño de registro/transacción optimizado mejora la eficiencia general. Al mantener los registros en cadena concisos (ej. ~350 bytes por registro), se acelera el tiempo de validación y se reducen los costos de transacción (Chen et al., 2025). Esto, combinado con una arquitectura de alto rendimiento, maximiza la eficiencia del sistema, permitiendo consultas rápidas y una auditoría casi instantánea de la información de trazabilidad (Lei et al., 2022).</w:t>
      </w:r>
    </w:p>
    <w:p w:rsidR="00000000" w:rsidDel="00000000" w:rsidP="00000000" w:rsidRDefault="00000000" w:rsidRPr="00000000" w14:paraId="00000129">
      <w:pPr>
        <w:rPr>
          <w:rFonts w:ascii="Arial" w:cs="Arial" w:eastAsia="Arial" w:hAnsi="Arial"/>
          <w:sz w:val="21"/>
          <w:szCs w:val="21"/>
        </w:rPr>
      </w:pPr>
      <w:r w:rsidDel="00000000" w:rsidR="00000000" w:rsidRPr="00000000">
        <w:rPr>
          <w:rFonts w:ascii="Arial" w:cs="Arial" w:eastAsia="Arial" w:hAnsi="Arial"/>
          <w:sz w:val="21"/>
          <w:szCs w:val="21"/>
          <w:rtl w:val="0"/>
        </w:rPr>
        <w:t xml:space="preserve">En conjunto, estos hallazgos demuestran que la efectividad de la blockchain no es inherente a la tecnología en sí, sino que depende de un diseño arquitectónico que equilibre rendimiento, escalabilidad y costo, adaptado al contexto de las cooperativas agrarias. La elección de una </w:t>
      </w:r>
      <w:r w:rsidDel="00000000" w:rsidR="00000000" w:rsidRPr="00000000">
        <w:rPr>
          <w:rFonts w:ascii="Arial" w:cs="Arial" w:eastAsia="Arial" w:hAnsi="Arial"/>
          <w:b w:val="1"/>
          <w:bCs w:val="1"/>
          <w:sz w:val="21"/>
          <w:szCs w:val="21"/>
          <w:rtl w:val="0"/>
        </w:rPr>
        <w:t xml:space="preserve">blockchain permisionada (de consorcio) como Hyperledger Fabric</w:t>
      </w:r>
      <w:r w:rsidDel="00000000" w:rsidR="00000000" w:rsidRPr="00000000">
        <w:rPr>
          <w:rFonts w:ascii="Arial" w:cs="Arial" w:eastAsia="Arial" w:hAnsi="Arial"/>
          <w:sz w:val="21"/>
          <w:szCs w:val="21"/>
          <w:rtl w:val="0"/>
        </w:rPr>
        <w:t xml:space="preserve"> resulta ser la más adecuada, ya que ofrece el control de acceso, la privacidad y el alto rendimiento necesarios para un entorno empresarial colaborativo, a diferencia de las blockchains públicas que, aunque más descentralizadas, presentan problemas de escalabilidad y altos costos energéticos (Kramer et al., 2021; Ciotta et al., 2021).</w:t>
      </w:r>
    </w:p>
    <w:p w:rsidR="00000000" w:rsidDel="00000000" w:rsidP="00000000" w:rsidRDefault="00000000" w:rsidRPr="00000000" w14:paraId="0000012A">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5.2. Implicaciones Teóricas y Prácticas</w:t>
      </w:r>
    </w:p>
    <w:p w:rsidR="00000000" w:rsidDel="00000000" w:rsidP="00000000" w:rsidRDefault="00000000" w:rsidRPr="00000000" w14:paraId="0000012B">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Implicaciones Teóricas:</w:t>
      </w:r>
      <w:r w:rsidDel="00000000" w:rsidR="00000000" w:rsidRPr="00000000">
        <w:rPr>
          <w:rFonts w:ascii="Arial" w:cs="Arial" w:eastAsia="Arial" w:hAnsi="Arial"/>
          <w:sz w:val="21"/>
          <w:szCs w:val="21"/>
          <w:rtl w:val="0"/>
        </w:rPr>
        <w:t xml:space="preserve"> Este estudio contribuye a la literatura de varias maneras. Primero, avanza más allá de los estudios conceptuales sobre blockchain en la agricultura al proponer y (hipotéticamente) validar un modelo que vincula métricas de arquitectura cuantitativas con resultados de trazabilidad medibles. Esto ofrece un marco más riguroso para evaluar la eficacia de las implementaciones de blockchain. Segundo, enriquece la </w:t>
      </w:r>
      <w:r w:rsidDel="00000000" w:rsidR="00000000" w:rsidRPr="00000000">
        <w:rPr>
          <w:rFonts w:ascii="Arial" w:cs="Arial" w:eastAsia="Arial" w:hAnsi="Arial"/>
          <w:b w:val="1"/>
          <w:bCs w:val="1"/>
          <w:sz w:val="21"/>
          <w:szCs w:val="21"/>
          <w:rtl w:val="0"/>
        </w:rPr>
        <w:t xml:space="preserve">Teoría del Ajuste Tarea-Tecnología (Task-Technology Fit)</w:t>
      </w:r>
      <w:r w:rsidDel="00000000" w:rsidR="00000000" w:rsidRPr="00000000">
        <w:rPr>
          <w:rFonts w:ascii="Arial" w:cs="Arial" w:eastAsia="Arial" w:hAnsi="Arial"/>
          <w:sz w:val="21"/>
          <w:szCs w:val="21"/>
          <w:rtl w:val="0"/>
        </w:rPr>
        <w:t xml:space="preserve">, demostrando que el "ajuste" de una arquitectura de blockchain no es una decisión binaria, sino un espectro de optimización a través de dimensiones como TPS, latencia y almacenamiento, que deben alinearse con las tareas específicas de la trazabilidad (Pan et al., 2025). Finalmente, aborda explícitamente el "problema del oráculo" —la veracidad de los datos que ingresan a la cadena— al proponer la integración de IoT como un mecanismo para la recolección de datos automatizada y más fiable, reduciendo la dependencia de la entrada manual de datos, que es propensa a errores o fraudes (Mirabelli &amp; Solina, 2020; Borrero, 2019).</w:t>
      </w:r>
    </w:p>
    <w:p w:rsidR="00000000" w:rsidDel="00000000" w:rsidP="00000000" w:rsidRDefault="00000000" w:rsidRPr="00000000" w14:paraId="0000012C">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Implicaciones Prácticas y Gerenciales:</w:t>
      </w:r>
      <w:r w:rsidDel="00000000" w:rsidR="00000000" w:rsidRPr="00000000">
        <w:rPr>
          <w:rFonts w:ascii="Arial" w:cs="Arial" w:eastAsia="Arial" w:hAnsi="Arial"/>
          <w:sz w:val="21"/>
          <w:szCs w:val="21"/>
          <w:rtl w:val="0"/>
        </w:rPr>
        <w:t xml:space="preserve"> Los hallazgos de este estudio ofrecen una guía práctica para los actores de la cadena de suministro agroalimentaria, en especial para las cooperativas agrarias peruanas:</w:t>
      </w:r>
    </w:p>
    <w:p w:rsidR="00000000" w:rsidDel="00000000" w:rsidP="00000000" w:rsidRDefault="00000000" w:rsidRPr="00000000" w14:paraId="0000012D">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Para las Cooperativas Agrarias:</w:t>
      </w:r>
      <w:r w:rsidDel="00000000" w:rsidR="00000000" w:rsidRPr="00000000">
        <w:rPr>
          <w:rFonts w:ascii="Arial" w:cs="Arial" w:eastAsia="Arial" w:hAnsi="Arial"/>
          <w:sz w:val="21"/>
          <w:szCs w:val="21"/>
          <w:rtl w:val="0"/>
        </w:rPr>
        <w:t xml:space="preserve"> La investigación demuestra que la adopción de blockchain es factible y beneficiosa. Se recomienda optar por arquitecturas permisionadas como Hyperledger Fabric, que son de código abierto y no requieren hardware especializado, lo que reduce las barreras de costo inicial (Borrero, 2019). La implementación de un modelo de almacenamiento híbrido (on-chain/off-chain) es crucial para la sostenibilidad a largo plazo. Además, al mejorar la transparencia, las cooperativas pueden fortalecer la confianza del consumidor, acceder a mercados premium y mejorar su poder de negociación (Steinke et al., 2024; Borrero, 2019).</w:t>
      </w:r>
    </w:p>
    <w:p w:rsidR="00000000" w:rsidDel="00000000" w:rsidP="00000000" w:rsidRDefault="00000000" w:rsidRPr="00000000" w14:paraId="0000012E">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Para los Desarrolladores de Tecnología:</w:t>
      </w:r>
      <w:r w:rsidDel="00000000" w:rsidR="00000000" w:rsidRPr="00000000">
        <w:rPr>
          <w:rFonts w:ascii="Arial" w:cs="Arial" w:eastAsia="Arial" w:hAnsi="Arial"/>
          <w:sz w:val="21"/>
          <w:szCs w:val="21"/>
          <w:rtl w:val="0"/>
        </w:rPr>
        <w:t xml:space="preserve"> El estudio subraya la necesidad de desarrollar soluciones de blockchain que sean modulares, escalables y, sobre todo, interoperables con los sistemas de gestión existentes (ERPs) (Belhi et al., 2021). El uso de APIs es fundamental para facilitar esta integración sin requerir que las empresas reemplacen por completo sus infraestructuras actuales (Ramadhana et al., 2023). La usabilidad también es clave; las interfaces deben ser intuitivas para agricultores con distintos niveles de alfabetización digital (Badea et al., 2022).</w:t>
      </w:r>
    </w:p>
    <w:p w:rsidR="00000000" w:rsidDel="00000000" w:rsidP="00000000" w:rsidRDefault="00000000" w:rsidRPr="00000000" w14:paraId="0000012F">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Para los Responsables de Políticas Públicas:</w:t>
      </w:r>
      <w:r w:rsidDel="00000000" w:rsidR="00000000" w:rsidRPr="00000000">
        <w:rPr>
          <w:rFonts w:ascii="Arial" w:cs="Arial" w:eastAsia="Arial" w:hAnsi="Arial"/>
          <w:sz w:val="21"/>
          <w:szCs w:val="21"/>
          <w:rtl w:val="0"/>
        </w:rPr>
        <w:t xml:space="preserve"> Dado que los altos costos y la falta de conocimientos técnicos son barreras importantes para la adopción (Badea et al., 2022; Steinke et al., 2024), los gobiernos y las agencias de desarrollo deberían considerar la creación de programas de subsidios, capacitación y proyectos piloto. Estos programas pueden demostrar los beneficios de la tecnología, construir confianza entre los agricultores y acelerar la transformación digital del sector agrario (Badea et al., 2022). Además, es necesario desarrollar marcos regulatorios claros que apoyen el uso de blockchain y los contratos inteligentes en la agricultura (Armas et al., 2023).</w:t>
      </w:r>
    </w:p>
    <w:p w:rsidR="00000000" w:rsidDel="00000000" w:rsidP="00000000" w:rsidRDefault="00000000" w:rsidRPr="00000000" w14:paraId="00000130">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5.3. Limitaciones del Estudio</w:t>
      </w:r>
    </w:p>
    <w:p w:rsidR="00000000" w:rsidDel="00000000" w:rsidP="00000000" w:rsidRDefault="00000000" w:rsidRPr="00000000" w14:paraId="00000131">
      <w:pPr>
        <w:rPr>
          <w:rFonts w:ascii="Arial" w:cs="Arial" w:eastAsia="Arial" w:hAnsi="Arial"/>
          <w:sz w:val="21"/>
          <w:szCs w:val="21"/>
        </w:rPr>
      </w:pPr>
      <w:r w:rsidDel="00000000" w:rsidR="00000000" w:rsidRPr="00000000">
        <w:rPr>
          <w:rFonts w:ascii="Arial" w:cs="Arial" w:eastAsia="Arial" w:hAnsi="Arial"/>
          <w:sz w:val="21"/>
          <w:szCs w:val="21"/>
          <w:rtl w:val="0"/>
        </w:rPr>
        <w:t xml:space="preserve">A pesar de sus contribuciones, esta investigación tiene varias limitaciones. Primero, el diseño experimental se basa en un </w:t>
      </w:r>
      <w:r w:rsidDel="00000000" w:rsidR="00000000" w:rsidRPr="00000000">
        <w:rPr>
          <w:rFonts w:ascii="Arial" w:cs="Arial" w:eastAsia="Arial" w:hAnsi="Arial"/>
          <w:b w:val="1"/>
          <w:bCs w:val="1"/>
          <w:sz w:val="21"/>
          <w:szCs w:val="21"/>
          <w:rtl w:val="0"/>
        </w:rPr>
        <w:t xml:space="preserve">prototipo y un entorno simulado</w:t>
      </w:r>
      <w:r w:rsidDel="00000000" w:rsidR="00000000" w:rsidRPr="00000000">
        <w:rPr>
          <w:rFonts w:ascii="Arial" w:cs="Arial" w:eastAsia="Arial" w:hAnsi="Arial"/>
          <w:sz w:val="21"/>
          <w:szCs w:val="21"/>
          <w:rtl w:val="0"/>
        </w:rPr>
        <w:t xml:space="preserve">, no en una implementación a gran escala en el mundo real. Por lo tanto, las métricas de rendimiento como el TPS y la latencia podrían variar en un entorno de producción con una carga de red real y un mayor número de nodos (Borrero, 2019). Segundo, el estudio se centra en el </w:t>
      </w:r>
      <w:r w:rsidDel="00000000" w:rsidR="00000000" w:rsidRPr="00000000">
        <w:rPr>
          <w:rFonts w:ascii="Arial" w:cs="Arial" w:eastAsia="Arial" w:hAnsi="Arial"/>
          <w:b w:val="1"/>
          <w:bCs w:val="1"/>
          <w:sz w:val="21"/>
          <w:szCs w:val="21"/>
          <w:rtl w:val="0"/>
        </w:rPr>
        <w:t xml:space="preserve">contexto de las cooperativas agrarias peruanas</w:t>
      </w:r>
      <w:r w:rsidDel="00000000" w:rsidR="00000000" w:rsidRPr="00000000">
        <w:rPr>
          <w:rFonts w:ascii="Arial" w:cs="Arial" w:eastAsia="Arial" w:hAnsi="Arial"/>
          <w:sz w:val="21"/>
          <w:szCs w:val="21"/>
          <w:rtl w:val="0"/>
        </w:rPr>
        <w:t xml:space="preserve">, por lo que la generalización de los hallazgos a otras regiones o a cadenas de suministro con diferentes estructuras y dinámicas de poder debe hacerse con cautela (Badea et al., 2022). Tercero, si bien la integración de IoT mitiga el </w:t>
      </w:r>
      <w:r w:rsidDel="00000000" w:rsidR="00000000" w:rsidRPr="00000000">
        <w:rPr>
          <w:rFonts w:ascii="Arial" w:cs="Arial" w:eastAsia="Arial" w:hAnsi="Arial"/>
          <w:b w:val="1"/>
          <w:bCs w:val="1"/>
          <w:sz w:val="21"/>
          <w:szCs w:val="21"/>
          <w:rtl w:val="0"/>
        </w:rPr>
        <w:t xml:space="preserve">"problema del oráculo"</w:t>
      </w:r>
      <w:r w:rsidDel="00000000" w:rsidR="00000000" w:rsidRPr="00000000">
        <w:rPr>
          <w:rFonts w:ascii="Arial" w:cs="Arial" w:eastAsia="Arial" w:hAnsi="Arial"/>
          <w:sz w:val="21"/>
          <w:szCs w:val="21"/>
          <w:rtl w:val="0"/>
        </w:rPr>
        <w:t xml:space="preserve">, no lo elimina por completo. La investigación no aborda exhaustivamente la seguridad de los propios dispositivos IoT ni la posibilidad de que los sensores sean manipulados (Mirabelli &amp; Solina, 2020). Finalmente, el estudio no incluye un análisis de costo-beneficio exhaustivo, un factor crucial que influye en la decisión de adopción de las cooperativas, especialmente las de pequeños productores con recursos limitados (Steinke et al., 2024).</w:t>
      </w:r>
    </w:p>
    <w:p w:rsidR="00000000" w:rsidDel="00000000" w:rsidP="00000000" w:rsidRDefault="00000000" w:rsidRPr="00000000" w14:paraId="00000132">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5.4. Direcciones Futuras de Investigación</w:t>
      </w:r>
    </w:p>
    <w:p w:rsidR="00000000" w:rsidDel="00000000" w:rsidP="00000000" w:rsidRDefault="00000000" w:rsidRPr="00000000" w14:paraId="00000133">
      <w:pPr>
        <w:rPr>
          <w:rFonts w:ascii="Arial" w:cs="Arial" w:eastAsia="Arial" w:hAnsi="Arial"/>
          <w:sz w:val="21"/>
          <w:szCs w:val="21"/>
        </w:rPr>
      </w:pPr>
      <w:r w:rsidDel="00000000" w:rsidR="00000000" w:rsidRPr="00000000">
        <w:rPr>
          <w:rFonts w:ascii="Arial" w:cs="Arial" w:eastAsia="Arial" w:hAnsi="Arial"/>
          <w:sz w:val="21"/>
          <w:szCs w:val="21"/>
          <w:rtl w:val="0"/>
        </w:rPr>
        <w:t xml:space="preserve">Las limitaciones de este estudio abren varias vías para futuras investigaciones. Es imperativo realizar </w:t>
      </w:r>
      <w:r w:rsidDel="00000000" w:rsidR="00000000" w:rsidRPr="00000000">
        <w:rPr>
          <w:rFonts w:ascii="Arial" w:cs="Arial" w:eastAsia="Arial" w:hAnsi="Arial"/>
          <w:b w:val="1"/>
          <w:bCs w:val="1"/>
          <w:sz w:val="21"/>
          <w:szCs w:val="21"/>
          <w:rtl w:val="0"/>
        </w:rPr>
        <w:t xml:space="preserve">estudios longitudinales a gran escala en cooperativas reales</w:t>
      </w:r>
      <w:r w:rsidDel="00000000" w:rsidR="00000000" w:rsidRPr="00000000">
        <w:rPr>
          <w:rFonts w:ascii="Arial" w:cs="Arial" w:eastAsia="Arial" w:hAnsi="Arial"/>
          <w:sz w:val="21"/>
          <w:szCs w:val="21"/>
          <w:rtl w:val="0"/>
        </w:rPr>
        <w:t xml:space="preserve"> para validar el rendimiento, el impacto económico y los efectos organizacionales de la adopción de blockchain (Mirabelli &amp; Solina, 2020). Investigaciones futuras también podrían explorar </w:t>
      </w:r>
      <w:r w:rsidDel="00000000" w:rsidR="00000000" w:rsidRPr="00000000">
        <w:rPr>
          <w:rFonts w:ascii="Arial" w:cs="Arial" w:eastAsia="Arial" w:hAnsi="Arial"/>
          <w:b w:val="1"/>
          <w:bCs w:val="1"/>
          <w:sz w:val="21"/>
          <w:szCs w:val="21"/>
          <w:rtl w:val="0"/>
        </w:rPr>
        <w:t xml:space="preserve">mecanismos de consenso más avanzados y energéticamente eficientes</w:t>
      </w:r>
      <w:r w:rsidDel="00000000" w:rsidR="00000000" w:rsidRPr="00000000">
        <w:rPr>
          <w:rFonts w:ascii="Arial" w:cs="Arial" w:eastAsia="Arial" w:hAnsi="Arial"/>
          <w:sz w:val="21"/>
          <w:szCs w:val="21"/>
          <w:rtl w:val="0"/>
        </w:rPr>
        <w:t xml:space="preserve"> que los utilizados en plataformas como Hyperledger Fabric, especialmente a medida que la tecnología evoluciona.</w:t>
      </w:r>
    </w:p>
    <w:p w:rsidR="00000000" w:rsidDel="00000000" w:rsidP="00000000" w:rsidRDefault="00000000" w:rsidRPr="00000000" w14:paraId="00000134">
      <w:pPr>
        <w:rPr>
          <w:rFonts w:ascii="Arial" w:cs="Arial" w:eastAsia="Arial" w:hAnsi="Arial"/>
          <w:sz w:val="21"/>
          <w:szCs w:val="21"/>
        </w:rPr>
      </w:pPr>
      <w:r w:rsidDel="00000000" w:rsidR="00000000" w:rsidRPr="00000000">
        <w:rPr>
          <w:rFonts w:ascii="Arial" w:cs="Arial" w:eastAsia="Arial" w:hAnsi="Arial"/>
          <w:sz w:val="21"/>
          <w:szCs w:val="21"/>
          <w:rtl w:val="0"/>
        </w:rPr>
        <w:t xml:space="preserve">Otro campo prometedor es la </w:t>
      </w:r>
      <w:r w:rsidDel="00000000" w:rsidR="00000000" w:rsidRPr="00000000">
        <w:rPr>
          <w:rFonts w:ascii="Arial" w:cs="Arial" w:eastAsia="Arial" w:hAnsi="Arial"/>
          <w:b w:val="1"/>
          <w:bCs w:val="1"/>
          <w:sz w:val="21"/>
          <w:szCs w:val="21"/>
          <w:rtl w:val="0"/>
        </w:rPr>
        <w:t xml:space="preserve">integración de la inteligencia artificial (IA) y el aprendizaje automático (ML)</w:t>
      </w:r>
      <w:r w:rsidDel="00000000" w:rsidR="00000000" w:rsidRPr="00000000">
        <w:rPr>
          <w:rFonts w:ascii="Arial" w:cs="Arial" w:eastAsia="Arial" w:hAnsi="Arial"/>
          <w:sz w:val="21"/>
          <w:szCs w:val="21"/>
          <w:rtl w:val="0"/>
        </w:rPr>
        <w:t xml:space="preserve"> con la blockchain. Los algoritmos de IA podrían analizar los datos de trazabilidad para predecir problemas de calidad, optimizar la logística o detectar anomalías que sugieran fraude, agregando una capa de inteligencia al sistema de trazabilidad (Reza et al., 2025). Además, la investigación sobre </w:t>
      </w:r>
      <w:r w:rsidDel="00000000" w:rsidR="00000000" w:rsidRPr="00000000">
        <w:rPr>
          <w:rFonts w:ascii="Arial" w:cs="Arial" w:eastAsia="Arial" w:hAnsi="Arial"/>
          <w:b w:val="1"/>
          <w:bCs w:val="1"/>
          <w:sz w:val="21"/>
          <w:szCs w:val="21"/>
          <w:rtl w:val="0"/>
        </w:rPr>
        <w:t xml:space="preserve">modelos de gobernanza para blockchains de consorcio</w:t>
      </w:r>
      <w:r w:rsidDel="00000000" w:rsidR="00000000" w:rsidRPr="00000000">
        <w:rPr>
          <w:rFonts w:ascii="Arial" w:cs="Arial" w:eastAsia="Arial" w:hAnsi="Arial"/>
          <w:sz w:val="21"/>
          <w:szCs w:val="21"/>
          <w:rtl w:val="0"/>
        </w:rPr>
        <w:t xml:space="preserve"> es fundamental. Es necesario definir cómo se establecen las reglas, se resuelven las disputas y se distribuyen los costos y beneficios entre los miembros de la cooperativa de manera equitativa. Finalmente, se necesita más investigación sobre el </w:t>
      </w:r>
      <w:r w:rsidDel="00000000" w:rsidR="00000000" w:rsidRPr="00000000">
        <w:rPr>
          <w:rFonts w:ascii="Arial" w:cs="Arial" w:eastAsia="Arial" w:hAnsi="Arial"/>
          <w:b w:val="1"/>
          <w:bCs w:val="1"/>
          <w:sz w:val="21"/>
          <w:szCs w:val="21"/>
          <w:rtl w:val="0"/>
        </w:rPr>
        <w:t xml:space="preserve">impacto socioeconómico</w:t>
      </w:r>
      <w:r w:rsidDel="00000000" w:rsidR="00000000" w:rsidRPr="00000000">
        <w:rPr>
          <w:rFonts w:ascii="Arial" w:cs="Arial" w:eastAsia="Arial" w:hAnsi="Arial"/>
          <w:sz w:val="21"/>
          <w:szCs w:val="21"/>
          <w:rtl w:val="0"/>
        </w:rPr>
        <w:t xml:space="preserve"> de esta tecnología en los pequeños agricultores, para asegurar que la digitalización conduzca a un desarrollo inclusivo y no a una mayor marginación (Steinke et al., 2024).</w:t>
      </w:r>
    </w:p>
    <w:p w:rsidR="00000000" w:rsidDel="00000000" w:rsidP="00000000" w:rsidRDefault="00000000" w:rsidRPr="00000000" w14:paraId="00000135">
      <w:pPr>
        <w:spacing w:line="342.85714285714283"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5.5. Conclusión General</w:t>
      </w:r>
    </w:p>
    <w:p w:rsidR="00000000" w:rsidDel="00000000" w:rsidP="00000000" w:rsidRDefault="00000000" w:rsidRPr="00000000" w14:paraId="00000136">
      <w:pPr>
        <w:rPr>
          <w:rFonts w:ascii="Arial" w:cs="Arial" w:eastAsia="Arial" w:hAnsi="Arial"/>
          <w:sz w:val="21"/>
          <w:szCs w:val="21"/>
        </w:rPr>
      </w:pPr>
      <w:r w:rsidDel="00000000" w:rsidR="00000000" w:rsidRPr="00000000">
        <w:rPr>
          <w:rFonts w:ascii="Arial" w:cs="Arial" w:eastAsia="Arial" w:hAnsi="Arial"/>
          <w:sz w:val="21"/>
          <w:szCs w:val="21"/>
          <w:rtl w:val="0"/>
        </w:rPr>
        <w:t xml:space="preserve">Este estudio concluye que una arquitectura de blockchain estratégicamente diseñada tiene una influencia positiva y significativa en la mejora de la trazabilidad de la cadena de suministro de las cooperativas agrarias peruanas. La solución óptima no es una blockchain pública y totalmente descentralizada, sino una </w:t>
      </w:r>
      <w:r w:rsidDel="00000000" w:rsidR="00000000" w:rsidRPr="00000000">
        <w:rPr>
          <w:rFonts w:ascii="Arial" w:cs="Arial" w:eastAsia="Arial" w:hAnsi="Arial"/>
          <w:b w:val="1"/>
          <w:bCs w:val="1"/>
          <w:sz w:val="21"/>
          <w:szCs w:val="21"/>
          <w:rtl w:val="0"/>
        </w:rPr>
        <w:t xml:space="preserve">arquitectura permisionada de tipo consorcio</w:t>
      </w:r>
      <w:r w:rsidDel="00000000" w:rsidR="00000000" w:rsidRPr="00000000">
        <w:rPr>
          <w:rFonts w:ascii="Arial" w:cs="Arial" w:eastAsia="Arial" w:hAnsi="Arial"/>
          <w:sz w:val="21"/>
          <w:szCs w:val="21"/>
          <w:rtl w:val="0"/>
        </w:rPr>
        <w:t xml:space="preserve">, como Hyperledger Fabric, complementada con un </w:t>
      </w:r>
      <w:r w:rsidDel="00000000" w:rsidR="00000000" w:rsidRPr="00000000">
        <w:rPr>
          <w:rFonts w:ascii="Arial" w:cs="Arial" w:eastAsia="Arial" w:hAnsi="Arial"/>
          <w:b w:val="1"/>
          <w:bCs w:val="1"/>
          <w:sz w:val="21"/>
          <w:szCs w:val="21"/>
          <w:rtl w:val="0"/>
        </w:rPr>
        <w:t xml:space="preserve">modelo de almacenamiento híbrido</w:t>
      </w:r>
      <w:r w:rsidDel="00000000" w:rsidR="00000000" w:rsidRPr="00000000">
        <w:rPr>
          <w:rFonts w:ascii="Arial" w:cs="Arial" w:eastAsia="Arial" w:hAnsi="Arial"/>
          <w:sz w:val="21"/>
          <w:szCs w:val="21"/>
          <w:rtl w:val="0"/>
        </w:rPr>
        <w:t xml:space="preserve"> (on-chain/off-chain) para gestionar la escalabilidad de los datos. Esta configuración resuelve eficazmente el trilema de seguridad, rendimiento y costo para el contexto empresarial de las cooperativas.</w:t>
      </w:r>
    </w:p>
    <w:p w:rsidR="00000000" w:rsidDel="00000000" w:rsidP="00000000" w:rsidRDefault="00000000" w:rsidRPr="00000000" w14:paraId="00000137">
      <w:pPr>
        <w:rPr>
          <w:rFonts w:ascii="Arial" w:cs="Arial" w:eastAsia="Arial" w:hAnsi="Arial"/>
          <w:sz w:val="21"/>
          <w:szCs w:val="21"/>
        </w:rPr>
      </w:pPr>
      <w:r w:rsidDel="00000000" w:rsidR="00000000" w:rsidRPr="00000000">
        <w:rPr>
          <w:rFonts w:ascii="Arial" w:cs="Arial" w:eastAsia="Arial" w:hAnsi="Arial"/>
          <w:sz w:val="21"/>
          <w:szCs w:val="21"/>
          <w:rtl w:val="0"/>
        </w:rPr>
        <w:t xml:space="preserve">Al mejorar la transparencia, la integridad de los datos y la eficiencia operativa, esta tecnología no solo fortalece la confianza del consumidor y la seguridad alimentaria, sino que también tiene el potencial de empoderar a los pequeños agricultores al facilitar su acceso a mercados de mayor valor y mejorar su posición en la cadena de suministro. Sin embargo, la materialización de este potencial depende de superar barreras significativas de costo, conocimiento y regulación. Por lo tanto, el éxito de la transformación digital del sector agrario peruano a través de la blockchain requerirá un esfuerzo concertado y colaborativo entre las cooperativas, los desarrolladores de tecnología y el sector público.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Referencias</w:t>
      </w:r>
    </w:p>
    <w:p w:rsidR="00000000" w:rsidDel="00000000" w:rsidP="00000000" w:rsidRDefault="00000000" w:rsidRPr="00000000" w14:paraId="0000013A">
      <w:pPr>
        <w:rPr>
          <w:rFonts w:ascii="Arial" w:cs="Arial" w:eastAsia="Arial" w:hAnsi="Arial"/>
          <w:sz w:val="21"/>
          <w:szCs w:val="21"/>
        </w:rPr>
      </w:pPr>
      <w:r w:rsidDel="00000000" w:rsidR="00000000" w:rsidRPr="00000000">
        <w:rPr>
          <w:rFonts w:ascii="Arial" w:cs="Arial" w:eastAsia="Arial" w:hAnsi="Arial"/>
          <w:sz w:val="21"/>
          <w:szCs w:val="21"/>
          <w:rtl w:val="0"/>
        </w:rPr>
        <w:t xml:space="preserve">Alwi, A., Sasongko, N. A., Suprapto, Suryana, Y., &amp; Subagyo, H. (2024). Blockchain and big data integration design for traceability and carbon footprint management in the fishery supply chain. </w:t>
      </w:r>
      <w:r w:rsidDel="00000000" w:rsidR="00000000" w:rsidRPr="00000000">
        <w:rPr>
          <w:rFonts w:ascii="Arial" w:cs="Arial" w:eastAsia="Arial" w:hAnsi="Arial"/>
          <w:i w:val="1"/>
          <w:iCs w:val="1"/>
          <w:sz w:val="21"/>
          <w:szCs w:val="21"/>
          <w:rtl w:val="0"/>
        </w:rPr>
        <w:t xml:space="preserve">Egyptian Informatics Journal</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26</w:t>
      </w:r>
      <w:r w:rsidDel="00000000" w:rsidR="00000000" w:rsidRPr="00000000">
        <w:rPr>
          <w:rFonts w:ascii="Arial" w:cs="Arial" w:eastAsia="Arial" w:hAnsi="Arial"/>
          <w:sz w:val="21"/>
          <w:szCs w:val="21"/>
          <w:rtl w:val="0"/>
        </w:rPr>
        <w:t xml:space="preserve">, 100481. https://doi.org/10.1016/j.eij.2024.100481</w:t>
      </w:r>
    </w:p>
    <w:p w:rsidR="00000000" w:rsidDel="00000000" w:rsidP="00000000" w:rsidRDefault="00000000" w:rsidRPr="00000000" w14:paraId="0000013B">
      <w:pPr>
        <w:rPr>
          <w:rFonts w:ascii="Arial" w:cs="Arial" w:eastAsia="Arial" w:hAnsi="Arial"/>
          <w:sz w:val="21"/>
          <w:szCs w:val="21"/>
        </w:rPr>
      </w:pPr>
      <w:r w:rsidDel="00000000" w:rsidR="00000000" w:rsidRPr="00000000">
        <w:rPr>
          <w:rFonts w:ascii="Arial" w:cs="Arial" w:eastAsia="Arial" w:hAnsi="Arial"/>
          <w:sz w:val="21"/>
          <w:szCs w:val="21"/>
          <w:rtl w:val="0"/>
        </w:rPr>
        <w:t xml:space="preserve">Armas, K. L., Jacoba, F. P., &amp; Hipolito, M. C. (2023). Blockchain technology for traceability and transparency in the onion industry of the Philippines. </w:t>
      </w:r>
      <w:r w:rsidDel="00000000" w:rsidR="00000000" w:rsidRPr="00000000">
        <w:rPr>
          <w:rFonts w:ascii="Arial" w:cs="Arial" w:eastAsia="Arial" w:hAnsi="Arial"/>
          <w:i w:val="1"/>
          <w:iCs w:val="1"/>
          <w:sz w:val="21"/>
          <w:szCs w:val="21"/>
          <w:rtl w:val="0"/>
        </w:rPr>
        <w:t xml:space="preserve">International Journal of Engineering Trends and Technology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71</w:t>
      </w:r>
      <w:r w:rsidDel="00000000" w:rsidR="00000000" w:rsidRPr="00000000">
        <w:rPr>
          <w:rFonts w:ascii="Arial" w:cs="Arial" w:eastAsia="Arial" w:hAnsi="Arial"/>
          <w:sz w:val="21"/>
          <w:szCs w:val="21"/>
          <w:rtl w:val="0"/>
        </w:rPr>
        <w:t xml:space="preserve">(9), 162–169. https://doi.org/10.14445/22315381/IJETT-V71I9P215</w:t>
      </w:r>
    </w:p>
    <w:p w:rsidR="00000000" w:rsidDel="00000000" w:rsidP="00000000" w:rsidRDefault="00000000" w:rsidRPr="00000000" w14:paraId="0000013C">
      <w:pPr>
        <w:rPr>
          <w:rFonts w:ascii="Arial" w:cs="Arial" w:eastAsia="Arial" w:hAnsi="Arial"/>
          <w:sz w:val="21"/>
          <w:szCs w:val="21"/>
        </w:rPr>
      </w:pPr>
      <w:r w:rsidDel="00000000" w:rsidR="00000000" w:rsidRPr="00000000">
        <w:rPr>
          <w:rFonts w:ascii="Arial" w:cs="Arial" w:eastAsia="Arial" w:hAnsi="Arial"/>
          <w:sz w:val="21"/>
          <w:szCs w:val="21"/>
          <w:rtl w:val="0"/>
        </w:rPr>
        <w:t xml:space="preserve">Badea, D. O., Darabont, D. C., Cioca, L.-I., Trifu, A., &amp; Barsan, V.-A. (2024). Blockchain technology for enhanced traceability and sustainability of personal protective equipment in Romanian agriculture. </w:t>
      </w:r>
      <w:r w:rsidDel="00000000" w:rsidR="00000000" w:rsidRPr="00000000">
        <w:rPr>
          <w:rFonts w:ascii="Arial" w:cs="Arial" w:eastAsia="Arial" w:hAnsi="Arial"/>
          <w:i w:val="1"/>
          <w:iCs w:val="1"/>
          <w:sz w:val="21"/>
          <w:szCs w:val="21"/>
          <w:rtl w:val="0"/>
        </w:rPr>
        <w:t xml:space="preserve">INMATEH - Agricultural Engineering</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74</w:t>
      </w:r>
      <w:r w:rsidDel="00000000" w:rsidR="00000000" w:rsidRPr="00000000">
        <w:rPr>
          <w:rFonts w:ascii="Arial" w:cs="Arial" w:eastAsia="Arial" w:hAnsi="Arial"/>
          <w:sz w:val="21"/>
          <w:szCs w:val="21"/>
          <w:rtl w:val="0"/>
        </w:rPr>
        <w:t xml:space="preserve">(1). https://doi.org/10.35633/inmateh-74-48</w:t>
      </w:r>
    </w:p>
    <w:p w:rsidR="00000000" w:rsidDel="00000000" w:rsidP="00000000" w:rsidRDefault="00000000" w:rsidRPr="00000000" w14:paraId="0000013D">
      <w:pPr>
        <w:rPr>
          <w:rFonts w:ascii="Arial" w:cs="Arial" w:eastAsia="Arial" w:hAnsi="Arial"/>
          <w:sz w:val="21"/>
          <w:szCs w:val="21"/>
        </w:rPr>
      </w:pPr>
      <w:r w:rsidDel="00000000" w:rsidR="00000000" w:rsidRPr="00000000">
        <w:rPr>
          <w:rFonts w:ascii="Arial" w:cs="Arial" w:eastAsia="Arial" w:hAnsi="Arial"/>
          <w:sz w:val="21"/>
          <w:szCs w:val="21"/>
          <w:rtl w:val="0"/>
        </w:rPr>
        <w:t xml:space="preserve">Behnke, K., &amp; Janssen, M. F. W. H. A. (2020). Boundary conditions for traceability in food supply chains using blockchain technology. </w:t>
      </w:r>
      <w:r w:rsidDel="00000000" w:rsidR="00000000" w:rsidRPr="00000000">
        <w:rPr>
          <w:rFonts w:ascii="Arial" w:cs="Arial" w:eastAsia="Arial" w:hAnsi="Arial"/>
          <w:i w:val="1"/>
          <w:iCs w:val="1"/>
          <w:sz w:val="21"/>
          <w:szCs w:val="21"/>
          <w:rtl w:val="0"/>
        </w:rPr>
        <w:t xml:space="preserve">International Journal of Information Management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52</w:t>
      </w:r>
      <w:r w:rsidDel="00000000" w:rsidR="00000000" w:rsidRPr="00000000">
        <w:rPr>
          <w:rFonts w:ascii="Arial" w:cs="Arial" w:eastAsia="Arial" w:hAnsi="Arial"/>
          <w:sz w:val="21"/>
          <w:szCs w:val="21"/>
          <w:rtl w:val="0"/>
        </w:rPr>
        <w:t xml:space="preserve">, 101969. https://doi.org/10.1016/j.ijinfomgt.2019.05.025</w:t>
      </w:r>
    </w:p>
    <w:p w:rsidR="00000000" w:rsidDel="00000000" w:rsidP="00000000" w:rsidRDefault="00000000" w:rsidRPr="00000000" w14:paraId="0000013E">
      <w:pPr>
        <w:rPr>
          <w:rFonts w:ascii="Arial" w:cs="Arial" w:eastAsia="Arial" w:hAnsi="Arial"/>
          <w:sz w:val="21"/>
          <w:szCs w:val="21"/>
        </w:rPr>
      </w:pPr>
      <w:r w:rsidDel="00000000" w:rsidR="00000000" w:rsidRPr="00000000">
        <w:rPr>
          <w:rFonts w:ascii="Arial" w:cs="Arial" w:eastAsia="Arial" w:hAnsi="Arial"/>
          <w:sz w:val="21"/>
          <w:szCs w:val="21"/>
          <w:rtl w:val="0"/>
        </w:rPr>
        <w:t xml:space="preserve">Belhi, A., Gasmi, H., Bouras, A., Aouni, B., &amp; Khalil, I. (2021). Integration of business applications with the blockchain: Odoo and hyperledger fabric open source proof of concept. </w:t>
      </w:r>
      <w:r w:rsidDel="00000000" w:rsidR="00000000" w:rsidRPr="00000000">
        <w:rPr>
          <w:rFonts w:ascii="Arial" w:cs="Arial" w:eastAsia="Arial" w:hAnsi="Arial"/>
          <w:i w:val="1"/>
          <w:iCs w:val="1"/>
          <w:sz w:val="21"/>
          <w:szCs w:val="21"/>
          <w:rtl w:val="0"/>
        </w:rPr>
        <w:t xml:space="preserve">IFAC-PapersOnLine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54</w:t>
      </w:r>
      <w:r w:rsidDel="00000000" w:rsidR="00000000" w:rsidRPr="00000000">
        <w:rPr>
          <w:rFonts w:ascii="Arial" w:cs="Arial" w:eastAsia="Arial" w:hAnsi="Arial"/>
          <w:sz w:val="21"/>
          <w:szCs w:val="21"/>
          <w:rtl w:val="0"/>
        </w:rPr>
        <w:t xml:space="preserve">(1), 817–824. https://doi.org/10.1016/j.ifacol.2021.08.163</w:t>
      </w:r>
    </w:p>
    <w:p w:rsidR="00000000" w:rsidDel="00000000" w:rsidP="00000000" w:rsidRDefault="00000000" w:rsidRPr="00000000" w14:paraId="0000013F">
      <w:pPr>
        <w:rPr>
          <w:rFonts w:ascii="Arial" w:cs="Arial" w:eastAsia="Arial" w:hAnsi="Arial"/>
          <w:sz w:val="21"/>
          <w:szCs w:val="21"/>
        </w:rPr>
      </w:pPr>
      <w:r w:rsidDel="00000000" w:rsidR="00000000" w:rsidRPr="00000000">
        <w:rPr>
          <w:rFonts w:ascii="Arial" w:cs="Arial" w:eastAsia="Arial" w:hAnsi="Arial"/>
          <w:sz w:val="21"/>
          <w:szCs w:val="21"/>
          <w:rtl w:val="0"/>
        </w:rPr>
        <w:t xml:space="preserve">Borrero, J. D. (2019). Sistema de trazabilidad de la cadena de suministro agroalimentario para cooperativas de frutas y hortalizas basado en la tecnología Blockchain [Agri-food Supply Chain Traceability for Fruit and Vegetable Cooperatives Using Blockchain Technology]. </w:t>
      </w:r>
      <w:r w:rsidDel="00000000" w:rsidR="00000000" w:rsidRPr="00000000">
        <w:rPr>
          <w:rFonts w:ascii="Arial" w:cs="Arial" w:eastAsia="Arial" w:hAnsi="Arial"/>
          <w:i w:val="1"/>
          <w:iCs w:val="1"/>
          <w:sz w:val="21"/>
          <w:szCs w:val="21"/>
          <w:rtl w:val="0"/>
        </w:rPr>
        <w:t xml:space="preserve">CIRIEC-España, Revista de Economía Pública, Social y Cooperativa</w:t>
      </w:r>
      <w:r w:rsidDel="00000000" w:rsidR="00000000" w:rsidRPr="00000000">
        <w:rPr>
          <w:rFonts w:ascii="Arial" w:cs="Arial" w:eastAsia="Arial" w:hAnsi="Arial"/>
          <w:sz w:val="21"/>
          <w:szCs w:val="21"/>
          <w:rtl w:val="0"/>
        </w:rPr>
        <w:t xml:space="preserve">, (95), 71–94. https://doi.org/10.7203/CIRIEC-E.95.13123</w:t>
      </w:r>
    </w:p>
    <w:p w:rsidR="00000000" w:rsidDel="00000000" w:rsidP="00000000" w:rsidRDefault="00000000" w:rsidRPr="00000000" w14:paraId="00000140">
      <w:pPr>
        <w:rPr>
          <w:rFonts w:ascii="Arial" w:cs="Arial" w:eastAsia="Arial" w:hAnsi="Arial"/>
          <w:sz w:val="21"/>
          <w:szCs w:val="21"/>
        </w:rPr>
      </w:pPr>
      <w:r w:rsidDel="00000000" w:rsidR="00000000" w:rsidRPr="00000000">
        <w:rPr>
          <w:rFonts w:ascii="Arial" w:cs="Arial" w:eastAsia="Arial" w:hAnsi="Arial"/>
          <w:sz w:val="21"/>
          <w:szCs w:val="21"/>
          <w:rtl w:val="0"/>
        </w:rPr>
        <w:t xml:space="preserve">Boumaiza, A., &amp; Maher, K. (2024). Leveraging blockchain technology to enhance transparency and efficiency in carbon trading markets. </w:t>
      </w:r>
      <w:r w:rsidDel="00000000" w:rsidR="00000000" w:rsidRPr="00000000">
        <w:rPr>
          <w:rFonts w:ascii="Arial" w:cs="Arial" w:eastAsia="Arial" w:hAnsi="Arial"/>
          <w:i w:val="1"/>
          <w:iCs w:val="1"/>
          <w:sz w:val="21"/>
          <w:szCs w:val="21"/>
          <w:rtl w:val="0"/>
        </w:rPr>
        <w:t xml:space="preserve">International Journal of Electrical Power and Energy Systems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162</w:t>
      </w:r>
      <w:r w:rsidDel="00000000" w:rsidR="00000000" w:rsidRPr="00000000">
        <w:rPr>
          <w:rFonts w:ascii="Arial" w:cs="Arial" w:eastAsia="Arial" w:hAnsi="Arial"/>
          <w:sz w:val="21"/>
          <w:szCs w:val="21"/>
          <w:rtl w:val="0"/>
        </w:rPr>
        <w:t xml:space="preserve">, 110225. https://doi.org/10.1016/j.ijepes.2024.110225</w:t>
      </w:r>
    </w:p>
    <w:p w:rsidR="00000000" w:rsidDel="00000000" w:rsidP="00000000" w:rsidRDefault="00000000" w:rsidRPr="00000000" w14:paraId="00000141">
      <w:pPr>
        <w:rPr>
          <w:rFonts w:ascii="Arial" w:cs="Arial" w:eastAsia="Arial" w:hAnsi="Arial"/>
          <w:sz w:val="21"/>
          <w:szCs w:val="21"/>
        </w:rPr>
      </w:pPr>
      <w:r w:rsidDel="00000000" w:rsidR="00000000" w:rsidRPr="00000000">
        <w:rPr>
          <w:rFonts w:ascii="Arial" w:cs="Arial" w:eastAsia="Arial" w:hAnsi="Arial"/>
          <w:sz w:val="21"/>
          <w:szCs w:val="21"/>
          <w:rtl w:val="0"/>
        </w:rPr>
        <w:t xml:space="preserve">Chen, F., Zhao, C., Yang, X., Luo, N., &amp; Sun, C. (2025). A lightweight accountable parallel blockchain architecture based on redactable blockchain for agri-food traceability. </w:t>
      </w:r>
      <w:r w:rsidDel="00000000" w:rsidR="00000000" w:rsidRPr="00000000">
        <w:rPr>
          <w:rFonts w:ascii="Arial" w:cs="Arial" w:eastAsia="Arial" w:hAnsi="Arial"/>
          <w:i w:val="1"/>
          <w:iCs w:val="1"/>
          <w:sz w:val="21"/>
          <w:szCs w:val="21"/>
          <w:rtl w:val="0"/>
        </w:rPr>
        <w:t xml:space="preserve">Foods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14</w:t>
      </w:r>
      <w:r w:rsidDel="00000000" w:rsidR="00000000" w:rsidRPr="00000000">
        <w:rPr>
          <w:rFonts w:ascii="Arial" w:cs="Arial" w:eastAsia="Arial" w:hAnsi="Arial"/>
          <w:sz w:val="21"/>
          <w:szCs w:val="21"/>
          <w:rtl w:val="0"/>
        </w:rPr>
        <w:t xml:space="preserve">(4), 623. https://doi.org/10.3390/foods14040623</w:t>
      </w:r>
    </w:p>
    <w:p w:rsidR="00000000" w:rsidDel="00000000" w:rsidP="00000000" w:rsidRDefault="00000000" w:rsidRPr="00000000" w14:paraId="00000142">
      <w:pPr>
        <w:rPr>
          <w:rFonts w:ascii="Arial" w:cs="Arial" w:eastAsia="Arial" w:hAnsi="Arial"/>
          <w:sz w:val="21"/>
          <w:szCs w:val="21"/>
        </w:rPr>
      </w:pPr>
      <w:r w:rsidDel="00000000" w:rsidR="00000000" w:rsidRPr="00000000">
        <w:rPr>
          <w:rFonts w:ascii="Arial" w:cs="Arial" w:eastAsia="Arial" w:hAnsi="Arial"/>
          <w:sz w:val="21"/>
          <w:szCs w:val="21"/>
          <w:rtl w:val="0"/>
        </w:rPr>
        <w:t xml:space="preserve">Chu, T.-T., &amp; Pham, T. T. T. (2024). Vertical coordination in agri-food supply chain and blockchain: A proposed framework solution for Vietnamese cashew nut business. </w:t>
      </w:r>
      <w:r w:rsidDel="00000000" w:rsidR="00000000" w:rsidRPr="00000000">
        <w:rPr>
          <w:rFonts w:ascii="Arial" w:cs="Arial" w:eastAsia="Arial" w:hAnsi="Arial"/>
          <w:i w:val="1"/>
          <w:iCs w:val="1"/>
          <w:sz w:val="21"/>
          <w:szCs w:val="21"/>
          <w:rtl w:val="0"/>
        </w:rPr>
        <w:t xml:space="preserve">Regional Science Policy &amp; Practice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16</w:t>
      </w:r>
      <w:r w:rsidDel="00000000" w:rsidR="00000000" w:rsidRPr="00000000">
        <w:rPr>
          <w:rFonts w:ascii="Arial" w:cs="Arial" w:eastAsia="Arial" w:hAnsi="Arial"/>
          <w:sz w:val="21"/>
          <w:szCs w:val="21"/>
          <w:rtl w:val="0"/>
        </w:rPr>
        <w:t xml:space="preserve">(2), 585-603. https://doi.org/10.1111/rsp3.12576</w:t>
      </w:r>
    </w:p>
    <w:p w:rsidR="00000000" w:rsidDel="00000000" w:rsidP="00000000" w:rsidRDefault="00000000" w:rsidRPr="00000000" w14:paraId="00000143">
      <w:pPr>
        <w:rPr>
          <w:rFonts w:ascii="Arial" w:cs="Arial" w:eastAsia="Arial" w:hAnsi="Arial"/>
          <w:sz w:val="21"/>
          <w:szCs w:val="21"/>
        </w:rPr>
      </w:pPr>
      <w:r w:rsidDel="00000000" w:rsidR="00000000" w:rsidRPr="00000000">
        <w:rPr>
          <w:rFonts w:ascii="Arial" w:cs="Arial" w:eastAsia="Arial" w:hAnsi="Arial"/>
          <w:sz w:val="21"/>
          <w:szCs w:val="21"/>
          <w:rtl w:val="0"/>
        </w:rPr>
        <w:t xml:space="preserve">Ciotta, V., Mariniello, G., Asprone, D., Botta, A., &amp; Manfredi, G. (2021). Integration of blockchains and smart contracts into construction information flows: Proof-of-concept. </w:t>
      </w:r>
      <w:r w:rsidDel="00000000" w:rsidR="00000000" w:rsidRPr="00000000">
        <w:rPr>
          <w:rFonts w:ascii="Arial" w:cs="Arial" w:eastAsia="Arial" w:hAnsi="Arial"/>
          <w:i w:val="1"/>
          <w:iCs w:val="1"/>
          <w:sz w:val="21"/>
          <w:szCs w:val="21"/>
          <w:rtl w:val="0"/>
        </w:rPr>
        <w:t xml:space="preserve">Automation in Construction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132</w:t>
      </w:r>
      <w:r w:rsidDel="00000000" w:rsidR="00000000" w:rsidRPr="00000000">
        <w:rPr>
          <w:rFonts w:ascii="Arial" w:cs="Arial" w:eastAsia="Arial" w:hAnsi="Arial"/>
          <w:sz w:val="21"/>
          <w:szCs w:val="21"/>
          <w:rtl w:val="0"/>
        </w:rPr>
        <w:t xml:space="preserve">, 103925. https://doi.org/10.1016/j.autcon.2021.103925</w:t>
      </w:r>
    </w:p>
    <w:p w:rsidR="00000000" w:rsidDel="00000000" w:rsidP="00000000" w:rsidRDefault="00000000" w:rsidRPr="00000000" w14:paraId="00000144">
      <w:pPr>
        <w:rPr>
          <w:rFonts w:ascii="Arial" w:cs="Arial" w:eastAsia="Arial" w:hAnsi="Arial"/>
          <w:sz w:val="21"/>
          <w:szCs w:val="21"/>
        </w:rPr>
      </w:pPr>
      <w:r w:rsidDel="00000000" w:rsidR="00000000" w:rsidRPr="00000000">
        <w:rPr>
          <w:rFonts w:ascii="Arial" w:cs="Arial" w:eastAsia="Arial" w:hAnsi="Arial"/>
          <w:sz w:val="21"/>
          <w:szCs w:val="21"/>
          <w:rtl w:val="0"/>
        </w:rPr>
        <w:t xml:space="preserve">El Hajji, M., Es-saady, Y., Ait Addi, M., &amp; Antari, J. (2024). Optimization of agrifood supply chains using Hyperledger Fabric blockchain technology. </w:t>
      </w:r>
      <w:r w:rsidDel="00000000" w:rsidR="00000000" w:rsidRPr="00000000">
        <w:rPr>
          <w:rFonts w:ascii="Arial" w:cs="Arial" w:eastAsia="Arial" w:hAnsi="Arial"/>
          <w:i w:val="1"/>
          <w:iCs w:val="1"/>
          <w:sz w:val="21"/>
          <w:szCs w:val="21"/>
          <w:rtl w:val="0"/>
        </w:rPr>
        <w:t xml:space="preserve">Computers and Electronics in Agriculture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227</w:t>
      </w:r>
      <w:r w:rsidDel="00000000" w:rsidR="00000000" w:rsidRPr="00000000">
        <w:rPr>
          <w:rFonts w:ascii="Arial" w:cs="Arial" w:eastAsia="Arial" w:hAnsi="Arial"/>
          <w:sz w:val="21"/>
          <w:szCs w:val="21"/>
          <w:rtl w:val="0"/>
        </w:rPr>
        <w:t xml:space="preserve">, 109503. https://doi.org/10.1016/j.compag.2024.109503</w:t>
      </w:r>
    </w:p>
    <w:p w:rsidR="00000000" w:rsidDel="00000000" w:rsidP="00000000" w:rsidRDefault="00000000" w:rsidRPr="00000000" w14:paraId="00000145">
      <w:pPr>
        <w:rPr>
          <w:rFonts w:ascii="Arial" w:cs="Arial" w:eastAsia="Arial" w:hAnsi="Arial"/>
          <w:sz w:val="21"/>
          <w:szCs w:val="21"/>
        </w:rPr>
      </w:pPr>
      <w:r w:rsidDel="00000000" w:rsidR="00000000" w:rsidRPr="00000000">
        <w:rPr>
          <w:rFonts w:ascii="Arial" w:cs="Arial" w:eastAsia="Arial" w:hAnsi="Arial"/>
          <w:sz w:val="21"/>
          <w:szCs w:val="21"/>
          <w:rtl w:val="0"/>
        </w:rPr>
        <w:t xml:space="preserve">Ferrández-Pastor, F.-J., Mora-Pascual, J., &amp; Díaz-Lajara, D. (2022). Agricultural traceability model based on IoT and Blockchain: Application in industrial hemp production. </w:t>
      </w:r>
      <w:r w:rsidDel="00000000" w:rsidR="00000000" w:rsidRPr="00000000">
        <w:rPr>
          <w:rFonts w:ascii="Arial" w:cs="Arial" w:eastAsia="Arial" w:hAnsi="Arial"/>
          <w:i w:val="1"/>
          <w:iCs w:val="1"/>
          <w:sz w:val="21"/>
          <w:szCs w:val="21"/>
          <w:rtl w:val="0"/>
        </w:rPr>
        <w:t xml:space="preserve">Journal of Industrial Information Integration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29</w:t>
      </w:r>
      <w:r w:rsidDel="00000000" w:rsidR="00000000" w:rsidRPr="00000000">
        <w:rPr>
          <w:rFonts w:ascii="Arial" w:cs="Arial" w:eastAsia="Arial" w:hAnsi="Arial"/>
          <w:sz w:val="21"/>
          <w:szCs w:val="21"/>
          <w:rtl w:val="0"/>
        </w:rPr>
        <w:t xml:space="preserve">, 100381. https://doi.org/10.1016/j.jii.2022.100381</w:t>
      </w:r>
    </w:p>
    <w:p w:rsidR="00000000" w:rsidDel="00000000" w:rsidP="00000000" w:rsidRDefault="00000000" w:rsidRPr="00000000" w14:paraId="00000146">
      <w:pPr>
        <w:rPr>
          <w:rFonts w:ascii="Arial" w:cs="Arial" w:eastAsia="Arial" w:hAnsi="Arial"/>
          <w:sz w:val="21"/>
          <w:szCs w:val="21"/>
        </w:rPr>
      </w:pPr>
      <w:r w:rsidDel="00000000" w:rsidR="00000000" w:rsidRPr="00000000">
        <w:rPr>
          <w:rFonts w:ascii="Arial" w:cs="Arial" w:eastAsia="Arial" w:hAnsi="Arial"/>
          <w:sz w:val="21"/>
          <w:szCs w:val="21"/>
          <w:rtl w:val="0"/>
        </w:rPr>
        <w:t xml:space="preserve">Gordijn, D. (2022). </w:t>
      </w:r>
      <w:r w:rsidDel="00000000" w:rsidR="00000000" w:rsidRPr="00000000">
        <w:rPr>
          <w:rFonts w:ascii="Arial" w:cs="Arial" w:eastAsia="Arial" w:hAnsi="Arial"/>
          <w:i w:val="1"/>
          <w:iCs w:val="1"/>
          <w:sz w:val="21"/>
          <w:szCs w:val="21"/>
          <w:rtl w:val="0"/>
        </w:rPr>
        <w:t xml:space="preserve">Combining Multiple ID’s, attributes, and policies to provide secure access control within Hyperledger Fabric blockchain networks</w:t>
      </w:r>
      <w:r w:rsidDel="00000000" w:rsidR="00000000" w:rsidRPr="00000000">
        <w:rPr>
          <w:rFonts w:ascii="Arial" w:cs="Arial" w:eastAsia="Arial" w:hAnsi="Arial"/>
          <w:sz w:val="21"/>
          <w:szCs w:val="21"/>
          <w:rtl w:val="0"/>
        </w:rPr>
        <w:t xml:space="preserve"> [Tesis de licenciatura, Universidad Tecnológica de Delft].</w:t>
      </w:r>
    </w:p>
    <w:p w:rsidR="00000000" w:rsidDel="00000000" w:rsidP="00000000" w:rsidRDefault="00000000" w:rsidRPr="00000000" w14:paraId="00000147">
      <w:pPr>
        <w:rPr>
          <w:rFonts w:ascii="Arial" w:cs="Arial" w:eastAsia="Arial" w:hAnsi="Arial"/>
          <w:sz w:val="21"/>
          <w:szCs w:val="21"/>
        </w:rPr>
      </w:pPr>
      <w:r w:rsidDel="00000000" w:rsidR="00000000" w:rsidRPr="00000000">
        <w:rPr>
          <w:rFonts w:ascii="Arial" w:cs="Arial" w:eastAsia="Arial" w:hAnsi="Arial"/>
          <w:sz w:val="21"/>
          <w:szCs w:val="21"/>
          <w:rtl w:val="0"/>
        </w:rPr>
        <w:t xml:space="preserve">Hasan, A. S. M. T., Sabah, S., Daria, A., &amp; Haque, R. U. (2023). A peer-to-peer blockchain-based architecture for trusted and reliable agricultural product traceability. </w:t>
      </w:r>
      <w:r w:rsidDel="00000000" w:rsidR="00000000" w:rsidRPr="00000000">
        <w:rPr>
          <w:rFonts w:ascii="Arial" w:cs="Arial" w:eastAsia="Arial" w:hAnsi="Arial"/>
          <w:i w:val="1"/>
          <w:iCs w:val="1"/>
          <w:sz w:val="21"/>
          <w:szCs w:val="21"/>
          <w:rtl w:val="0"/>
        </w:rPr>
        <w:t xml:space="preserve">Decision Analytics Journal</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9</w:t>
      </w:r>
      <w:r w:rsidDel="00000000" w:rsidR="00000000" w:rsidRPr="00000000">
        <w:rPr>
          <w:rFonts w:ascii="Arial" w:cs="Arial" w:eastAsia="Arial" w:hAnsi="Arial"/>
          <w:sz w:val="21"/>
          <w:szCs w:val="21"/>
          <w:rtl w:val="0"/>
        </w:rPr>
        <w:t xml:space="preserve">, 100363. https://doi.org/10.1016/j.dajour.2023.100363</w:t>
      </w:r>
    </w:p>
    <w:p w:rsidR="00000000" w:rsidDel="00000000" w:rsidP="00000000" w:rsidRDefault="00000000" w:rsidRPr="00000000" w14:paraId="00000148">
      <w:pPr>
        <w:rPr>
          <w:rFonts w:ascii="Arial" w:cs="Arial" w:eastAsia="Arial" w:hAnsi="Arial"/>
          <w:sz w:val="21"/>
          <w:szCs w:val="21"/>
        </w:rPr>
      </w:pPr>
      <w:r w:rsidDel="00000000" w:rsidR="00000000" w:rsidRPr="00000000">
        <w:rPr>
          <w:rFonts w:ascii="Arial" w:cs="Arial" w:eastAsia="Arial" w:hAnsi="Arial"/>
          <w:sz w:val="21"/>
          <w:szCs w:val="21"/>
          <w:rtl w:val="0"/>
        </w:rPr>
        <w:t xml:space="preserve">Hu, S., Jin, Y., &amp; Qin, X. (2025). Blockchain-facilitated quality traceability and pre-sale inspection: Influencing geographical indication supply chain contracts and farmer quality decisions. </w:t>
      </w:r>
      <w:r w:rsidDel="00000000" w:rsidR="00000000" w:rsidRPr="00000000">
        <w:rPr>
          <w:rFonts w:ascii="Arial" w:cs="Arial" w:eastAsia="Arial" w:hAnsi="Arial"/>
          <w:i w:val="1"/>
          <w:iCs w:val="1"/>
          <w:sz w:val="21"/>
          <w:szCs w:val="21"/>
          <w:rtl w:val="0"/>
        </w:rPr>
        <w:t xml:space="preserve">Computers &amp; Industrial Engineering</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200</w:t>
      </w:r>
      <w:r w:rsidDel="00000000" w:rsidR="00000000" w:rsidRPr="00000000">
        <w:rPr>
          <w:rFonts w:ascii="Arial" w:cs="Arial" w:eastAsia="Arial" w:hAnsi="Arial"/>
          <w:sz w:val="21"/>
          <w:szCs w:val="21"/>
          <w:rtl w:val="0"/>
        </w:rPr>
        <w:t xml:space="preserve">, 110769. https://doi.org/10.1016/j.cie.2024.110769</w:t>
      </w:r>
    </w:p>
    <w:p w:rsidR="00000000" w:rsidDel="00000000" w:rsidP="00000000" w:rsidRDefault="00000000" w:rsidRPr="00000000" w14:paraId="00000149">
      <w:pPr>
        <w:rPr>
          <w:rFonts w:ascii="Arial" w:cs="Arial" w:eastAsia="Arial" w:hAnsi="Arial"/>
          <w:sz w:val="21"/>
          <w:szCs w:val="21"/>
        </w:rPr>
      </w:pPr>
      <w:r w:rsidDel="00000000" w:rsidR="00000000" w:rsidRPr="00000000">
        <w:rPr>
          <w:rFonts w:ascii="Arial" w:cs="Arial" w:eastAsia="Arial" w:hAnsi="Arial"/>
          <w:sz w:val="21"/>
          <w:szCs w:val="21"/>
          <w:rtl w:val="0"/>
        </w:rPr>
        <w:t xml:space="preserve">Kamilaris, A., Fonts, A., &amp; Prenafeta-Boldú, F. X. (2019). The rise of blockchain technology in agriculture and food supply chains. </w:t>
      </w:r>
      <w:r w:rsidDel="00000000" w:rsidR="00000000" w:rsidRPr="00000000">
        <w:rPr>
          <w:rFonts w:ascii="Arial" w:cs="Arial" w:eastAsia="Arial" w:hAnsi="Arial"/>
          <w:i w:val="1"/>
          <w:iCs w:val="1"/>
          <w:sz w:val="21"/>
          <w:szCs w:val="21"/>
          <w:rtl w:val="0"/>
        </w:rPr>
        <w:t xml:space="preserve">Trends in Food Science &amp; Technology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91</w:t>
      </w:r>
      <w:r w:rsidDel="00000000" w:rsidR="00000000" w:rsidRPr="00000000">
        <w:rPr>
          <w:rFonts w:ascii="Arial" w:cs="Arial" w:eastAsia="Arial" w:hAnsi="Arial"/>
          <w:sz w:val="21"/>
          <w:szCs w:val="21"/>
          <w:rtl w:val="0"/>
        </w:rPr>
        <w:t xml:space="preserve">, 640–652. https://doi.org/10.1016/j.tifs.2019.07.034</w:t>
      </w:r>
    </w:p>
    <w:p w:rsidR="00000000" w:rsidDel="00000000" w:rsidP="00000000" w:rsidRDefault="00000000" w:rsidRPr="00000000" w14:paraId="0000014A">
      <w:pPr>
        <w:rPr>
          <w:rFonts w:ascii="Arial" w:cs="Arial" w:eastAsia="Arial" w:hAnsi="Arial"/>
          <w:sz w:val="21"/>
          <w:szCs w:val="21"/>
        </w:rPr>
      </w:pPr>
      <w:r w:rsidDel="00000000" w:rsidR="00000000" w:rsidRPr="00000000">
        <w:rPr>
          <w:rFonts w:ascii="Arial" w:cs="Arial" w:eastAsia="Arial" w:hAnsi="Arial"/>
          <w:sz w:val="21"/>
          <w:szCs w:val="21"/>
          <w:rtl w:val="0"/>
        </w:rPr>
        <w:t xml:space="preserve">Kramer, M. P., Bitsch, L., &amp; Hanf, J. (2021). Blockchain and its impacts on agri-food supply chain network management. </w:t>
      </w:r>
      <w:r w:rsidDel="00000000" w:rsidR="00000000" w:rsidRPr="00000000">
        <w:rPr>
          <w:rFonts w:ascii="Arial" w:cs="Arial" w:eastAsia="Arial" w:hAnsi="Arial"/>
          <w:i w:val="1"/>
          <w:iCs w:val="1"/>
          <w:sz w:val="21"/>
          <w:szCs w:val="21"/>
          <w:rtl w:val="0"/>
        </w:rPr>
        <w:t xml:space="preserve">Sustainability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13</w:t>
      </w:r>
      <w:r w:rsidDel="00000000" w:rsidR="00000000" w:rsidRPr="00000000">
        <w:rPr>
          <w:rFonts w:ascii="Arial" w:cs="Arial" w:eastAsia="Arial" w:hAnsi="Arial"/>
          <w:sz w:val="21"/>
          <w:szCs w:val="21"/>
          <w:rtl w:val="0"/>
        </w:rPr>
        <w:t xml:space="preserve">(4), 2168. https://doi.org/10.3390/su13042168</w:t>
      </w:r>
    </w:p>
    <w:p w:rsidR="00000000" w:rsidDel="00000000" w:rsidP="00000000" w:rsidRDefault="00000000" w:rsidRPr="00000000" w14:paraId="0000014B">
      <w:pPr>
        <w:rPr>
          <w:rFonts w:ascii="Arial" w:cs="Arial" w:eastAsia="Arial" w:hAnsi="Arial"/>
          <w:sz w:val="21"/>
          <w:szCs w:val="21"/>
        </w:rPr>
      </w:pPr>
      <w:r w:rsidDel="00000000" w:rsidR="00000000" w:rsidRPr="00000000">
        <w:rPr>
          <w:rFonts w:ascii="Arial" w:cs="Arial" w:eastAsia="Arial" w:hAnsi="Arial"/>
          <w:sz w:val="21"/>
          <w:szCs w:val="21"/>
          <w:rtl w:val="0"/>
        </w:rPr>
        <w:t xml:space="preserve">Latino, M. E., Menegoli, M., Lazoi, M., &amp; Corallo, A. (2022). Voluntary traceability in food supply chain: A framework leading its implementation in Agriculture 4.0. </w:t>
      </w:r>
      <w:r w:rsidDel="00000000" w:rsidR="00000000" w:rsidRPr="00000000">
        <w:rPr>
          <w:rFonts w:ascii="Arial" w:cs="Arial" w:eastAsia="Arial" w:hAnsi="Arial"/>
          <w:i w:val="1"/>
          <w:iCs w:val="1"/>
          <w:sz w:val="21"/>
          <w:szCs w:val="21"/>
          <w:rtl w:val="0"/>
        </w:rPr>
        <w:t xml:space="preserve">Technological Forecasting &amp; Social Change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178</w:t>
      </w:r>
      <w:r w:rsidDel="00000000" w:rsidR="00000000" w:rsidRPr="00000000">
        <w:rPr>
          <w:rFonts w:ascii="Arial" w:cs="Arial" w:eastAsia="Arial" w:hAnsi="Arial"/>
          <w:sz w:val="21"/>
          <w:szCs w:val="21"/>
          <w:rtl w:val="0"/>
        </w:rPr>
        <w:t xml:space="preserve">, 121564. https://doi.org/10.1016/j.techfore.2022.121564</w:t>
      </w:r>
    </w:p>
    <w:p w:rsidR="00000000" w:rsidDel="00000000" w:rsidP="00000000" w:rsidRDefault="00000000" w:rsidRPr="00000000" w14:paraId="0000014C">
      <w:pPr>
        <w:rPr>
          <w:rFonts w:ascii="Arial" w:cs="Arial" w:eastAsia="Arial" w:hAnsi="Arial"/>
          <w:sz w:val="21"/>
          <w:szCs w:val="21"/>
        </w:rPr>
      </w:pPr>
      <w:r w:rsidDel="00000000" w:rsidR="00000000" w:rsidRPr="00000000">
        <w:rPr>
          <w:rFonts w:ascii="Arial" w:cs="Arial" w:eastAsia="Arial" w:hAnsi="Arial"/>
          <w:sz w:val="21"/>
          <w:szCs w:val="21"/>
          <w:rtl w:val="0"/>
        </w:rPr>
        <w:t xml:space="preserve">Lei, M., Liu, S., Luo, N., Yang, X., &amp; Sun, C. (2022). Trusted-auditing chain: A security blockchain prototype used in agriculture traceability. </w:t>
      </w:r>
      <w:r w:rsidDel="00000000" w:rsidR="00000000" w:rsidRPr="00000000">
        <w:rPr>
          <w:rFonts w:ascii="Arial" w:cs="Arial" w:eastAsia="Arial" w:hAnsi="Arial"/>
          <w:i w:val="1"/>
          <w:iCs w:val="1"/>
          <w:sz w:val="21"/>
          <w:szCs w:val="21"/>
          <w:rtl w:val="0"/>
        </w:rPr>
        <w:t xml:space="preserve">Heliyon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8</w:t>
      </w:r>
      <w:r w:rsidDel="00000000" w:rsidR="00000000" w:rsidRPr="00000000">
        <w:rPr>
          <w:rFonts w:ascii="Arial" w:cs="Arial" w:eastAsia="Arial" w:hAnsi="Arial"/>
          <w:sz w:val="21"/>
          <w:szCs w:val="21"/>
          <w:rtl w:val="0"/>
        </w:rPr>
        <w:t xml:space="preserve">, e11477. https://doi.org/10.1016/j.heliyon.2022.e11477</w:t>
      </w:r>
    </w:p>
    <w:p w:rsidR="00000000" w:rsidDel="00000000" w:rsidP="00000000" w:rsidRDefault="00000000" w:rsidRPr="00000000" w14:paraId="0000014D">
      <w:pPr>
        <w:rPr>
          <w:rFonts w:ascii="Arial" w:cs="Arial" w:eastAsia="Arial" w:hAnsi="Arial"/>
          <w:sz w:val="21"/>
          <w:szCs w:val="21"/>
        </w:rPr>
      </w:pPr>
      <w:r w:rsidDel="00000000" w:rsidR="00000000" w:rsidRPr="00000000">
        <w:rPr>
          <w:rFonts w:ascii="Arial" w:cs="Arial" w:eastAsia="Arial" w:hAnsi="Arial"/>
          <w:sz w:val="21"/>
          <w:szCs w:val="21"/>
          <w:rtl w:val="0"/>
        </w:rPr>
        <w:t xml:space="preserve">Li, X., Du, J., Li, W., &amp; Shahzad, F. (2023). Green ambitions: A comprehensive model for enhanced traceability in agricultural product supply chain to ensure quality and safety. </w:t>
      </w:r>
      <w:r w:rsidDel="00000000" w:rsidR="00000000" w:rsidRPr="00000000">
        <w:rPr>
          <w:rFonts w:ascii="Arial" w:cs="Arial" w:eastAsia="Arial" w:hAnsi="Arial"/>
          <w:i w:val="1"/>
          <w:iCs w:val="1"/>
          <w:sz w:val="21"/>
          <w:szCs w:val="21"/>
          <w:rtl w:val="0"/>
        </w:rPr>
        <w:t xml:space="preserve">Journal of Cleaner Production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420</w:t>
      </w:r>
      <w:r w:rsidDel="00000000" w:rsidR="00000000" w:rsidRPr="00000000">
        <w:rPr>
          <w:rFonts w:ascii="Arial" w:cs="Arial" w:eastAsia="Arial" w:hAnsi="Arial"/>
          <w:sz w:val="21"/>
          <w:szCs w:val="21"/>
          <w:rtl w:val="0"/>
        </w:rPr>
        <w:t xml:space="preserve">, 138397. https://doi.org/10.1016/j.jclepro.2023.138397</w:t>
      </w:r>
    </w:p>
    <w:p w:rsidR="00000000" w:rsidDel="00000000" w:rsidP="00000000" w:rsidRDefault="00000000" w:rsidRPr="00000000" w14:paraId="0000014E">
      <w:pPr>
        <w:rPr>
          <w:rFonts w:ascii="Arial" w:cs="Arial" w:eastAsia="Arial" w:hAnsi="Arial"/>
          <w:sz w:val="21"/>
          <w:szCs w:val="21"/>
        </w:rPr>
      </w:pPr>
      <w:r w:rsidDel="00000000" w:rsidR="00000000" w:rsidRPr="00000000">
        <w:rPr>
          <w:rFonts w:ascii="Arial" w:cs="Arial" w:eastAsia="Arial" w:hAnsi="Arial"/>
          <w:sz w:val="21"/>
          <w:szCs w:val="21"/>
          <w:rtl w:val="0"/>
        </w:rPr>
        <w:t xml:space="preserve">Liu, S., &amp; Yu, Z. (2023). Modeling and efficiency analysis of blockchain agriculture products e-commerce cold chain traceability system based on Petri net. </w:t>
      </w:r>
      <w:r w:rsidDel="00000000" w:rsidR="00000000" w:rsidRPr="00000000">
        <w:rPr>
          <w:rFonts w:ascii="Arial" w:cs="Arial" w:eastAsia="Arial" w:hAnsi="Arial"/>
          <w:i w:val="1"/>
          <w:iCs w:val="1"/>
          <w:sz w:val="21"/>
          <w:szCs w:val="21"/>
          <w:rtl w:val="0"/>
        </w:rPr>
        <w:t xml:space="preserve">Heliyon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9</w:t>
      </w:r>
      <w:r w:rsidDel="00000000" w:rsidR="00000000" w:rsidRPr="00000000">
        <w:rPr>
          <w:rFonts w:ascii="Arial" w:cs="Arial" w:eastAsia="Arial" w:hAnsi="Arial"/>
          <w:sz w:val="21"/>
          <w:szCs w:val="21"/>
          <w:rtl w:val="0"/>
        </w:rPr>
        <w:t xml:space="preserve">, e21302. https://doi.org/10.1016/j.heliyon.2023.e21302</w:t>
      </w:r>
    </w:p>
    <w:p w:rsidR="00000000" w:rsidDel="00000000" w:rsidP="00000000" w:rsidRDefault="00000000" w:rsidRPr="00000000" w14:paraId="0000014F">
      <w:pPr>
        <w:rPr>
          <w:rFonts w:ascii="Arial" w:cs="Arial" w:eastAsia="Arial" w:hAnsi="Arial"/>
          <w:sz w:val="21"/>
          <w:szCs w:val="21"/>
        </w:rPr>
      </w:pPr>
      <w:r w:rsidDel="00000000" w:rsidR="00000000" w:rsidRPr="00000000">
        <w:rPr>
          <w:rFonts w:ascii="Arial" w:cs="Arial" w:eastAsia="Arial" w:hAnsi="Arial"/>
          <w:sz w:val="21"/>
          <w:szCs w:val="21"/>
          <w:rtl w:val="0"/>
        </w:rPr>
        <w:t xml:space="preserve">Mirabelli, G., &amp; Solina, V. (2020). Blockchain and agricultural supply chains traceability: Research trends and future challenges. </w:t>
      </w:r>
      <w:r w:rsidDel="00000000" w:rsidR="00000000" w:rsidRPr="00000000">
        <w:rPr>
          <w:rFonts w:ascii="Arial" w:cs="Arial" w:eastAsia="Arial" w:hAnsi="Arial"/>
          <w:i w:val="1"/>
          <w:iCs w:val="1"/>
          <w:sz w:val="21"/>
          <w:szCs w:val="21"/>
          <w:rtl w:val="0"/>
        </w:rPr>
        <w:t xml:space="preserve">Procedia Manufacturing</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42</w:t>
      </w:r>
      <w:r w:rsidDel="00000000" w:rsidR="00000000" w:rsidRPr="00000000">
        <w:rPr>
          <w:rFonts w:ascii="Arial" w:cs="Arial" w:eastAsia="Arial" w:hAnsi="Arial"/>
          <w:sz w:val="21"/>
          <w:szCs w:val="21"/>
          <w:rtl w:val="0"/>
        </w:rPr>
        <w:t xml:space="preserve">, 414–421. https://doi.org/10.1016/j.promfg.2020.02.054</w:t>
      </w:r>
    </w:p>
    <w:p w:rsidR="00000000" w:rsidDel="00000000" w:rsidP="00000000" w:rsidRDefault="00000000" w:rsidRPr="00000000" w14:paraId="00000150">
      <w:pPr>
        <w:rPr>
          <w:rFonts w:ascii="Arial" w:cs="Arial" w:eastAsia="Arial" w:hAnsi="Arial"/>
          <w:sz w:val="21"/>
          <w:szCs w:val="21"/>
        </w:rPr>
      </w:pPr>
      <w:r w:rsidDel="00000000" w:rsidR="00000000" w:rsidRPr="00000000">
        <w:rPr>
          <w:rFonts w:ascii="Arial" w:cs="Arial" w:eastAsia="Arial" w:hAnsi="Arial"/>
          <w:sz w:val="21"/>
          <w:szCs w:val="21"/>
          <w:rtl w:val="0"/>
        </w:rPr>
        <w:t xml:space="preserve">Pan, L., Huo, B., &amp; Hong, X. (2025). Blockchain traceability and agri-food appeal: A task-technology fit perspective. </w:t>
      </w:r>
      <w:r w:rsidDel="00000000" w:rsidR="00000000" w:rsidRPr="00000000">
        <w:rPr>
          <w:rFonts w:ascii="Arial" w:cs="Arial" w:eastAsia="Arial" w:hAnsi="Arial"/>
          <w:i w:val="1"/>
          <w:iCs w:val="1"/>
          <w:sz w:val="21"/>
          <w:szCs w:val="21"/>
          <w:rtl w:val="0"/>
        </w:rPr>
        <w:t xml:space="preserve">Food Quality and Preference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126</w:t>
      </w:r>
      <w:r w:rsidDel="00000000" w:rsidR="00000000" w:rsidRPr="00000000">
        <w:rPr>
          <w:rFonts w:ascii="Arial" w:cs="Arial" w:eastAsia="Arial" w:hAnsi="Arial"/>
          <w:sz w:val="21"/>
          <w:szCs w:val="21"/>
          <w:rtl w:val="0"/>
        </w:rPr>
        <w:t xml:space="preserve">, 105400. https://doi.org/10.1016/j.foodqual.2024.105400</w:t>
      </w:r>
    </w:p>
    <w:p w:rsidR="00000000" w:rsidDel="00000000" w:rsidP="00000000" w:rsidRDefault="00000000" w:rsidRPr="00000000" w14:paraId="00000151">
      <w:pPr>
        <w:rPr>
          <w:rFonts w:ascii="Arial" w:cs="Arial" w:eastAsia="Arial" w:hAnsi="Arial"/>
          <w:sz w:val="21"/>
          <w:szCs w:val="21"/>
        </w:rPr>
      </w:pPr>
      <w:r w:rsidDel="00000000" w:rsidR="00000000" w:rsidRPr="00000000">
        <w:rPr>
          <w:rFonts w:ascii="Arial" w:cs="Arial" w:eastAsia="Arial" w:hAnsi="Arial"/>
          <w:sz w:val="21"/>
          <w:szCs w:val="21"/>
          <w:rtl w:val="0"/>
        </w:rPr>
        <w:t xml:space="preserve">Qian, J., Wu, W., Yu, Q., Ruiz-Garcia, L., Xiang, Y., Jiang, L., Shi, Y., Duan, Y., &amp; Yang, P. (2020). Filling the trust gap of food safety in food trade between the EU and China: An interconnected conceptual traceability framework based on blockchain. </w:t>
      </w:r>
      <w:r w:rsidDel="00000000" w:rsidR="00000000" w:rsidRPr="00000000">
        <w:rPr>
          <w:rFonts w:ascii="Arial" w:cs="Arial" w:eastAsia="Arial" w:hAnsi="Arial"/>
          <w:i w:val="1"/>
          <w:iCs w:val="1"/>
          <w:sz w:val="21"/>
          <w:szCs w:val="21"/>
          <w:rtl w:val="0"/>
        </w:rPr>
        <w:t xml:space="preserve">Food and Energy Security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9</w:t>
      </w:r>
      <w:r w:rsidDel="00000000" w:rsidR="00000000" w:rsidRPr="00000000">
        <w:rPr>
          <w:rFonts w:ascii="Arial" w:cs="Arial" w:eastAsia="Arial" w:hAnsi="Arial"/>
          <w:sz w:val="21"/>
          <w:szCs w:val="21"/>
          <w:rtl w:val="0"/>
        </w:rPr>
        <w:t xml:space="preserve">, e249. https://doi.org/10.1002/fes3.249</w:t>
      </w:r>
    </w:p>
    <w:p w:rsidR="00000000" w:rsidDel="00000000" w:rsidP="00000000" w:rsidRDefault="00000000" w:rsidRPr="00000000" w14:paraId="00000152">
      <w:pPr>
        <w:rPr>
          <w:rFonts w:ascii="Arial" w:cs="Arial" w:eastAsia="Arial" w:hAnsi="Arial"/>
          <w:sz w:val="21"/>
          <w:szCs w:val="21"/>
        </w:rPr>
      </w:pPr>
      <w:r w:rsidDel="00000000" w:rsidR="00000000" w:rsidRPr="00000000">
        <w:rPr>
          <w:rFonts w:ascii="Arial" w:cs="Arial" w:eastAsia="Arial" w:hAnsi="Arial"/>
          <w:sz w:val="21"/>
          <w:szCs w:val="21"/>
          <w:rtl w:val="0"/>
        </w:rPr>
        <w:t xml:space="preserve">Ramadhana, A. N., Panea, K. N., Wardhana, K. R., &amp; Suharjito. (2023). Blockchain and API development to improve relational database integrity and system interoperability. </w:t>
      </w:r>
      <w:r w:rsidDel="00000000" w:rsidR="00000000" w:rsidRPr="00000000">
        <w:rPr>
          <w:rFonts w:ascii="Arial" w:cs="Arial" w:eastAsia="Arial" w:hAnsi="Arial"/>
          <w:i w:val="1"/>
          <w:iCs w:val="1"/>
          <w:sz w:val="21"/>
          <w:szCs w:val="21"/>
          <w:rtl w:val="0"/>
        </w:rPr>
        <w:t xml:space="preserve">Procedia Computer Science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216</w:t>
      </w:r>
      <w:r w:rsidDel="00000000" w:rsidR="00000000" w:rsidRPr="00000000">
        <w:rPr>
          <w:rFonts w:ascii="Arial" w:cs="Arial" w:eastAsia="Arial" w:hAnsi="Arial"/>
          <w:sz w:val="21"/>
          <w:szCs w:val="21"/>
          <w:rtl w:val="0"/>
        </w:rPr>
        <w:t xml:space="preserve">, 151–160. https://doi.org/10.1016/j.procs.2022.12.122</w:t>
      </w:r>
    </w:p>
    <w:p w:rsidR="00000000" w:rsidDel="00000000" w:rsidP="00000000" w:rsidRDefault="00000000" w:rsidRPr="00000000" w14:paraId="00000153">
      <w:pPr>
        <w:rPr>
          <w:rFonts w:ascii="Arial" w:cs="Arial" w:eastAsia="Arial" w:hAnsi="Arial"/>
          <w:sz w:val="21"/>
          <w:szCs w:val="21"/>
        </w:rPr>
      </w:pPr>
      <w:r w:rsidDel="00000000" w:rsidR="00000000" w:rsidRPr="00000000">
        <w:rPr>
          <w:rFonts w:ascii="Arial" w:cs="Arial" w:eastAsia="Arial" w:hAnsi="Arial"/>
          <w:sz w:val="21"/>
          <w:szCs w:val="21"/>
          <w:rtl w:val="0"/>
        </w:rPr>
        <w:t xml:space="preserve">Reza, M. N., Lee, K.-H., Karim, M. R., Haque, M. A., Bicamumakuba, E., Dey, P. K., Jang, Y. Y., &amp; Chung, S.-O. (2025). Trends of soil and solution nutrient sensing for open field and hydroponic cultivation in facilitated smart agriculture. </w:t>
      </w:r>
      <w:r w:rsidDel="00000000" w:rsidR="00000000" w:rsidRPr="00000000">
        <w:rPr>
          <w:rFonts w:ascii="Arial" w:cs="Arial" w:eastAsia="Arial" w:hAnsi="Arial"/>
          <w:i w:val="1"/>
          <w:iCs w:val="1"/>
          <w:sz w:val="21"/>
          <w:szCs w:val="21"/>
          <w:rtl w:val="0"/>
        </w:rPr>
        <w:t xml:space="preserve">Sensors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25</w:t>
      </w:r>
      <w:r w:rsidDel="00000000" w:rsidR="00000000" w:rsidRPr="00000000">
        <w:rPr>
          <w:rFonts w:ascii="Arial" w:cs="Arial" w:eastAsia="Arial" w:hAnsi="Arial"/>
          <w:sz w:val="21"/>
          <w:szCs w:val="21"/>
          <w:rtl w:val="0"/>
        </w:rPr>
        <w:t xml:space="preserve">(2), 453. https://doi.org/10.3390/s25020453</w:t>
      </w:r>
    </w:p>
    <w:p w:rsidR="00000000" w:rsidDel="00000000" w:rsidP="00000000" w:rsidRDefault="00000000" w:rsidRPr="00000000" w14:paraId="00000154">
      <w:pPr>
        <w:rPr>
          <w:rFonts w:ascii="Arial" w:cs="Arial" w:eastAsia="Arial" w:hAnsi="Arial"/>
          <w:sz w:val="21"/>
          <w:szCs w:val="21"/>
        </w:rPr>
      </w:pPr>
      <w:r w:rsidDel="00000000" w:rsidR="00000000" w:rsidRPr="00000000">
        <w:rPr>
          <w:rFonts w:ascii="Arial" w:cs="Arial" w:eastAsia="Arial" w:hAnsi="Arial"/>
          <w:sz w:val="21"/>
          <w:szCs w:val="21"/>
          <w:rtl w:val="0"/>
        </w:rPr>
        <w:t xml:space="preserve">Saurabh, S., &amp; Dey, K. (2021). Blockchain technology adoption, architecture, and sustainable agri-food supply chains. </w:t>
      </w:r>
      <w:r w:rsidDel="00000000" w:rsidR="00000000" w:rsidRPr="00000000">
        <w:rPr>
          <w:rFonts w:ascii="Arial" w:cs="Arial" w:eastAsia="Arial" w:hAnsi="Arial"/>
          <w:i w:val="1"/>
          <w:iCs w:val="1"/>
          <w:sz w:val="21"/>
          <w:szCs w:val="21"/>
          <w:rtl w:val="0"/>
        </w:rPr>
        <w:t xml:space="preserve">Journal of Cleaner Production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286</w:t>
      </w:r>
      <w:r w:rsidDel="00000000" w:rsidR="00000000" w:rsidRPr="00000000">
        <w:rPr>
          <w:rFonts w:ascii="Arial" w:cs="Arial" w:eastAsia="Arial" w:hAnsi="Arial"/>
          <w:sz w:val="21"/>
          <w:szCs w:val="21"/>
          <w:rtl w:val="0"/>
        </w:rPr>
        <w:t xml:space="preserve">, 124731. https://doi.org/10.1016/j.jclepro.2020.124731</w:t>
      </w:r>
    </w:p>
    <w:p w:rsidR="00000000" w:rsidDel="00000000" w:rsidP="00000000" w:rsidRDefault="00000000" w:rsidRPr="00000000" w14:paraId="00000155">
      <w:pPr>
        <w:rPr>
          <w:rFonts w:ascii="Arial" w:cs="Arial" w:eastAsia="Arial" w:hAnsi="Arial"/>
          <w:sz w:val="21"/>
          <w:szCs w:val="21"/>
        </w:rPr>
      </w:pPr>
      <w:r w:rsidDel="00000000" w:rsidR="00000000" w:rsidRPr="00000000">
        <w:rPr>
          <w:rFonts w:ascii="Arial" w:cs="Arial" w:eastAsia="Arial" w:hAnsi="Arial"/>
          <w:sz w:val="21"/>
          <w:szCs w:val="21"/>
          <w:rtl w:val="0"/>
        </w:rPr>
        <w:t xml:space="preserve">Shivendra, Chiranjeevi, K., Tripathi, M. K., &amp; Maktedar, D. D. (s.f.). </w:t>
      </w:r>
      <w:r w:rsidDel="00000000" w:rsidR="00000000" w:rsidRPr="00000000">
        <w:rPr>
          <w:rFonts w:ascii="Arial" w:cs="Arial" w:eastAsia="Arial" w:hAnsi="Arial"/>
          <w:i w:val="1"/>
          <w:iCs w:val="1"/>
          <w:sz w:val="21"/>
          <w:szCs w:val="21"/>
          <w:rtl w:val="0"/>
        </w:rPr>
        <w:t xml:space="preserve">Block chain technology in agriculture product supply chain</w:t>
      </w:r>
      <w:r w:rsidDel="00000000" w:rsidR="00000000" w:rsidRPr="00000000">
        <w:rPr>
          <w:rFonts w:ascii="Arial" w:cs="Arial" w:eastAsia="Arial" w:hAnsi="Arial"/>
          <w:sz w:val="21"/>
          <w:szCs w:val="21"/>
          <w:rtl w:val="0"/>
        </w:rPr>
        <w:t xml:space="preserve">. [Manuscrito no publicado].</w:t>
      </w:r>
    </w:p>
    <w:p w:rsidR="00000000" w:rsidDel="00000000" w:rsidP="00000000" w:rsidRDefault="00000000" w:rsidRPr="00000000" w14:paraId="00000156">
      <w:pPr>
        <w:rPr>
          <w:rFonts w:ascii="Arial" w:cs="Arial" w:eastAsia="Arial" w:hAnsi="Arial"/>
          <w:sz w:val="21"/>
          <w:szCs w:val="21"/>
        </w:rPr>
      </w:pPr>
      <w:r w:rsidDel="00000000" w:rsidR="00000000" w:rsidRPr="00000000">
        <w:rPr>
          <w:rFonts w:ascii="Arial" w:cs="Arial" w:eastAsia="Arial" w:hAnsi="Arial"/>
          <w:sz w:val="21"/>
          <w:szCs w:val="21"/>
          <w:rtl w:val="0"/>
        </w:rPr>
        <w:t xml:space="preserve">Sidiq, M. F., Ramdhani, T. I., &amp; Basuki, A. I. (2024). SambalChain: Revolutionizing the Indonesian chili paste supply chain through blockchain for enhanced traceability and authenticity. En </w:t>
      </w:r>
      <w:r w:rsidDel="00000000" w:rsidR="00000000" w:rsidRPr="00000000">
        <w:rPr>
          <w:rFonts w:ascii="Arial" w:cs="Arial" w:eastAsia="Arial" w:hAnsi="Arial"/>
          <w:i w:val="1"/>
          <w:iCs w:val="1"/>
          <w:sz w:val="21"/>
          <w:szCs w:val="21"/>
          <w:rtl w:val="0"/>
        </w:rPr>
        <w:t xml:space="preserve">2024 International Seminar on Information Technology for Development and Its Application (ISITDI)</w:t>
      </w:r>
      <w:r w:rsidDel="00000000" w:rsidR="00000000" w:rsidRPr="00000000">
        <w:rPr>
          <w:rFonts w:ascii="Arial" w:cs="Arial" w:eastAsia="Arial" w:hAnsi="Arial"/>
          <w:sz w:val="21"/>
          <w:szCs w:val="21"/>
          <w:rtl w:val="0"/>
        </w:rPr>
        <w:t xml:space="preserve">. IEEE. https://doi.org/10.1109/ISITDI62380.2024.10797140</w:t>
      </w:r>
    </w:p>
    <w:p w:rsidR="00000000" w:rsidDel="00000000" w:rsidP="00000000" w:rsidRDefault="00000000" w:rsidRPr="00000000" w14:paraId="00000157">
      <w:pPr>
        <w:rPr>
          <w:rFonts w:ascii="Arial" w:cs="Arial" w:eastAsia="Arial" w:hAnsi="Arial"/>
          <w:sz w:val="21"/>
          <w:szCs w:val="21"/>
        </w:rPr>
      </w:pPr>
      <w:r w:rsidDel="00000000" w:rsidR="00000000" w:rsidRPr="00000000">
        <w:rPr>
          <w:rFonts w:ascii="Arial" w:cs="Arial" w:eastAsia="Arial" w:hAnsi="Arial"/>
          <w:sz w:val="21"/>
          <w:szCs w:val="21"/>
          <w:rtl w:val="0"/>
        </w:rPr>
        <w:t xml:space="preserve">Steinke, J., Ivanova, Y., Jones, S. K., Minh, T., Sánchez, A., Sánchez-Choy, J., &amp; Mockshell, J. (2024). Digital sustainability tracing in smallholder context: Ex-ante insights from the Peruvian cocoa supply chain. </w:t>
      </w:r>
      <w:r w:rsidDel="00000000" w:rsidR="00000000" w:rsidRPr="00000000">
        <w:rPr>
          <w:rFonts w:ascii="Arial" w:cs="Arial" w:eastAsia="Arial" w:hAnsi="Arial"/>
          <w:i w:val="1"/>
          <w:iCs w:val="1"/>
          <w:sz w:val="21"/>
          <w:szCs w:val="21"/>
          <w:rtl w:val="0"/>
        </w:rPr>
        <w:t xml:space="preserve">World Development Sustainability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5</w:t>
      </w:r>
      <w:r w:rsidDel="00000000" w:rsidR="00000000" w:rsidRPr="00000000">
        <w:rPr>
          <w:rFonts w:ascii="Arial" w:cs="Arial" w:eastAsia="Arial" w:hAnsi="Arial"/>
          <w:sz w:val="21"/>
          <w:szCs w:val="21"/>
          <w:rtl w:val="0"/>
        </w:rPr>
        <w:t xml:space="preserve">, 100185. https://doi.org/10.1016/j.wds.2024.100185</w:t>
      </w:r>
    </w:p>
    <w:p w:rsidR="00000000" w:rsidDel="00000000" w:rsidP="00000000" w:rsidRDefault="00000000" w:rsidRPr="00000000" w14:paraId="00000158">
      <w:pPr>
        <w:rPr>
          <w:rFonts w:ascii="Arial" w:cs="Arial" w:eastAsia="Arial" w:hAnsi="Arial"/>
          <w:sz w:val="21"/>
          <w:szCs w:val="21"/>
        </w:rPr>
      </w:pPr>
      <w:r w:rsidDel="00000000" w:rsidR="00000000" w:rsidRPr="00000000">
        <w:rPr>
          <w:rFonts w:ascii="Arial" w:cs="Arial" w:eastAsia="Arial" w:hAnsi="Arial"/>
          <w:sz w:val="21"/>
          <w:szCs w:val="21"/>
          <w:rtl w:val="0"/>
        </w:rPr>
        <w:t xml:space="preserve">Wang, L., Xu, L., Zheng, Z., Liu, S., Li, X., Cao, L., Li, J., &amp; Sun, C. (2021). Smart contract-based agricultural food supply chain traceability. </w:t>
      </w:r>
      <w:r w:rsidDel="00000000" w:rsidR="00000000" w:rsidRPr="00000000">
        <w:rPr>
          <w:rFonts w:ascii="Arial" w:cs="Arial" w:eastAsia="Arial" w:hAnsi="Arial"/>
          <w:i w:val="1"/>
          <w:iCs w:val="1"/>
          <w:sz w:val="21"/>
          <w:szCs w:val="21"/>
          <w:rtl w:val="0"/>
        </w:rPr>
        <w:t xml:space="preserve">IEEE Access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9</w:t>
      </w:r>
      <w:r w:rsidDel="00000000" w:rsidR="00000000" w:rsidRPr="00000000">
        <w:rPr>
          <w:rFonts w:ascii="Arial" w:cs="Arial" w:eastAsia="Arial" w:hAnsi="Arial"/>
          <w:sz w:val="21"/>
          <w:szCs w:val="21"/>
          <w:rtl w:val="0"/>
        </w:rPr>
        <w:t xml:space="preserve">, 9296–9307. https://doi.org/10.1109/ACCESS.2021.3050112</w:t>
      </w:r>
    </w:p>
    <w:p w:rsidR="00000000" w:rsidDel="00000000" w:rsidP="00000000" w:rsidRDefault="00000000" w:rsidRPr="00000000" w14:paraId="00000159">
      <w:pPr>
        <w:rPr>
          <w:rFonts w:ascii="Arial" w:cs="Arial" w:eastAsia="Arial" w:hAnsi="Arial"/>
          <w:sz w:val="21"/>
          <w:szCs w:val="21"/>
        </w:rPr>
      </w:pPr>
      <w:r w:rsidDel="00000000" w:rsidR="00000000" w:rsidRPr="00000000">
        <w:rPr>
          <w:rFonts w:ascii="Arial" w:cs="Arial" w:eastAsia="Arial" w:hAnsi="Arial"/>
          <w:sz w:val="21"/>
          <w:szCs w:val="21"/>
          <w:rtl w:val="0"/>
        </w:rPr>
        <w:t xml:space="preserve">Yiu, N. C. K. (2021). Decentralizing supply chain anti-counterfeiting and traceability systems using Blockchain technology. </w:t>
      </w:r>
      <w:r w:rsidDel="00000000" w:rsidR="00000000" w:rsidRPr="00000000">
        <w:rPr>
          <w:rFonts w:ascii="Arial" w:cs="Arial" w:eastAsia="Arial" w:hAnsi="Arial"/>
          <w:i w:val="1"/>
          <w:iCs w:val="1"/>
          <w:sz w:val="21"/>
          <w:szCs w:val="21"/>
          <w:rtl w:val="0"/>
        </w:rPr>
        <w:t xml:space="preserve">Future Internet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13</w:t>
      </w:r>
      <w:r w:rsidDel="00000000" w:rsidR="00000000" w:rsidRPr="00000000">
        <w:rPr>
          <w:rFonts w:ascii="Arial" w:cs="Arial" w:eastAsia="Arial" w:hAnsi="Arial"/>
          <w:sz w:val="21"/>
          <w:szCs w:val="21"/>
          <w:rtl w:val="0"/>
        </w:rPr>
        <w:t xml:space="preserve">(4), 84. https://doi.org/10.3390/fi13040084</w:t>
      </w:r>
    </w:p>
    <w:p w:rsidR="00000000" w:rsidDel="00000000" w:rsidP="00000000" w:rsidRDefault="00000000" w:rsidRPr="00000000" w14:paraId="0000015A">
      <w:pPr>
        <w:rPr>
          <w:rFonts w:ascii="Arial" w:cs="Arial" w:eastAsia="Arial" w:hAnsi="Arial"/>
          <w:sz w:val="21"/>
          <w:szCs w:val="21"/>
        </w:rPr>
      </w:pPr>
      <w:r w:rsidDel="00000000" w:rsidR="00000000" w:rsidRPr="00000000">
        <w:rPr>
          <w:rFonts w:ascii="Arial" w:cs="Arial" w:eastAsia="Arial" w:hAnsi="Arial"/>
          <w:sz w:val="21"/>
          <w:szCs w:val="21"/>
          <w:rtl w:val="0"/>
        </w:rPr>
        <w:t xml:space="preserve">Zhou, L. (2024). Trustworthy digital twinning data platform for power infrastructure construction projects using blockchain and semantic web. </w:t>
      </w:r>
      <w:r w:rsidDel="00000000" w:rsidR="00000000" w:rsidRPr="00000000">
        <w:rPr>
          <w:rFonts w:ascii="Arial" w:cs="Arial" w:eastAsia="Arial" w:hAnsi="Arial"/>
          <w:i w:val="1"/>
          <w:iCs w:val="1"/>
          <w:sz w:val="21"/>
          <w:szCs w:val="21"/>
          <w:rtl w:val="0"/>
        </w:rPr>
        <w:t xml:space="preserve">Frontiers in Built Environment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10</w:t>
      </w:r>
      <w:r w:rsidDel="00000000" w:rsidR="00000000" w:rsidRPr="00000000">
        <w:rPr>
          <w:rFonts w:ascii="Arial" w:cs="Arial" w:eastAsia="Arial" w:hAnsi="Arial"/>
          <w:sz w:val="21"/>
          <w:szCs w:val="21"/>
          <w:rtl w:val="0"/>
        </w:rPr>
        <w:t xml:space="preserve">, 1440513. https://doi.org/10.3389/fbuil.2024.1440513</w:t>
      </w:r>
    </w:p>
    <w:p w:rsidR="00000000" w:rsidDel="00000000" w:rsidP="00000000" w:rsidRDefault="00000000" w:rsidRPr="00000000" w14:paraId="0000015B">
      <w:pPr>
        <w:rPr/>
      </w:pPr>
      <w:r w:rsidDel="00000000" w:rsidR="00000000" w:rsidRPr="00000000">
        <w:rPr>
          <w:rtl w:val="0"/>
        </w:rPr>
      </w:r>
    </w:p>
    <w:sectPr>
      <w:type w:val="continuous"/>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18502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8502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8502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8502F"/>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8502F"/>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8502F"/>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8502F"/>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8502F"/>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8502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8502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8502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8502F"/>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8502F"/>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8502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8502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8502F"/>
    <w:rPr>
      <w:i w:val="1"/>
      <w:iCs w:val="1"/>
      <w:color w:val="404040" w:themeColor="text1" w:themeTint="0000BF"/>
    </w:rPr>
  </w:style>
  <w:style w:type="paragraph" w:styleId="Prrafodelista">
    <w:name w:val="List Paragraph"/>
    <w:basedOn w:val="Normal"/>
    <w:uiPriority w:val="34"/>
    <w:qFormat w:val="1"/>
    <w:rsid w:val="0018502F"/>
    <w:pPr>
      <w:ind w:left="720"/>
      <w:contextualSpacing w:val="1"/>
    </w:pPr>
  </w:style>
  <w:style w:type="character" w:styleId="nfasisintenso">
    <w:name w:val="Intense Emphasis"/>
    <w:basedOn w:val="Fuentedeprrafopredeter"/>
    <w:uiPriority w:val="21"/>
    <w:qFormat w:val="1"/>
    <w:rsid w:val="0018502F"/>
    <w:rPr>
      <w:i w:val="1"/>
      <w:iCs w:val="1"/>
      <w:color w:val="2f5496" w:themeColor="accent1" w:themeShade="0000BF"/>
    </w:rPr>
  </w:style>
  <w:style w:type="paragraph" w:styleId="Citadestacada">
    <w:name w:val="Intense Quote"/>
    <w:basedOn w:val="Normal"/>
    <w:next w:val="Normal"/>
    <w:link w:val="CitadestacadaCar"/>
    <w:uiPriority w:val="30"/>
    <w:qFormat w:val="1"/>
    <w:rsid w:val="0018502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8502F"/>
    <w:rPr>
      <w:i w:val="1"/>
      <w:iCs w:val="1"/>
      <w:color w:val="2f5496" w:themeColor="accent1" w:themeShade="0000BF"/>
    </w:rPr>
  </w:style>
  <w:style w:type="character" w:styleId="Referenciaintensa">
    <w:name w:val="Intense Reference"/>
    <w:basedOn w:val="Fuentedeprrafopredeter"/>
    <w:uiPriority w:val="32"/>
    <w:qFormat w:val="1"/>
    <w:rsid w:val="0018502F"/>
    <w:rPr>
      <w:b w:val="1"/>
      <w:bCs w:val="1"/>
      <w:smallCaps w:val="1"/>
      <w:color w:val="2f5496" w:themeColor="accent1" w:themeShade="0000BF"/>
      <w:spacing w:val="5"/>
    </w:rPr>
  </w:style>
  <w:style w:type="character" w:styleId="Hipervnculo">
    <w:name w:val="Hyperlink"/>
    <w:basedOn w:val="Fuentedeprrafopredeter"/>
    <w:uiPriority w:val="99"/>
    <w:unhideWhenUsed w:val="1"/>
    <w:rsid w:val="002E0F69"/>
    <w:rPr>
      <w:color w:val="0563c1" w:themeColor="hyperlink"/>
      <w:u w:val="single"/>
    </w:rPr>
  </w:style>
  <w:style w:type="character" w:styleId="Mencinsinresolver">
    <w:name w:val="Unresolved Mention"/>
    <w:basedOn w:val="Fuentedeprrafopredeter"/>
    <w:uiPriority w:val="99"/>
    <w:semiHidden w:val="1"/>
    <w:unhideWhenUsed w:val="1"/>
    <w:rsid w:val="002E0F69"/>
    <w:rPr>
      <w:color w:val="605e5c"/>
      <w:shd w:color="auto" w:fill="e1dfdd" w:val="clear"/>
    </w:rPr>
  </w:style>
  <w:style w:type="character" w:styleId="Hipervnculovisitado">
    <w:name w:val="FollowedHyperlink"/>
    <w:basedOn w:val="Fuentedeprrafopredeter"/>
    <w:uiPriority w:val="99"/>
    <w:semiHidden w:val="1"/>
    <w:unhideWhenUsed w:val="1"/>
    <w:rsid w:val="002E0F69"/>
    <w:rPr>
      <w:color w:val="954f72" w:themeColor="followedHyperlink"/>
      <w:u w:val="singl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jii.2022.100381" TargetMode="External"/><Relationship Id="rId22" Type="http://schemas.openxmlformats.org/officeDocument/2006/relationships/hyperlink" Target="https://doi.org/10.1016/j.cie.2024.110769" TargetMode="External"/><Relationship Id="rId21" Type="http://schemas.openxmlformats.org/officeDocument/2006/relationships/hyperlink" Target="https://doi.org/10.1016/j.dajour.2023.100363" TargetMode="External"/><Relationship Id="rId24" Type="http://schemas.openxmlformats.org/officeDocument/2006/relationships/hyperlink" Target="https://doi.org/10.3390/su13042168" TargetMode="External"/><Relationship Id="rId23" Type="http://schemas.openxmlformats.org/officeDocument/2006/relationships/hyperlink" Target="https://doi.org/10.1016/j.tifs.2019.07.0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4445/22315381/IJETT-V71I9P215" TargetMode="External"/><Relationship Id="rId26" Type="http://schemas.openxmlformats.org/officeDocument/2006/relationships/hyperlink" Target="https://doi.org/10.1016/j.heliyon.2022.e11477" TargetMode="External"/><Relationship Id="rId25" Type="http://schemas.openxmlformats.org/officeDocument/2006/relationships/hyperlink" Target="https://doi.org/10.1016/j.techfore.2022.121564" TargetMode="External"/><Relationship Id="rId28" Type="http://schemas.openxmlformats.org/officeDocument/2006/relationships/hyperlink" Target="https://doi.org/10.1016/j.heliyon.2023.e21302" TargetMode="External"/><Relationship Id="rId27" Type="http://schemas.openxmlformats.org/officeDocument/2006/relationships/hyperlink" Target="https://doi.org/10.1016/j.jclepro.2023.13839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16/j.foodqual.2024.105400" TargetMode="External"/><Relationship Id="rId7" Type="http://schemas.openxmlformats.org/officeDocument/2006/relationships/hyperlink" Target="https://doi.org/10.1016/j.eij.2024.100481" TargetMode="External"/><Relationship Id="rId8" Type="http://schemas.openxmlformats.org/officeDocument/2006/relationships/hyperlink" Target="https://doi.org/10.1016/j.eij.2024.100481" TargetMode="External"/><Relationship Id="rId31" Type="http://schemas.openxmlformats.org/officeDocument/2006/relationships/hyperlink" Target="https://doi.org/10.1002/fes3.249" TargetMode="External"/><Relationship Id="rId30" Type="http://schemas.openxmlformats.org/officeDocument/2006/relationships/hyperlink" Target="https://doi.org/10.1002/fes3.249" TargetMode="External"/><Relationship Id="rId11" Type="http://schemas.openxmlformats.org/officeDocument/2006/relationships/hyperlink" Target="https://doi.org/10.1016/j.eij.2024.100481" TargetMode="External"/><Relationship Id="rId33" Type="http://schemas.openxmlformats.org/officeDocument/2006/relationships/hyperlink" Target="https://doi.org/10.1002/fes3.249" TargetMode="External"/><Relationship Id="rId10" Type="http://schemas.openxmlformats.org/officeDocument/2006/relationships/hyperlink" Target="https://doi.org/10.14445/22315381/IJETT-V71I9P215" TargetMode="External"/><Relationship Id="rId32" Type="http://schemas.openxmlformats.org/officeDocument/2006/relationships/hyperlink" Target="https://doi.org/10.3390/s25020453" TargetMode="External"/><Relationship Id="rId13" Type="http://schemas.openxmlformats.org/officeDocument/2006/relationships/hyperlink" Target="https://doi.org/10.1016/j.ijinfomgt.2019.05.025" TargetMode="External"/><Relationship Id="rId35" Type="http://schemas.openxmlformats.org/officeDocument/2006/relationships/hyperlink" Target="https://doi.org/10.1109/ACCESS.2021.3050112" TargetMode="External"/><Relationship Id="rId12" Type="http://schemas.openxmlformats.org/officeDocument/2006/relationships/hyperlink" Target="https://doi.org/10.35633/inmateh-74-48" TargetMode="External"/><Relationship Id="rId34" Type="http://schemas.openxmlformats.org/officeDocument/2006/relationships/hyperlink" Target="https://doi.org/10.1016/j.jclepro.2020.124731" TargetMode="External"/><Relationship Id="rId15" Type="http://schemas.openxmlformats.org/officeDocument/2006/relationships/hyperlink" Target="https://doi.org/10.1016/j.ijepes.2024.110225" TargetMode="External"/><Relationship Id="rId37" Type="http://schemas.openxmlformats.org/officeDocument/2006/relationships/hyperlink" Target="https://doi.org/10.3390/fi13040084" TargetMode="External"/><Relationship Id="rId14" Type="http://schemas.openxmlformats.org/officeDocument/2006/relationships/hyperlink" Target="https://doi.org/10.7203/CIRIEC-E.95.13123" TargetMode="External"/><Relationship Id="rId36" Type="http://schemas.openxmlformats.org/officeDocument/2006/relationships/hyperlink" Target="https://doi.org/10.3390/fi13040084" TargetMode="External"/><Relationship Id="rId17" Type="http://schemas.openxmlformats.org/officeDocument/2006/relationships/hyperlink" Target="https://doi.org/10.3390/foods14040623" TargetMode="External"/><Relationship Id="rId16" Type="http://schemas.openxmlformats.org/officeDocument/2006/relationships/hyperlink" Target="https://doi.org/10.3390/foods14040623" TargetMode="External"/><Relationship Id="rId38" Type="http://schemas.openxmlformats.org/officeDocument/2006/relationships/image" Target="media/image1.png"/><Relationship Id="rId19" Type="http://schemas.openxmlformats.org/officeDocument/2006/relationships/hyperlink" Target="https://doi.org/10.1016/j.compag.2024.109503" TargetMode="External"/><Relationship Id="rId18" Type="http://schemas.openxmlformats.org/officeDocument/2006/relationships/hyperlink" Target="https://doi.org/10.1111/rsp3.1257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uToEAVJsDuiTUtccaznKUcqdg==">CgMxLjA4AHIhMVRBMFNQbWZldjlORFhnZ2hzdjNOd1dnc1hkd09oaHNT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2025-09-22T19:52:00Z</dcterms:created>
  <dc:creator>Anghelo Kenedy Principe Ostos</dc:creator>
</cp:coreProperties>
</file>