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Title"/>
        <w:jc w:val="center"/>
      </w:pPr>
      <w:r>
        <w:br/>
        <w:br/>
        <w:t>EXPEDIENTE PARA EL DEPÓSITO DEL</w:t>
        <w:br/>
        <w:t>REGLAMENTO INTERIOR DE TRABAJO</w:t>
      </w:r>
    </w:p>
    <w:p>
      <w:pPr>
        <w:jc w:val="center"/>
      </w:pPr>
      <w:r>
        <w:rPr>
          <w:b/>
          <w:color w:val="A51F79"/>
          <w:sz w:val="40"/>
        </w:rPr>
        <w:br/>
        <w:t>VIPRINT PUBLICIDAD</w:t>
      </w:r>
    </w:p>
    <w:p>
      <w:pPr>
        <w:jc w:val="center"/>
      </w:pPr>
      <w:r>
        <w:br/>
        <w:t>Patrón: LUIS ALVARO GOMEZ VINAJERA</w:t>
        <w:br/>
        <w:t>RFC: GOVL780519HS9</w:t>
        <w:br/>
        <w:t>Persona física con actividad empresarial</w:t>
        <w:br/>
        <w:br/>
        <w:t>Centro de trabajo:</w:t>
        <w:br/>
        <w:t>Calle Rosario Castellanos número 118, Colonia Triana,</w:t>
        <w:br/>
        <w:t>C.P. 20240, Aguascalientes, Aguascalientes.</w:t>
        <w:br/>
        <w:br/>
        <w:t>Fecha prevista de firma: 15 de julio de 2026</w:t>
      </w:r>
    </w:p>
    <w:p>
      <w:pPr>
        <w:jc w:val="center"/>
      </w:pPr>
      <w:r>
        <w:rPr>
          <w:b/>
          <w:sz w:val="18"/>
        </w:rPr>
        <w:br/>
        <w:t>DOCUMENTO DE TRABAJO SUJETO A REVISIÓN FINAL Y DEPÓSITO ANTE EL CFCRL</w:t>
      </w:r>
    </w:p>
    <w:p>
      <w:r>
        <w:br w:type="page"/>
      </w:r>
    </w:p>
    <w:p>
      <w:pPr>
        <w:pStyle w:val="Heading1"/>
      </w:pPr>
      <w:r>
        <w:t>CONTENIDO DEL EXPEDIENTE</w:t>
      </w:r>
    </w:p>
    <w:p>
      <w:pPr>
        <w:pStyle w:val="ListNumber"/>
        <w:spacing w:after="40"/>
      </w:pPr>
      <w:r>
        <w:t>1. Reglamento Interior de Trabajo de ViPrint Publicidad.</w:t>
      </w:r>
    </w:p>
    <w:p>
      <w:pPr>
        <w:pStyle w:val="ListNumber"/>
        <w:spacing w:after="40"/>
      </w:pPr>
      <w:r>
        <w:t>2. Acta de elección de la representante de las personas trabajadoras.</w:t>
      </w:r>
    </w:p>
    <w:p>
      <w:pPr>
        <w:pStyle w:val="ListNumber"/>
        <w:spacing w:after="40"/>
      </w:pPr>
      <w:r>
        <w:t>3. Acta de integración de la Comisión Mixta.</w:t>
      </w:r>
    </w:p>
    <w:p>
      <w:pPr>
        <w:pStyle w:val="ListNumber"/>
        <w:spacing w:after="40"/>
      </w:pPr>
      <w:r>
        <w:t>4. Acta de aprobación y firma del Reglamento Interior de Trabajo.</w:t>
      </w:r>
    </w:p>
    <w:p>
      <w:pPr>
        <w:pStyle w:val="ListNumber"/>
        <w:spacing w:after="40"/>
      </w:pPr>
      <w:r>
        <w:t>5. Solicitud de depósito ante el Centro Federal de Conciliación y Registro Laboral.</w:t>
      </w:r>
    </w:p>
    <w:p>
      <w:pPr>
        <w:pStyle w:val="ListNumber"/>
        <w:spacing w:after="40"/>
      </w:pPr>
      <w:r>
        <w:t>6. Constancia individual de entrega y conocimiento.</w:t>
      </w:r>
    </w:p>
    <w:p>
      <w:pPr>
        <w:pStyle w:val="ListNumber"/>
        <w:spacing w:after="40"/>
      </w:pPr>
      <w:r>
        <w:t>7. Formato de amonestación escrita.</w:t>
      </w:r>
    </w:p>
    <w:p>
      <w:pPr>
        <w:pStyle w:val="ListNumber"/>
        <w:spacing w:after="40"/>
      </w:pPr>
      <w:r>
        <w:t>8. Formato de acta administrativa y audiencia de la persona trabajadora.</w:t>
      </w:r>
    </w:p>
    <w:p>
      <w:pPr>
        <w:pStyle w:val="ListNumber"/>
        <w:spacing w:after="40"/>
      </w:pPr>
      <w:r>
        <w:t>9. Formato de entrega de uniforme y equipo de protección personal.</w:t>
      </w:r>
    </w:p>
    <w:p>
      <w:pPr>
        <w:pStyle w:val="ListNumber"/>
        <w:spacing w:after="40"/>
      </w:pPr>
      <w:r>
        <w:t>10. Formato de autorización excepcional para uso personal de equipo fuera de jornada.</w:t>
      </w:r>
    </w:p>
    <w:p>
      <w:pPr>
        <w:pStyle w:val="ListNumber"/>
        <w:spacing w:after="40"/>
      </w:pPr>
      <w:r>
        <w:t>11. Lista de verificación para presentación y colocación en el centro de trabajo.</w:t>
      </w:r>
    </w:p>
    <w:p>
      <w:pPr>
        <w:pStyle w:val="BodyText"/>
        <w:spacing w:before="240"/>
      </w:pPr>
      <w:r>
        <w:rPr>
          <w:b/>
        </w:rPr>
        <w:t xml:space="preserve">Nota preventiva: </w:t>
      </w:r>
      <w:r>
        <w:t>este expediente fue elaborado con base en la información proporcionada por ViPrint y en la Ley Federal del Trabajo vigente consultada en junio de 2026. Antes de firmarlo y depositarlo, es recomendable una revisión final por una persona abogada laboral, particularmente respecto de horarios, sanciones, contratación de prestadores independientes y manejo de sustancias químicas.</w:t>
      </w:r>
    </w:p>
    <w:p>
      <w:r>
        <w:br w:type="page"/>
      </w:r>
    </w:p>
    <w:p>
      <w:pPr>
        <w:pStyle w:val="CoverTitle"/>
        <w:jc w:val="center"/>
      </w:pPr>
      <w:r>
        <w:t>REGLAMENTO INTERIOR DE TRABAJO</w:t>
        <w:br/>
        <w:t>DE VIPRINT PUBLICIDAD</w:t>
      </w:r>
    </w:p>
    <w:p>
      <w:pPr>
        <w:pStyle w:val="BodyText"/>
        <w:jc w:val="both"/>
      </w:pPr>
      <w:r>
        <w:rPr>
          <w:b w:val="0"/>
        </w:rPr>
        <w:t xml:space="preserve">Reglamento Interior de Trabajo formulado por la Comisión Mixta integrada por el patrón, </w:t>
      </w:r>
      <w:r>
        <w:rPr>
          <w:b/>
        </w:rPr>
        <w:t>LUIS ALVARO GOMEZ VINAJERA</w:t>
      </w:r>
      <w:r>
        <w:t xml:space="preserve">, quien opera el establecimiento comercial denominado ViPrint Publicidad como persona física con actividad empresarial, y por la representante de las personas trabajadoras, </w:t>
      </w:r>
      <w:r>
        <w:rPr>
          <w:b/>
        </w:rPr>
        <w:t>FERNANDA DANAE RENTERÍA ENRIQUEZ</w:t>
      </w:r>
      <w:r>
        <w:t>, para regir las relaciones de trabajo en el centro ubicado en Calle Rosario Castellanos número 118, Colonia Triana, C.P. 20240, Aguascalientes, Aguascalientes, con fundamento en los artículos 422, 423, 424 y 425 de la Ley Federal del Trabajo.</w:t>
      </w:r>
    </w:p>
    <w:p>
      <w:pPr>
        <w:pStyle w:val="Heading1"/>
      </w:pPr>
      <w:r>
        <w:t>CAPÍTULO I. DISPOSICIONES GENERALES</w:t>
      </w:r>
    </w:p>
    <w:p>
      <w:pPr>
        <w:pStyle w:val="BodyText"/>
      </w:pPr>
      <w:r>
        <w:rPr>
          <w:b/>
        </w:rPr>
        <w:t xml:space="preserve">ARTÍCULO 1.- </w:t>
      </w:r>
      <w:r>
        <w:t>El presente Reglamento contiene disposiciones obligatorias para el patrón y las personas trabajadoras durante el desarrollo de los trabajos de ViPrint Publicidad. Su finalidad es procurar orden, seguridad, respeto, regularidad y eficiencia, sin disminuir derechos reconocidos por la Constitución, la Ley Federal del Trabajo, la seguridad social, los contratos individuales ni las demás normas aplicables.</w:t>
      </w:r>
    </w:p>
    <w:p>
      <w:pPr>
        <w:pStyle w:val="BodyText"/>
      </w:pPr>
      <w:r>
        <w:rPr>
          <w:b/>
        </w:rPr>
        <w:t xml:space="preserve">ARTÍCULO 2.- </w:t>
      </w:r>
      <w:r>
        <w:t>El Reglamento será aplicable a las personas que presten servicios personales subordinados para ViPrint Publicidad en el establecimiento, en instalaciones de clientes o en cualquier lugar al que sean comisionadas. Las normas técnicas y administrativas para ejecutar trabajos específicos podrán establecerse en manuales, procedimientos o instrucciones separadas.</w:t>
      </w:r>
    </w:p>
    <w:p>
      <w:pPr>
        <w:pStyle w:val="BodyText"/>
      </w:pPr>
      <w:r>
        <w:rPr>
          <w:b/>
        </w:rPr>
        <w:t xml:space="preserve">ARTÍCULO 3.- </w:t>
      </w:r>
      <w:r>
        <w:t>Quienes presten servicios verdaderamente independientes no estarán sujetos a este Reglamento como personas trabajadoras. La denominación de un contrato no prevalecerá sobre la realidad: si existe trabajo personal subordinado, horario, dirección y dependencia, se aplicarán las normas laborales correspondientes.</w:t>
      </w:r>
    </w:p>
    <w:p>
      <w:pPr>
        <w:pStyle w:val="BodyText"/>
      </w:pPr>
      <w:r>
        <w:rPr>
          <w:b/>
        </w:rPr>
        <w:t xml:space="preserve">ARTÍCULO 4.- </w:t>
      </w:r>
      <w:r>
        <w:t>El patrón y las personas trabajadoras deberán conducirse con respeto, sin discriminación, violencia, hostigamiento, acoso, represalias, insultos ni malos tratos. Se respetará la dignidad, privacidad y derechos humanos de todas las personas.</w:t>
      </w:r>
    </w:p>
    <w:p>
      <w:pPr>
        <w:pStyle w:val="BodyText"/>
      </w:pPr>
      <w:r>
        <w:rPr>
          <w:b/>
        </w:rPr>
        <w:t xml:space="preserve">ARTÍCULO 5.- </w:t>
      </w:r>
      <w:r>
        <w:t>El Reglamento surtirá efectos a partir de la fecha de su depósito ante el Centro Federal de Conciliación y Registro Laboral. Se imprimirá, se entregará a las personas trabajadoras y se colocará en un lugar visible del establecimiento.</w:t>
      </w:r>
    </w:p>
    <w:p>
      <w:pPr>
        <w:pStyle w:val="Heading1"/>
      </w:pPr>
      <w:r>
        <w:t>CAPÍTULO II. JORNADA, HORARIOS, ASISTENCIA Y ALIMENTOS</w:t>
      </w:r>
    </w:p>
    <w:p>
      <w:pPr>
        <w:pStyle w:val="BodyText"/>
      </w:pPr>
      <w:r>
        <w:rPr>
          <w:b/>
        </w:rPr>
        <w:t xml:space="preserve">ARTÍCULO 6.- </w:t>
      </w:r>
      <w:r>
        <w:t>La jornada ordinaria se desarrollará de lunes a viernes de 10:00 a 18:00 horas y los sábados de 10:00 a 14:00 horas. El descanso semanal ordinario será el domingo. La duración efectiva deberá ajustarse en todo momento a los máximos legales vigentes, sin reducción de salario por una disminución legal de la jornada.</w:t>
      </w:r>
    </w:p>
    <w:p>
      <w:pPr>
        <w:pStyle w:val="BodyText"/>
      </w:pPr>
      <w:r>
        <w:rPr>
          <w:b/>
        </w:rPr>
        <w:t xml:space="preserve">ARTÍCULO 7.- </w:t>
      </w:r>
      <w:r>
        <w:t>Las labores iniciarán y terminarán en el área asignada: mostrador y atención al cliente, diseño e impresión, taller o lugar de instalación. Las personas trabajadoras deberán encontrarse listas para iniciar sus funciones a la hora establecida.</w:t>
      </w:r>
    </w:p>
    <w:p>
      <w:pPr>
        <w:pStyle w:val="BodyText"/>
      </w:pPr>
      <w:r>
        <w:rPr>
          <w:b/>
        </w:rPr>
        <w:t xml:space="preserve">ARTÍCULO 8.- </w:t>
      </w:r>
      <w:r>
        <w:t>Cada persona trabajadora dispondrá de treinta minutos para alimentos dentro de la jornada. Podrá elegir el momento que le resulte conveniente, siempre que lo coordine previamente con el patrón o responsable y que no se abandone el mostrador, se interrumpa un proceso peligroso o se afecte la atención al cliente. Cuando el descanso se tome dentro del centro de trabajo, la persona podrá disponer libremente de ese tiempo sin operar maquinaria ni realizar labores.</w:t>
      </w:r>
    </w:p>
    <w:p>
      <w:pPr>
        <w:pStyle w:val="BodyText"/>
      </w:pPr>
      <w:r>
        <w:rPr>
          <w:b/>
        </w:rPr>
        <w:t xml:space="preserve">ARTÍCULO 9.- </w:t>
      </w:r>
      <w:r>
        <w:t>La asistencia se registrará personalmente mediante el checador de huella digital al inicio y al término de la jornada. Nadie podrá registrar la asistencia de otra persona, alterar registros o eludir el sistema. Ante una falla, el patrón o la persona autorizada asentará la incidencia por escrito.</w:t>
      </w:r>
    </w:p>
    <w:p>
      <w:pPr>
        <w:pStyle w:val="BodyText"/>
      </w:pPr>
      <w:r>
        <w:rPr>
          <w:b/>
        </w:rPr>
        <w:t xml:space="preserve">ARTÍCULO 10.- </w:t>
      </w:r>
      <w:r>
        <w:t>La hora oficial de entrada es las 10:00. Se establece una tolerancia administrativa excepcional de diez minutos. Esta tolerancia no modifica el horario ni constituye derecho para llegar habitualmente después de la hora. A partir de las 10:11 se registrará retardo. Los retardos deberán analizarse según su frecuencia, duración y justificación; no se convertirán automáticamente en una falta de jornada completa.</w:t>
      </w:r>
    </w:p>
    <w:p>
      <w:pPr>
        <w:pStyle w:val="BodyText"/>
      </w:pPr>
      <w:r>
        <w:rPr>
          <w:b/>
        </w:rPr>
        <w:t xml:space="preserve">ARTÍCULO 11.- </w:t>
      </w:r>
      <w:r>
        <w:t>Las horas extraordinarias solamente se laborarán cuando sean previamente solicitadas o autorizadas por el patrón, salvo una emergencia real. Se registrarán y pagarán conforme a la Ley Federal del Trabajo. Permanecer voluntariamente en el local después del horario, sin autorización para laborar, no generará por sí mismo tiempo extraordinario.</w:t>
      </w:r>
    </w:p>
    <w:p>
      <w:pPr>
        <w:pStyle w:val="BodyText"/>
      </w:pPr>
      <w:r>
        <w:rPr>
          <w:b/>
        </w:rPr>
        <w:t xml:space="preserve">ARTÍCULO 12.- </w:t>
      </w:r>
      <w:r>
        <w:t>Los días de descanso obligatorio serán los establecidos por la Ley Federal del Trabajo. Si excepcionalmente se requiere laborar en alguno, se solicitará con anticipación y se realizará el pago legal correspondiente.</w:t>
      </w:r>
    </w:p>
    <w:p>
      <w:pPr>
        <w:pStyle w:val="Heading1"/>
      </w:pPr>
      <w:r>
        <w:t>CAPÍTULO III. PAGO DE SALARIOS, RECIBOS Y ACLARACIONES</w:t>
      </w:r>
    </w:p>
    <w:p>
      <w:pPr>
        <w:pStyle w:val="BodyText"/>
      </w:pPr>
      <w:r>
        <w:rPr>
          <w:b/>
        </w:rPr>
        <w:t xml:space="preserve">ARTÍCULO 13.- </w:t>
      </w:r>
      <w:r>
        <w:t>El salario se pagará semanalmente los sábados, mediante transferencia bancaria, efectivo o ambos, según lo acordado. Si el día de pago coincide con un descanso obligatorio o existe causa operativa, el pago se realizará conforme a la Ley y se informará oportunamente.</w:t>
      </w:r>
    </w:p>
    <w:p>
      <w:pPr>
        <w:pStyle w:val="BodyText"/>
      </w:pPr>
      <w:r>
        <w:rPr>
          <w:b/>
        </w:rPr>
        <w:t xml:space="preserve">ARTÍCULO 14.- </w:t>
      </w:r>
      <w:r>
        <w:t>El patrón entregará el recibo de nómina correspondiente. La firma de un recibo acredita su recepción, pero no implica renuncia a derechos ni aceptación de cantidades incorrectas.</w:t>
      </w:r>
    </w:p>
    <w:p>
      <w:pPr>
        <w:pStyle w:val="BodyText"/>
      </w:pPr>
      <w:r>
        <w:rPr>
          <w:b/>
        </w:rPr>
        <w:t xml:space="preserve">ARTÍCULO 15.- </w:t>
      </w:r>
      <w:r>
        <w:t>Las aclaraciones sobre pagos deberán comunicarse al patrón tan pronto como se detecten. Las deducciones únicamente procederán en los casos, límites y condiciones permitidos por la Ley Federal del Trabajo. No habrá descuentos automáticos por errores, desperdicios, faltantes, herramientas o daños sin investigación, audiencia y fundamento legal.</w:t>
      </w:r>
    </w:p>
    <w:p>
      <w:pPr>
        <w:pStyle w:val="Heading1"/>
      </w:pPr>
      <w:r>
        <w:t>CAPÍTULO IV. PERMISOS, AUSENCIAS, INCAPACIDADES Y VACACIONES</w:t>
      </w:r>
    </w:p>
    <w:p>
      <w:pPr>
        <w:pStyle w:val="BodyText"/>
      </w:pPr>
      <w:r>
        <w:rPr>
          <w:b/>
        </w:rPr>
        <w:t xml:space="preserve">ARTÍCULO 16.- </w:t>
      </w:r>
      <w:r>
        <w:t>Los permisos previsibles se solicitarán por WhatsApp al patrón con al menos un día de anticipación y posteriormente se formalizarán mediante escrito firmado. La solicitud no se considerará autorizada hasta recibir confirmación expresa.</w:t>
      </w:r>
    </w:p>
    <w:p>
      <w:pPr>
        <w:pStyle w:val="BodyText"/>
      </w:pPr>
      <w:r>
        <w:rPr>
          <w:b/>
        </w:rPr>
        <w:t xml:space="preserve">ARTÍCULO 17.- </w:t>
      </w:r>
      <w:r>
        <w:t>Ante una ausencia imprevista, la persona trabajadora deberá avisar al patrón por WhatsApp tan pronto como le sea razonablemente posible, explicar la causa y presentar el comprobante correspondiente. La falta de aviso será valorada junto con las circunstancias del caso.</w:t>
      </w:r>
    </w:p>
    <w:p>
      <w:pPr>
        <w:pStyle w:val="BodyText"/>
      </w:pPr>
      <w:r>
        <w:rPr>
          <w:b/>
        </w:rPr>
        <w:t xml:space="preserve">ARTÍCULO 18.- </w:t>
      </w:r>
      <w:r>
        <w:t>Para justificar una ausencia por enfermedad se presentará, según corresponda, el certificado de incapacidad expedido por el IMSS o una constancia médica que acredite la atención y el periodo de reposo. Una receta médica por sí sola no acredita necesariamente incapacidad para laborar.</w:t>
      </w:r>
    </w:p>
    <w:p>
      <w:pPr>
        <w:pStyle w:val="BodyText"/>
      </w:pPr>
      <w:r>
        <w:rPr>
          <w:b/>
        </w:rPr>
        <w:t xml:space="preserve">ARTÍCULO 19.- </w:t>
      </w:r>
      <w:r>
        <w:t>Las salidas para consultas médicas durante la jornada requerirán autorización. El permiso podrá concederse con goce de salario, sin goce o con reposición de tiempo, según se acuerde por escrito. Si el IMSS expide incapacidad, se observarán las disposiciones de seguridad social aplicables.</w:t>
      </w:r>
    </w:p>
    <w:p>
      <w:pPr>
        <w:pStyle w:val="BodyText"/>
      </w:pPr>
      <w:r>
        <w:rPr>
          <w:b/>
        </w:rPr>
        <w:t xml:space="preserve">ARTÍCULO 20.- </w:t>
      </w:r>
      <w:r>
        <w:t>Las vacaciones se otorgarán conforme a la antigüedad y a los mínimos vigentes de la Ley Federal del Trabajo. Nunca serán inferiores a doce días laborables después de más de un año de servicios. La fecha se acordará procurando conciliar las necesidades de la persona trabajadora y la operación del negocio, y se otorgará la prima vacacional legal.</w:t>
      </w:r>
    </w:p>
    <w:p>
      <w:pPr>
        <w:pStyle w:val="BodyText"/>
      </w:pPr>
      <w:r>
        <w:rPr>
          <w:b/>
        </w:rPr>
        <w:t xml:space="preserve">ARTÍCULO 21.- </w:t>
      </w:r>
      <w:r>
        <w:t>El patrón otorgará las licencias y permisos previstos por la legislación, incluidos los relacionados con maternidad, paternidad, adopción, cuidados y demás supuestos legalmente aplicables.</w:t>
      </w:r>
    </w:p>
    <w:p>
      <w:pPr>
        <w:pStyle w:val="Heading1"/>
      </w:pPr>
      <w:r>
        <w:t>CAPÍTULO V. UNIFORME, PRESENTACIÓN Y ATENCIÓN AL CLIENTE</w:t>
      </w:r>
    </w:p>
    <w:p>
      <w:pPr>
        <w:pStyle w:val="BodyText"/>
      </w:pPr>
      <w:r>
        <w:rPr>
          <w:b/>
        </w:rPr>
        <w:t xml:space="preserve">ARTÍCULO 22.- </w:t>
      </w:r>
      <w:r>
        <w:t>Durante la jornada se portará la playera de uniforme proporcionada por el patrón, pantalón de mezclilla azul y calzado cerrado, limpio, presentable y adecuado al riesgo. En el taller se usarán las botas y el equipo de protección requerido. También se portará el gafete cuando haya sido entregado.</w:t>
      </w:r>
    </w:p>
    <w:p>
      <w:pPr>
        <w:pStyle w:val="BodyText"/>
      </w:pPr>
      <w:r>
        <w:rPr>
          <w:b/>
        </w:rPr>
        <w:t xml:space="preserve">ARTÍCULO 23.- </w:t>
      </w:r>
      <w:r>
        <w:t>La ropa y el equipo deberán mantenerse en condiciones razonables de limpieza. La exigencia de presentación personal se aplicará sin discriminación y solo en lo necesario para seguridad, higiene, identificación e imagen profesional.</w:t>
      </w:r>
    </w:p>
    <w:p>
      <w:pPr>
        <w:pStyle w:val="BodyText"/>
      </w:pPr>
      <w:r>
        <w:rPr>
          <w:b/>
        </w:rPr>
        <w:t xml:space="preserve">ARTÍCULO 24.- </w:t>
      </w:r>
      <w:r>
        <w:t>Toda persona que atienda a clientes deberá hacerlo con respeto, claridad, paciencia y disposición de servicio. Está prohibido insultar, ignorar deliberadamente, ridiculizar, amenazar, discriminar, discutir agresivamente o proporcionar información falsa. Las quejas se reportarán de inmediato al patrón para su atención.</w:t>
      </w:r>
    </w:p>
    <w:p>
      <w:pPr>
        <w:pStyle w:val="BodyText"/>
      </w:pPr>
      <w:r>
        <w:rPr>
          <w:b/>
        </w:rPr>
        <w:t xml:space="preserve">ARTÍCULO 25.- </w:t>
      </w:r>
      <w:r>
        <w:t>Cuando exista un desacuerdo con un cliente, la persona trabajadora evitará confrontaciones y solicitará la intervención del patrón. El buen trato no obliga a tolerar violencia, acoso o amenazas; en esos casos se priorizará la seguridad y se pedirá apoyo.</w:t>
      </w:r>
    </w:p>
    <w:p>
      <w:pPr>
        <w:pStyle w:val="Heading1"/>
      </w:pPr>
      <w:r>
        <w:t>CAPÍTULO VI. TELÉFONOS, AUDÍFONOS, VISITAS Y REDES SOCIALES</w:t>
      </w:r>
    </w:p>
    <w:p>
      <w:pPr>
        <w:pStyle w:val="BodyText"/>
      </w:pPr>
      <w:r>
        <w:rPr>
          <w:b/>
        </w:rPr>
        <w:t xml:space="preserve">ARTÍCULO 26.- </w:t>
      </w:r>
      <w:r>
        <w:t>El teléfono celular podrá utilizarse de forma moderada, siempre que no se descuide la atención al cliente, se retrase el trabajo, se maneje dinero, se opere maquinaria o se genere un riesgo. Las emergencias personales podrán atenderse informando al patrón o a un compañero.</w:t>
      </w:r>
    </w:p>
    <w:p>
      <w:pPr>
        <w:pStyle w:val="BodyText"/>
      </w:pPr>
      <w:r>
        <w:rPr>
          <w:b/>
        </w:rPr>
        <w:t xml:space="preserve">ARTÍCULO 27.- </w:t>
      </w:r>
      <w:r>
        <w:t>Los audífonos se permiten principalmente durante labores de diseño, cuando no haya clientes y no sea necesaria la comunicación inmediata. Quedan prohibidos al atender clientes, durante soldadura, esmerilado, operación de la calandra o cualquier tarea que requiera escuchar instrucciones, alarmas o movimientos de otras personas.</w:t>
      </w:r>
    </w:p>
    <w:p>
      <w:pPr>
        <w:pStyle w:val="BodyText"/>
      </w:pPr>
      <w:r>
        <w:rPr>
          <w:b/>
        </w:rPr>
        <w:t xml:space="preserve">ARTÍCULO 28.- </w:t>
      </w:r>
      <w:r>
        <w:t>Las visitas personales podrán recibirse excepcionalmente cuando exista necesidad y no interfieran con el trabajo, la seguridad, la atención al público ni las actividades de otras personas. Las visitas no podrán ingresar al taller sin autorización y equipo de protección.</w:t>
      </w:r>
    </w:p>
    <w:p>
      <w:pPr>
        <w:pStyle w:val="BodyText"/>
      </w:pPr>
      <w:r>
        <w:rPr>
          <w:b/>
        </w:rPr>
        <w:t xml:space="preserve">ARTÍCULO 29.- </w:t>
      </w:r>
      <w:r>
        <w:t>Solo podrán tomarse o publicarse fotografías y videos de trabajos, clientes o instalaciones cuando exista autorización del patrón y se respeten datos personales, domicilios, teléfonos, contraseñas, diseños no publicados, información confidencial y las instrucciones del cliente. La autorización general para fotografiar no elimina la obligación de verificar cada caso.</w:t>
      </w:r>
    </w:p>
    <w:p>
      <w:pPr>
        <w:pStyle w:val="BodyText"/>
      </w:pPr>
      <w:r>
        <w:rPr>
          <w:b/>
        </w:rPr>
        <w:t xml:space="preserve">ARTÍCULO 30.- </w:t>
      </w:r>
      <w:r>
        <w:t>Las cuentas institucionales, números de contacto, perfiles, contraseñas y archivos digitales se utilizarán únicamente para fines de ViPrint y conforme a las autorizaciones de acceso.</w:t>
      </w:r>
    </w:p>
    <w:p>
      <w:pPr>
        <w:pStyle w:val="Heading1"/>
      </w:pPr>
      <w:r>
        <w:t>CAPÍTULO VII. MAQUINARIA, SUSTANCIAS Y SEGURIDAD</w:t>
      </w:r>
    </w:p>
    <w:p>
      <w:pPr>
        <w:pStyle w:val="BodyText"/>
      </w:pPr>
      <w:r>
        <w:rPr>
          <w:b/>
        </w:rPr>
        <w:t xml:space="preserve">ARTÍCULO 31.- </w:t>
      </w:r>
      <w:r>
        <w:t>El taller es un área restringida. Solo ingresarán personas autorizadas, con calzado cerrado y el equipo de protección que corresponda. El acceso de clientes, visitas y prestadores externos requerirá autorización y acompañamiento.</w:t>
      </w:r>
    </w:p>
    <w:p>
      <w:pPr>
        <w:pStyle w:val="BodyText"/>
      </w:pPr>
      <w:r>
        <w:rPr>
          <w:b/>
        </w:rPr>
        <w:t xml:space="preserve">ARTÍCULO 32.- </w:t>
      </w:r>
      <w:r>
        <w:t>La calandra de sublimación, plotter de sublimación, máquina de soldar, esmeriladora y demás herramientas solo serán operadas por personal autorizado y capacitado. Está prohibido retirar guardas, improvisar reparaciones, usar equipos defectuosos o intervenir instalaciones eléctricas sin autorización y competencia.</w:t>
      </w:r>
    </w:p>
    <w:p>
      <w:pPr>
        <w:pStyle w:val="BodyText"/>
      </w:pPr>
      <w:r>
        <w:rPr>
          <w:b/>
        </w:rPr>
        <w:t xml:space="preserve">ARTÍCULO 33.- </w:t>
      </w:r>
      <w:r>
        <w:t>El patrón deberá documentar la capacitación básica y la autorización de operación de equipos. La persona trabajadora deberá informar cuando no conozca un procedimiento o considere que una tarea es insegura; solicitar orientación no será motivo de sanción.</w:t>
      </w:r>
    </w:p>
    <w:p>
      <w:pPr>
        <w:pStyle w:val="BodyText"/>
      </w:pPr>
      <w:r>
        <w:rPr>
          <w:b/>
        </w:rPr>
        <w:t xml:space="preserve">ARTÍCULO 34.- </w:t>
      </w:r>
      <w:r>
        <w:t>Según la tarea, será obligatorio usar botas, guantes para soldar, careta de soldar, lentes de seguridad, protección auditiva, mascarilla o respirador adecuado, mandil y guantes para manejo de materiales. El equipo proporcionado deberá usarse, conservarse y reportarse cuando esté deteriorado.</w:t>
      </w:r>
    </w:p>
    <w:p>
      <w:pPr>
        <w:pStyle w:val="BodyText"/>
      </w:pPr>
      <w:r>
        <w:rPr>
          <w:b/>
        </w:rPr>
        <w:t xml:space="preserve">ARTÍCULO 35.- </w:t>
      </w:r>
      <w:r>
        <w:t>Las tintas de sublimación, solventes, xilol y pinturas deberán permanecer identificados, cerrados y almacenados en sitios ventilados, alejados de fuentes de ignición y fuera del alcance de personas no autorizadas. Se atenderán sus hojas de datos de seguridad y no se trasvasarán a recipientes de alimentos o bebidas.</w:t>
      </w:r>
    </w:p>
    <w:p>
      <w:pPr>
        <w:pStyle w:val="BodyText"/>
      </w:pPr>
      <w:r>
        <w:rPr>
          <w:b/>
        </w:rPr>
        <w:t xml:space="preserve">ARTÍCULO 36.- </w:t>
      </w:r>
      <w:r>
        <w:t>Queda prohibido fumar, encender flamas o generar chispas cerca de sustancias inflamables. Los residuos, trapos contaminados y envases se manejarán conforme a las instrucciones de seguridad y a la normativa aplicable.</w:t>
      </w:r>
    </w:p>
    <w:p>
      <w:pPr>
        <w:pStyle w:val="BodyText"/>
      </w:pPr>
      <w:r>
        <w:rPr>
          <w:b/>
        </w:rPr>
        <w:t xml:space="preserve">ARTÍCULO 37.- </w:t>
      </w:r>
      <w:r>
        <w:t>Antes de limpiar, ajustar o retirar material atorado de una máquina deberá detenerse y desconectarse o aislarse su energía cuando proceda. No se usará ropa suelta, joyería o cabello sin sujetar cuando exista riesgo de atrapamiento.</w:t>
      </w:r>
    </w:p>
    <w:p>
      <w:pPr>
        <w:pStyle w:val="BodyText"/>
      </w:pPr>
      <w:r>
        <w:rPr>
          <w:b/>
        </w:rPr>
        <w:t xml:space="preserve">ARTÍCULO 38.- </w:t>
      </w:r>
      <w:r>
        <w:t>Los pasillos, extintores, botiquín, tableros eléctricos, rutas de evacuación y punto de reunión se mantendrán accesibles. Toda persona deberá conocer la ubicación de salidas y seguir las indicaciones de emergencia.</w:t>
      </w:r>
    </w:p>
    <w:p>
      <w:pPr>
        <w:pStyle w:val="BodyText"/>
      </w:pPr>
      <w:r>
        <w:rPr>
          <w:b/>
        </w:rPr>
        <w:t xml:space="preserve">ARTÍCULO 39.- </w:t>
      </w:r>
      <w:r>
        <w:t>Todo accidente, derrame, exposición, conato de incendio, daño o condición insegura deberá reportarse inmediatamente al patrón. Se prestarán primeros auxilios dentro de la capacitación disponible y se solicitará atención profesional cuando sea necesario.</w:t>
      </w:r>
    </w:p>
    <w:p>
      <w:pPr>
        <w:pStyle w:val="BodyText"/>
      </w:pPr>
      <w:r>
        <w:rPr>
          <w:b/>
        </w:rPr>
        <w:t xml:space="preserve">ARTÍCULO 40.- </w:t>
      </w:r>
      <w:r>
        <w:t>Las personas embarazadas, menores de edad y quienes tengan restricciones médicas no realizarán labores peligrosas o insalubres que estén prohibidas por la legislación o que comprometan su seguridad. Se aplicarán ajustes razonables cuando correspondan.</w:t>
      </w:r>
    </w:p>
    <w:p>
      <w:pPr>
        <w:pStyle w:val="Heading1"/>
      </w:pPr>
      <w:r>
        <w:t>CAPÍTULO VIII. ORDEN, LIMPIEZA, MATERIALES Y HERRAMIENTAS</w:t>
      </w:r>
    </w:p>
    <w:p>
      <w:pPr>
        <w:pStyle w:val="BodyText"/>
      </w:pPr>
      <w:r>
        <w:rPr>
          <w:b/>
        </w:rPr>
        <w:t xml:space="preserve">ARTÍCULO 41.- </w:t>
      </w:r>
      <w:r>
        <w:t>Cada área se limpiará conforme al rol acordado. Los últimos quince minutos de la jornada se destinarán, cuando la operación lo permita, a retirar basura, barrer, ordenar materiales y dejar equipos en condiciones seguras. La limpieza no deberá efectuarse con maquinaria en movimiento.</w:t>
      </w:r>
    </w:p>
    <w:p>
      <w:pPr>
        <w:pStyle w:val="BodyText"/>
      </w:pPr>
      <w:r>
        <w:rPr>
          <w:b/>
        </w:rPr>
        <w:t xml:space="preserve">ARTÍCULO 42.- </w:t>
      </w:r>
      <w:r>
        <w:t>Las herramientas y materiales se almacenarán en el área de taller y en los lugares designados. Los pasillos, salidas y áreas de atención permanecerán libres de obstáculos.</w:t>
      </w:r>
    </w:p>
    <w:p>
      <w:pPr>
        <w:pStyle w:val="BodyText"/>
      </w:pPr>
      <w:r>
        <w:rPr>
          <w:b/>
        </w:rPr>
        <w:t xml:space="preserve">ARTÍCULO 43.- </w:t>
      </w:r>
      <w:r>
        <w:t>Los sobrantes, desperdicios, impresiones, telas, estructuras, diseños, archivos y materiales de clientes pertenecen a ViPrint o al cliente según corresponda. Las personas trabajadoras no podrán disponer de ellos, llevárselos, venderlos, regalarlos o reutilizarlos sin autorización expresa.</w:t>
      </w:r>
    </w:p>
    <w:p>
      <w:pPr>
        <w:pStyle w:val="BodyText"/>
      </w:pPr>
      <w:r>
        <w:rPr>
          <w:b/>
        </w:rPr>
        <w:t xml:space="preserve">ARTÍCULO 44.- </w:t>
      </w:r>
      <w:r>
        <w:t>La pérdida o daño de herramientas deberá reportarse de inmediato. El desgaste normal no será imputable a la persona trabajadora. Cualquier responsabilidad se determinará mediante investigación y solo dará lugar a descuentos dentro de los casos y límites legales.</w:t>
      </w:r>
    </w:p>
    <w:p>
      <w:pPr>
        <w:pStyle w:val="BodyText"/>
      </w:pPr>
      <w:r>
        <w:rPr>
          <w:b/>
        </w:rPr>
        <w:t xml:space="preserve">ARTÍCULO 45.- </w:t>
      </w:r>
      <w:r>
        <w:t>Al concluir la jornada se apagarán y asegurarán los equipos conforme al procedimiento, se cerrarán recipientes químicos, se guardarán herramientas y se reportarán trabajos pendientes o riesgos detectados.</w:t>
      </w:r>
    </w:p>
    <w:p>
      <w:pPr>
        <w:pStyle w:val="Heading1"/>
      </w:pPr>
      <w:r>
        <w:t>CAPÍTULO IX. DINERO, INFORMACIÓN, CLIENTES Y CONFIDENCIALIDAD</w:t>
      </w:r>
    </w:p>
    <w:p>
      <w:pPr>
        <w:pStyle w:val="BodyText"/>
      </w:pPr>
      <w:r>
        <w:rPr>
          <w:b/>
        </w:rPr>
        <w:t xml:space="preserve">ARTÍCULO 46.- </w:t>
      </w:r>
      <w:r>
        <w:t>Quienes reciban anticipos o dinero deberán registrar la operación, entregar comprobante y resguardar los recursos conforme a las instrucciones de ViPrint. Está prohibido desviar pagos, usar cuentas personales sin autorización o ocultar operaciones.</w:t>
      </w:r>
    </w:p>
    <w:p>
      <w:pPr>
        <w:pStyle w:val="BodyText"/>
      </w:pPr>
      <w:r>
        <w:rPr>
          <w:b/>
        </w:rPr>
        <w:t xml:space="preserve">ARTÍCULO 47.- </w:t>
      </w:r>
      <w:r>
        <w:t>Los archivos, diseños, listas de precios, cotizaciones, números de clientes, domicilios, contraseñas y demás información conocida por razón del trabajo deberán usarse con cuidado y únicamente para las funciones autorizadas.</w:t>
      </w:r>
    </w:p>
    <w:p>
      <w:pPr>
        <w:pStyle w:val="BodyText"/>
      </w:pPr>
      <w:r>
        <w:rPr>
          <w:b/>
        </w:rPr>
        <w:t xml:space="preserve">ARTÍCULO 48.- </w:t>
      </w:r>
      <w:r>
        <w:t>Durante y después de la relación laboral queda prohibido utilizar información interna para desviar ventas, hacerse pasar por representante de ViPrint, recibir pagos destinados al negocio, acceder sin autorización a cuentas o contactar clientes mediante bases obtenidas en el trabajo para ofrecer servicios competidores.</w:t>
      </w:r>
    </w:p>
    <w:p>
      <w:pPr>
        <w:pStyle w:val="BodyText"/>
      </w:pPr>
      <w:r>
        <w:rPr>
          <w:b/>
        </w:rPr>
        <w:t xml:space="preserve">ARTÍCULO 49.- </w:t>
      </w:r>
      <w:r>
        <w:t>La regla anterior no prohíbe relaciones personales lícitas ni el uso de conocimientos y experiencia generales. Su finalidad es proteger información confidencial, datos personales, secretos comerciales y relaciones comerciales obtenidas mediante los recursos de ViPrint.</w:t>
      </w:r>
    </w:p>
    <w:p>
      <w:pPr>
        <w:pStyle w:val="BodyText"/>
      </w:pPr>
      <w:r>
        <w:rPr>
          <w:b/>
        </w:rPr>
        <w:t xml:space="preserve">ARTÍCULO 50.- </w:t>
      </w:r>
      <w:r>
        <w:t>Está prohibido realizar trabajos particulares durante la jornada, cobrar directamente a clientes de ViPrint o usar maquinaria, materiales, archivos, cuentas o instalaciones para beneficio personal sin autorización escrita del patrón.</w:t>
      </w:r>
    </w:p>
    <w:p>
      <w:pPr>
        <w:pStyle w:val="Heading1"/>
      </w:pPr>
      <w:r>
        <w:t>CAPÍTULO X. USO EXCEPCIONAL DE EQUIPO FUERA DE JORNADA</w:t>
      </w:r>
    </w:p>
    <w:p>
      <w:pPr>
        <w:pStyle w:val="BodyText"/>
      </w:pPr>
      <w:r>
        <w:rPr>
          <w:b/>
        </w:rPr>
        <w:t xml:space="preserve">ARTÍCULO 51.- </w:t>
      </w:r>
      <w:r>
        <w:t>El uso personal de computadoras o equipo después del horario no constituye una prestación ni un derecho adquirido. Solo podrá autorizarse excepcionalmente por escrito, indicando fecha, horario, equipo y actividad permitida.</w:t>
      </w:r>
    </w:p>
    <w:p>
      <w:pPr>
        <w:pStyle w:val="BodyText"/>
      </w:pPr>
      <w:r>
        <w:rPr>
          <w:b/>
        </w:rPr>
        <w:t xml:space="preserve">ARTÍCULO 52.- </w:t>
      </w:r>
      <w:r>
        <w:t>La autorización nunca comprenderá soldadura, esmerilado, calandra, solventes, xilol, pinturas u otras actividades peligrosas, salvo que se trate de trabajo formalmente encargado y contabilizado como tiempo de trabajo. Tampoco se permitirá permanecer solo en el taller.</w:t>
      </w:r>
    </w:p>
    <w:p>
      <w:pPr>
        <w:pStyle w:val="BodyText"/>
      </w:pPr>
      <w:r>
        <w:rPr>
          <w:b/>
        </w:rPr>
        <w:t xml:space="preserve">ARTÍCULO 53.- </w:t>
      </w:r>
      <w:r>
        <w:t>La persona autorizada deberá respetar las medidas de seguridad, no utilizar información de clientes, no competir deslealmente con ViPrint, no recibir clientes en el local y retirarse a la hora autorizada. La autorización podrá revocarse en cualquier momento.</w:t>
      </w:r>
    </w:p>
    <w:p>
      <w:pPr>
        <w:pStyle w:val="BodyText"/>
      </w:pPr>
      <w:r>
        <w:rPr>
          <w:b/>
        </w:rPr>
        <w:t xml:space="preserve">ARTÍCULO 54.- </w:t>
      </w:r>
      <w:r>
        <w:t>La calificación de cualquier accidente se determinará conforme a los hechos y a la legislación aplicable. Ninguna autorización o formato implicará renuncia anticipada a derechos laborales o de seguridad social.</w:t>
      </w:r>
    </w:p>
    <w:p>
      <w:pPr>
        <w:pStyle w:val="Heading1"/>
      </w:pPr>
      <w:r>
        <w:t>CAPÍTULO XI. OBLIGACIONES Y PROHIBICIONES</w:t>
      </w:r>
    </w:p>
    <w:p>
      <w:pPr>
        <w:pStyle w:val="BodyText"/>
      </w:pPr>
      <w:r>
        <w:rPr>
          <w:b/>
        </w:rPr>
        <w:t xml:space="preserve">ARTÍCULO 55.- </w:t>
      </w:r>
      <w:r>
        <w:t>Además de las obligaciones legales, las personas trabajadoras deberán:</w:t>
      </w:r>
    </w:p>
    <w:p>
      <w:pPr>
        <w:pStyle w:val="ListBullet"/>
        <w:spacing w:after="40"/>
      </w:pPr>
      <w:r>
        <w:t>Cumplir el horario, registrar personalmente la asistencia y avisar oportunamente las incidencias.</w:t>
      </w:r>
    </w:p>
    <w:p>
      <w:pPr>
        <w:pStyle w:val="ListBullet"/>
        <w:spacing w:after="40"/>
      </w:pPr>
      <w:r>
        <w:t>Ejecutar sus funciones con cuidado, buena fe, respeto y atención a las instrucciones lícitas relacionadas con el trabajo.</w:t>
      </w:r>
    </w:p>
    <w:p>
      <w:pPr>
        <w:pStyle w:val="ListBullet"/>
        <w:spacing w:after="40"/>
      </w:pPr>
      <w:r>
        <w:t>Usar el uniforme y equipo de protección que corresponda.</w:t>
      </w:r>
    </w:p>
    <w:p>
      <w:pPr>
        <w:pStyle w:val="ListBullet"/>
        <w:spacing w:after="40"/>
      </w:pPr>
      <w:r>
        <w:t>Tratar correctamente a clientes, compañeros, proveedores y visitas.</w:t>
      </w:r>
    </w:p>
    <w:p>
      <w:pPr>
        <w:pStyle w:val="ListBullet"/>
        <w:spacing w:after="40"/>
      </w:pPr>
      <w:r>
        <w:t>Reportar accidentes, riesgos, fallas, errores relevantes, quejas y daños.</w:t>
      </w:r>
    </w:p>
    <w:p>
      <w:pPr>
        <w:pStyle w:val="ListBullet"/>
        <w:spacing w:after="40"/>
      </w:pPr>
      <w:r>
        <w:t>Proteger dinero, materiales, herramientas, archivos, contraseñas y datos personales.</w:t>
      </w:r>
    </w:p>
    <w:p>
      <w:pPr>
        <w:pStyle w:val="ListBullet"/>
        <w:spacing w:after="40"/>
      </w:pPr>
      <w:r>
        <w:t>Participar en capacitaciones de seguridad y simulacros razonablemente convocados.</w:t>
      </w:r>
    </w:p>
    <w:p>
      <w:pPr>
        <w:pStyle w:val="ListBullet"/>
        <w:spacing w:after="40"/>
      </w:pPr>
      <w:r>
        <w:t>Mantener orden y limpieza y colaborar en emergencias sin exponerse indebidamente.</w:t>
      </w:r>
    </w:p>
    <w:p>
      <w:pPr>
        <w:pStyle w:val="BodyText"/>
      </w:pPr>
      <w:r>
        <w:rPr>
          <w:b/>
        </w:rPr>
        <w:t xml:space="preserve">ARTÍCULO 56.- </w:t>
      </w:r>
      <w:r>
        <w:t>Queda prohibido:</w:t>
      </w:r>
    </w:p>
    <w:p>
      <w:pPr>
        <w:pStyle w:val="ListBullet"/>
        <w:spacing w:after="40"/>
      </w:pPr>
      <w:r>
        <w:t>Presentarse o permanecer en estado de ebriedad o bajo efectos de narcóticos o sustancias que comprometan la seguridad, salvo medicamento prescrito informado cuando pueda afectar la operación segura.</w:t>
      </w:r>
    </w:p>
    <w:p>
      <w:pPr>
        <w:pStyle w:val="ListBullet"/>
        <w:spacing w:after="40"/>
      </w:pPr>
      <w:r>
        <w:t>Introducir, consumir, distribuir o vender bebidas alcohólicas o sustancias ilícitas dentro del centro de trabajo.</w:t>
      </w:r>
    </w:p>
    <w:p>
      <w:pPr>
        <w:pStyle w:val="ListBullet"/>
        <w:spacing w:after="40"/>
      </w:pPr>
      <w:r>
        <w:t>Agredir, amenazar, acosar, discriminar, insultar o provocar riñas.</w:t>
      </w:r>
    </w:p>
    <w:p>
      <w:pPr>
        <w:pStyle w:val="ListBullet"/>
        <w:spacing w:after="40"/>
      </w:pPr>
      <w:r>
        <w:t>Portar armas, salvo autorización legal expresa aplicable a funciones de seguridad que ViPrint actualmente no maneja.</w:t>
      </w:r>
    </w:p>
    <w:p>
      <w:pPr>
        <w:pStyle w:val="ListBullet"/>
        <w:spacing w:after="40"/>
      </w:pPr>
      <w:r>
        <w:t>Abandonar el puesto, suspender labores o salir del centro sin autorización, salvo emergencia.</w:t>
      </w:r>
    </w:p>
    <w:p>
      <w:pPr>
        <w:pStyle w:val="ListBullet"/>
        <w:spacing w:after="40"/>
      </w:pPr>
      <w:r>
        <w:t>Alterar registros de asistencia, pagos, pedidos, archivos o comprobantes.</w:t>
      </w:r>
    </w:p>
    <w:p>
      <w:pPr>
        <w:pStyle w:val="ListBullet"/>
        <w:spacing w:after="40"/>
      </w:pPr>
      <w:r>
        <w:t>Sustraer dinero, materiales, sobrantes, herramientas, diseños, datos o bienes sin autorización.</w:t>
      </w:r>
    </w:p>
    <w:p>
      <w:pPr>
        <w:pStyle w:val="ListBullet"/>
        <w:spacing w:after="40"/>
      </w:pPr>
      <w:r>
        <w:t>Operar maquinaria sin capacitación o sin equipo de protección.</w:t>
      </w:r>
    </w:p>
    <w:p>
      <w:pPr>
        <w:pStyle w:val="ListBullet"/>
        <w:spacing w:after="40"/>
      </w:pPr>
      <w:r>
        <w:t>Fumar o generar fuentes de ignición en zonas de taller o químicos.</w:t>
      </w:r>
    </w:p>
    <w:p>
      <w:pPr>
        <w:pStyle w:val="ListBullet"/>
        <w:spacing w:after="40"/>
      </w:pPr>
      <w:r>
        <w:t>Atender de forma irrespetuosa o engañosa a clientes.</w:t>
      </w:r>
    </w:p>
    <w:p>
      <w:pPr>
        <w:pStyle w:val="ListBullet"/>
        <w:spacing w:after="40"/>
      </w:pPr>
      <w:r>
        <w:t>Usar recursos de ViPrint para trabajos particulares no autorizados.</w:t>
      </w:r>
    </w:p>
    <w:p>
      <w:pPr>
        <w:pStyle w:val="ListBullet"/>
        <w:spacing w:after="40"/>
      </w:pPr>
      <w:r>
        <w:t>Divulgar contraseñas o información confidencial o publicar datos de clientes sin autorización.</w:t>
      </w:r>
    </w:p>
    <w:p>
      <w:pPr>
        <w:pStyle w:val="BodyText"/>
      </w:pPr>
      <w:r>
        <w:rPr>
          <w:b/>
        </w:rPr>
        <w:t xml:space="preserve">ARTÍCULO 57.- </w:t>
      </w:r>
      <w:r>
        <w:t>El patrón deberá pagar salarios y prestaciones, proporcionar herramientas y equipo de protección, guardar respeto, prevenir riesgos, capacitar razonablemente, mantener botiquín y extintores, atender quejas, permitir el uso de asientos o sillas con respaldo cuando la naturaleza del trabajo lo permita y cumplir las demás obligaciones legales.</w:t>
      </w:r>
    </w:p>
    <w:p>
      <w:pPr>
        <w:pStyle w:val="Heading1"/>
      </w:pPr>
      <w:r>
        <w:t>CAPÍTULO XII. MEDIDAS DISCIPLINARIAS Y PROCEDIMIENTO</w:t>
      </w:r>
    </w:p>
    <w:p>
      <w:pPr>
        <w:pStyle w:val="BodyText"/>
      </w:pPr>
      <w:r>
        <w:rPr>
          <w:b/>
        </w:rPr>
        <w:t xml:space="preserve">ARTÍCULO 58.- </w:t>
      </w:r>
      <w:r>
        <w:t>Las medidas disciplinarias posibles son: orientación o llamada de atención verbal; amonestación escrita; acta administrativa; y suspensión temporal sin goce de salario de uno a ocho días. La rescisión de la relación no es una medida disciplinaria ordinaria y solo procederá por una causa legal, con el aviso correspondiente.</w:t>
      </w:r>
    </w:p>
    <w:p>
      <w:pPr>
        <w:pStyle w:val="BodyText"/>
      </w:pPr>
      <w:r>
        <w:rPr>
          <w:b/>
        </w:rPr>
        <w:t xml:space="preserve">ARTÍCULO 59.- </w:t>
      </w:r>
      <w:r>
        <w:t>Antes de imponer una amonestación escrita, acta o suspensión, el patrón informará a la persona trabajadora los hechos atribuidos y le dará oportunidad real de ser escuchada, ofrecer explicaciones y presentar elementos. Se documentará la fecha, circunstancias, testigos y decisión.</w:t>
      </w:r>
    </w:p>
    <w:p>
      <w:pPr>
        <w:pStyle w:val="BodyText"/>
      </w:pPr>
      <w:r>
        <w:rPr>
          <w:b/>
        </w:rPr>
        <w:t xml:space="preserve">ARTÍCULO 60.- </w:t>
      </w:r>
      <w:r>
        <w:t>La medida será proporcional a la gravedad, riesgo, daño, intención, antecedentes, reincidencia y circunstancias. No es obligatorio agotar todas las medidas cuando la conducta sea grave, pero ninguna sanción podrá basarse únicamente en suposiciones o discriminación.</w:t>
      </w:r>
    </w:p>
    <w:p>
      <w:pPr>
        <w:pStyle w:val="BodyText"/>
      </w:pPr>
      <w:r>
        <w:rPr>
          <w:b/>
        </w:rPr>
        <w:t xml:space="preserve">ARTÍCULO 61.- </w:t>
      </w:r>
      <w:r>
        <w:t>Se consideran faltas leves, según el caso: retardos aislados injustificados; no portar uniforme o gafete; descuidar el orden; uso excesivo del celular; recibir visitas que interfieran; o incumplir instrucciones menores sin riesgo o daño relevante.</w:t>
      </w:r>
    </w:p>
    <w:p>
      <w:pPr>
        <w:pStyle w:val="BodyText"/>
      </w:pPr>
      <w:r>
        <w:rPr>
          <w:b/>
        </w:rPr>
        <w:t xml:space="preserve">ARTÍCULO 62.- </w:t>
      </w:r>
      <w:r>
        <w:t>Podrán considerarse faltas graves, según los hechos: maltrato serio a un cliente; ausencias o abandono injustificado; reincidencia en retardos; presentarse en estado de ebriedad; consumir alcohol o sustancias; operar maquinaria sin protección; poner en riesgo a otras personas; desviar pagos o clientes; sustraer bienes; violencia; acoso; falsificación; o revelar información confidencial.</w:t>
      </w:r>
    </w:p>
    <w:p>
      <w:pPr>
        <w:pStyle w:val="BodyText"/>
      </w:pPr>
      <w:r>
        <w:rPr>
          <w:b/>
        </w:rPr>
        <w:t xml:space="preserve">ARTÍCULO 63.- </w:t>
      </w:r>
      <w:r>
        <w:t>Cuando exista sospecha razonable de intoxicación o una condición que haga inseguro continuar, se separará preventivamente a la persona de actividades de riesgo, se documentarán signos objetivos con respeto y testigos, y se facilitará un traslado seguro. La decisión disciplinaria se tomará después de escucharla y revisar los hechos.</w:t>
      </w:r>
    </w:p>
    <w:p>
      <w:pPr>
        <w:pStyle w:val="BodyText"/>
      </w:pPr>
      <w:r>
        <w:rPr>
          <w:b/>
        </w:rPr>
        <w:t xml:space="preserve">ARTÍCULO 64.- </w:t>
      </w:r>
      <w:r>
        <w:t>Las actas administrativas son medios de documentación y no producen por sí solas un despido automático. La acumulación de actas tampoco sustituye la existencia y prueba de una causa legal de rescisión.</w:t>
      </w:r>
    </w:p>
    <w:p>
      <w:pPr>
        <w:pStyle w:val="BodyText"/>
      </w:pPr>
      <w:r>
        <w:rPr>
          <w:b/>
        </w:rPr>
        <w:t xml:space="preserve">ARTÍCULO 65.- </w:t>
      </w:r>
      <w:r>
        <w:t>Las situaciones no previstas se resolverán conforme a la Ley Federal del Trabajo y demás disposiciones aplicables, favoreciendo la interpretación que proteja los derechos mínimos y la seguridad.</w:t>
      </w:r>
    </w:p>
    <w:p>
      <w:pPr>
        <w:pStyle w:val="Heading1"/>
      </w:pPr>
      <w:r>
        <w:t>CAPÍTULO XIII. MODIFICACIÓN, DIFUSIÓN Y VIGENCIA</w:t>
      </w:r>
    </w:p>
    <w:p>
      <w:pPr>
        <w:pStyle w:val="BodyText"/>
      </w:pPr>
      <w:r>
        <w:rPr>
          <w:b/>
        </w:rPr>
        <w:t xml:space="preserve">ARTÍCULO 66.- </w:t>
      </w:r>
      <w:r>
        <w:t>La Comisión Mixta podrá proponer modificaciones cuando cambien la operación, maquinaria, horarios o legislación. Toda modificación deberá acordarse, firmarse y depositarse conforme a la ley antes de surtir efectos.</w:t>
      </w:r>
    </w:p>
    <w:p>
      <w:pPr>
        <w:pStyle w:val="BodyText"/>
      </w:pPr>
      <w:r>
        <w:rPr>
          <w:b/>
        </w:rPr>
        <w:t xml:space="preserve">ARTÍCULO 67.- </w:t>
      </w:r>
      <w:r>
        <w:t>Cada persona trabajadora recibirá una copia física o digital y firmará una constancia de entrega, sin que la falta de firma elimine los derechos legales ni sustituya la obligación de difusión.</w:t>
      </w:r>
    </w:p>
    <w:p>
      <w:pPr>
        <w:pStyle w:val="BodyText"/>
      </w:pPr>
      <w:r>
        <w:rPr>
          <w:b/>
        </w:rPr>
        <w:t xml:space="preserve">ARTÍCULO 68.- </w:t>
      </w:r>
      <w:r>
        <w:t>El presente Reglamento se firma en Aguascalientes, Aguascalientes, el 15 de julio de 2026 y deberá depositarse ante el Centro Federal de Conciliación y Registro Laboral dentro de los ocho días siguientes a su firma. Surtirá efectos desde la fecha de depósito.</w:t>
      </w:r>
    </w:p>
    <w:p>
      <w:r>
        <w:br/>
      </w:r>
    </w:p>
    <w:tbl>
      <w:tblPr>
        <w:tblW w:type="auto" w:w="0"/>
        <w:jc w:val="center"/>
        <w:tblLayout w:type="fixed"/>
        <w:tblLook w:firstColumn="1" w:firstRow="1" w:lastColumn="0" w:lastRow="0" w:noHBand="0" w:noVBand="1" w:val="04A0"/>
      </w:tblPr>
      <w:tblGrid>
        <w:gridCol w:w="5040"/>
        <w:gridCol w:w="5040"/>
      </w:tblGrid>
      <w:tr>
        <w:tc>
          <w:tcPr>
            <w:tcW w:type="dxa" w:w="4464"/>
          </w:tcPr>
          <w:p>
            <w:pPr>
              <w:jc w:val="center"/>
            </w:pPr>
            <w:r>
              <w:rPr>
                <w:b/>
              </w:rPr>
              <w:br/>
              <w:br/>
              <w:t>_______________________________</w:t>
            </w:r>
          </w:p>
        </w:tc>
        <w:tc>
          <w:tcPr>
            <w:tcW w:type="dxa" w:w="4464"/>
          </w:tcPr>
          <w:p>
            <w:pPr>
              <w:jc w:val="center"/>
            </w:pPr>
            <w:r>
              <w:rPr>
                <w:b/>
              </w:rPr>
              <w:br/>
              <w:br/>
              <w:t>_______________________________</w:t>
            </w:r>
          </w:p>
        </w:tc>
      </w:tr>
      <w:tr>
        <w:tc>
          <w:tcPr>
            <w:tcW w:type="dxa" w:w="4464"/>
          </w:tcPr>
          <w:p>
            <w:pPr>
              <w:jc w:val="center"/>
            </w:pPr>
            <w:r>
              <w:rPr>
                <w:b/>
              </w:rPr>
              <w:t>LUIS ALVARO GOMEZ VINAJERA</w:t>
              <w:br/>
            </w:r>
            <w:r>
              <w:t>PATRÓN Y REPRESENTANTE DE VIPRINT</w:t>
            </w:r>
          </w:p>
        </w:tc>
        <w:tc>
          <w:tcPr>
            <w:tcW w:type="dxa" w:w="4464"/>
          </w:tcPr>
          <w:p>
            <w:pPr>
              <w:jc w:val="center"/>
            </w:pPr>
            <w:r>
              <w:rPr>
                <w:b/>
              </w:rPr>
              <w:t>FERNANDA DANAE RENTERÍA ENRIQUEZ</w:t>
              <w:br/>
            </w:r>
            <w:r>
              <w:t>REPRESENTANTE DE LAS PERSONAS TRABAJADORAS</w:t>
            </w:r>
          </w:p>
        </w:tc>
      </w:tr>
    </w:tbl>
    <w:p>
      <w:r>
        <w:br w:type="page"/>
      </w:r>
    </w:p>
    <w:p>
      <w:pPr>
        <w:pStyle w:val="Heading1"/>
      </w:pPr>
      <w:r>
        <w:t>1. ACTA DE ELECCIÓN DE LA REPRESENTANTE DE LAS PERSONAS TRABAJADORAS</w:t>
      </w:r>
    </w:p>
    <w:p>
      <w:pPr>
        <w:pStyle w:val="BodyText"/>
        <w:jc w:val="both"/>
      </w:pPr>
      <w:r>
        <w:t>En Aguascalientes, Aguascalientes, siendo las ______ horas del día 15 de julio de 2026, reunidas las personas trabajadoras de ViPrint Publicidad en el centro de trabajo ubicado en Calle Rosario Castellanos número 118, Colonia Triana, C.P. 20240, Aguascalientes, Aguascalientes, manifiestan que fueron convocadas para elegir libremente a quien las representará en la Comisión Mixta encargada de formular y aprobar el Reglamento Interior de Trabajo.</w:t>
      </w:r>
    </w:p>
    <w:p>
      <w:pPr>
        <w:pStyle w:val="ListNumber"/>
        <w:spacing w:after="40"/>
      </w:pPr>
      <w:r>
        <w:t>Se informó que la representación corresponde a las personas trabajadoras y no al patrón.</w:t>
      </w:r>
    </w:p>
    <w:p>
      <w:pPr>
        <w:pStyle w:val="ListNumber"/>
        <w:spacing w:after="40"/>
      </w:pPr>
      <w:r>
        <w:t>Después de deliberar y realizar la elección por votación directa, las personas presentes eligieron a FERNANDA DANAE RENTERÍA ENRIQUEZ, quien ocupa el puesto de Administración y auxiliar general.</w:t>
      </w:r>
    </w:p>
    <w:p>
      <w:pPr>
        <w:pStyle w:val="ListNumber"/>
        <w:spacing w:after="40"/>
      </w:pPr>
      <w:r>
        <w:t>La persona electa acepta el cargo y se compromete a revisar el proyecto, recoger observaciones y representar los intereses de las personas trabajadoras.</w:t>
      </w:r>
    </w:p>
    <w:p>
      <w:pPr>
        <w:pStyle w:val="ListNumber"/>
        <w:spacing w:after="40"/>
      </w:pPr>
      <w:r>
        <w:t>Se deja constancia de que la elección se realizó sin presión, represalia ni intervención decisoria del patrón.</w:t>
      </w:r>
    </w:p>
    <w:p>
      <w:pPr>
        <w:pStyle w:val="BodyText"/>
      </w:pPr>
      <w:r>
        <w:rPr>
          <w:b/>
        </w:rPr>
        <w:t>Personas trabajadoras presentes y firmas:</w:t>
      </w:r>
    </w:p>
    <w:p>
      <w:pPr>
        <w:pStyle w:val="BodyText"/>
      </w:pPr>
      <w:r>
        <w:t>Nombre: _____________________________________   Firma: ____________________________</w:t>
      </w:r>
    </w:p>
    <w:p>
      <w:pPr>
        <w:pStyle w:val="BodyText"/>
      </w:pPr>
      <w:r>
        <w:t>Nombre: _____________________________________   Firma: ____________________________</w:t>
      </w:r>
    </w:p>
    <w:p>
      <w:pPr>
        <w:pStyle w:val="BodyText"/>
      </w:pPr>
      <w:r>
        <w:t>Nombre: _____________________________________   Firma: ____________________________</w:t>
      </w:r>
    </w:p>
    <w:p>
      <w:pPr>
        <w:pStyle w:val="BodyText"/>
      </w:pPr>
      <w:r>
        <w:t>Nombre: _____________________________________   Firma: ____________________________</w:t>
      </w:r>
    </w:p>
    <w:p>
      <w:pPr>
        <w:pStyle w:val="BodyText"/>
      </w:pPr>
      <w:r>
        <w:t>Nombre: _____________________________________   Firma: ____________________________</w:t>
      </w:r>
    </w:p>
    <w:p>
      <w:r>
        <w:br/>
      </w:r>
    </w:p>
    <w:tbl>
      <w:tblPr>
        <w:tblW w:type="auto" w:w="0"/>
        <w:jc w:val="center"/>
        <w:tblLayout w:type="fixed"/>
        <w:tblLook w:firstColumn="1" w:firstRow="1" w:lastColumn="0" w:lastRow="0" w:noHBand="0" w:noVBand="1" w:val="04A0"/>
      </w:tblPr>
      <w:tblGrid>
        <w:gridCol w:w="5040"/>
        <w:gridCol w:w="5040"/>
      </w:tblGrid>
      <w:tr>
        <w:tc>
          <w:tcPr>
            <w:tcW w:type="dxa" w:w="4464"/>
          </w:tcPr>
          <w:p>
            <w:pPr>
              <w:jc w:val="center"/>
            </w:pPr>
            <w:r>
              <w:rPr>
                <w:b/>
              </w:rPr>
              <w:br/>
              <w:br/>
              <w:t>_______________________________</w:t>
            </w:r>
          </w:p>
        </w:tc>
        <w:tc>
          <w:tcPr>
            <w:tcW w:type="dxa" w:w="4464"/>
          </w:tcPr>
          <w:p>
            <w:pPr>
              <w:jc w:val="center"/>
            </w:pPr>
            <w:r>
              <w:rPr>
                <w:b/>
              </w:rPr>
              <w:br/>
              <w:br/>
              <w:t>_______________________________</w:t>
            </w:r>
          </w:p>
        </w:tc>
      </w:tr>
      <w:tr>
        <w:tc>
          <w:tcPr>
            <w:tcW w:type="dxa" w:w="4464"/>
          </w:tcPr>
          <w:p>
            <w:pPr>
              <w:jc w:val="center"/>
            </w:pPr>
            <w:r>
              <w:rPr>
                <w:b/>
              </w:rPr>
              <w:t>FERNANDA DANAE RENTERÍA ENRIQUEZ</w:t>
              <w:br/>
            </w:r>
            <w:r>
              <w:t>PERSONA ELECTA</w:t>
            </w:r>
          </w:p>
        </w:tc>
        <w:tc>
          <w:tcPr>
            <w:tcW w:type="dxa" w:w="4464"/>
          </w:tcPr>
          <w:p>
            <w:pPr>
              <w:jc w:val="center"/>
            </w:pPr>
            <w:r>
              <w:rPr>
                <w:b/>
              </w:rPr>
              <w:t>________________________________</w:t>
              <w:br/>
            </w:r>
            <w:r>
              <w:t>TESTIGO DE LA ELECCIÓN</w:t>
            </w:r>
          </w:p>
        </w:tc>
      </w:tr>
    </w:tbl>
    <w:p>
      <w:r>
        <w:br w:type="page"/>
      </w:r>
    </w:p>
    <w:p>
      <w:pPr>
        <w:pStyle w:val="Heading1"/>
      </w:pPr>
      <w:r>
        <w:t>2. ACTA DE INTEGRACIÓN DE LA COMISIÓN MIXTA</w:t>
      </w:r>
    </w:p>
    <w:p>
      <w:pPr>
        <w:pStyle w:val="BodyText"/>
        <w:jc w:val="both"/>
      </w:pPr>
      <w:r>
        <w:t>En Aguascalientes, Aguascalientes, a 15 de julio de 2026, comparecen LUIS ALVARO GOMEZ VINAJERA, en su carácter de patrón y representante de ViPrint Publicidad, y FERNANDA DANAE RENTERÍA ENRIQUEZ, elegida como representante de las personas trabajadoras, quienes acuerdan integrar la Comisión Mixta para la formulación del Reglamento Interior de Trabajo, de conformidad con el artículo 424, fracción I, de la Ley Federal del Trabajo.</w:t>
      </w:r>
    </w:p>
    <w:p>
      <w:pPr>
        <w:pStyle w:val="ListNumber"/>
        <w:spacing w:after="40"/>
      </w:pPr>
      <w:r>
        <w:t>La Comisión queda integrada por una representación del patrón y una representación de las personas trabajadoras.</w:t>
      </w:r>
    </w:p>
    <w:p>
      <w:pPr>
        <w:pStyle w:val="ListNumber"/>
        <w:spacing w:after="40"/>
      </w:pPr>
      <w:r>
        <w:t>Su objeto es revisar, acordar, firmar y, cuando sea necesario, proponer modificaciones al Reglamento Interior de Trabajo.</w:t>
      </w:r>
    </w:p>
    <w:p>
      <w:pPr>
        <w:pStyle w:val="ListNumber"/>
        <w:spacing w:after="40"/>
      </w:pPr>
      <w:r>
        <w:t>Las partes declaran que analizaron las condiciones reales de ViPrint: atención al público, diseño e impresión, taller, soldadura, instalaciones con clientes, manejo de dinero, archivos, tintas, solventes, xilol y pintura.</w:t>
      </w:r>
    </w:p>
    <w:p>
      <w:pPr>
        <w:pStyle w:val="ListNumber"/>
        <w:spacing w:after="40"/>
      </w:pPr>
      <w:r>
        <w:t>La Comisión reconoce que las reglas técnicas de operación y capacitación podrán desarrollarse en manuales separados, sin contradecir el Reglamento ni la legislación.</w:t>
      </w:r>
    </w:p>
    <w:tbl>
      <w:tblPr>
        <w:tblW w:type="auto" w:w="0"/>
        <w:jc w:val="center"/>
        <w:tblLayout w:type="fixed"/>
        <w:tblLook w:firstColumn="1" w:firstRow="1" w:lastColumn="0" w:lastRow="0" w:noHBand="0" w:noVBand="1" w:val="04A0"/>
      </w:tblPr>
      <w:tblGrid>
        <w:gridCol w:w="5040"/>
        <w:gridCol w:w="5040"/>
      </w:tblGrid>
      <w:tr>
        <w:tc>
          <w:tcPr>
            <w:tcW w:type="dxa" w:w="4464"/>
          </w:tcPr>
          <w:p>
            <w:pPr>
              <w:jc w:val="center"/>
            </w:pPr>
            <w:r>
              <w:rPr>
                <w:b/>
              </w:rPr>
              <w:br/>
              <w:br/>
              <w:t>_______________________________</w:t>
            </w:r>
          </w:p>
        </w:tc>
        <w:tc>
          <w:tcPr>
            <w:tcW w:type="dxa" w:w="4464"/>
          </w:tcPr>
          <w:p>
            <w:pPr>
              <w:jc w:val="center"/>
            </w:pPr>
            <w:r>
              <w:rPr>
                <w:b/>
              </w:rPr>
              <w:br/>
              <w:br/>
              <w:t>_______________________________</w:t>
            </w:r>
          </w:p>
        </w:tc>
      </w:tr>
      <w:tr>
        <w:tc>
          <w:tcPr>
            <w:tcW w:type="dxa" w:w="4464"/>
          </w:tcPr>
          <w:p>
            <w:pPr>
              <w:jc w:val="center"/>
            </w:pPr>
            <w:r>
              <w:rPr>
                <w:b/>
              </w:rPr>
              <w:t>LUIS ALVARO GOMEZ VINAJERA</w:t>
              <w:br/>
            </w:r>
            <w:r>
              <w:t>REPRESENTANTE DEL PATRÓN</w:t>
            </w:r>
          </w:p>
        </w:tc>
        <w:tc>
          <w:tcPr>
            <w:tcW w:type="dxa" w:w="4464"/>
          </w:tcPr>
          <w:p>
            <w:pPr>
              <w:jc w:val="center"/>
            </w:pPr>
            <w:r>
              <w:rPr>
                <w:b/>
              </w:rPr>
              <w:t>FERNANDA DANAE RENTERÍA ENRIQUEZ</w:t>
              <w:br/>
            </w:r>
            <w:r>
              <w:t>REPRESENTANTE DE LAS PERSONAS TRABAJADORAS</w:t>
            </w:r>
          </w:p>
        </w:tc>
      </w:tr>
    </w:tbl>
    <w:p>
      <w:r>
        <w:br w:type="page"/>
      </w:r>
    </w:p>
    <w:p>
      <w:pPr>
        <w:pStyle w:val="Heading1"/>
      </w:pPr>
      <w:r>
        <w:t>3. ACTA DE APROBACIÓN Y FIRMA DEL REGLAMENTO</w:t>
      </w:r>
    </w:p>
    <w:p>
      <w:pPr>
        <w:pStyle w:val="BodyText"/>
        <w:jc w:val="both"/>
      </w:pPr>
      <w:r>
        <w:t>En Aguascalientes, Aguascalientes, a 15 de julio de 2026, la Comisión Mixta declara que revisó el Reglamento Interior de Trabajo de ViPrint Publicidad, compuesto por sesenta y ocho artículos, y que ambas representaciones están de acuerdo con su contenido, por lo que proceden a firmarlo y autorizan a cualquiera de las partes, y en particular a LUIS ALVARO GOMEZ VINAJERA, para realizar su depósito ante el Centro Federal de Conciliación y Registro Laboral dentro del plazo legal.</w:t>
      </w:r>
    </w:p>
    <w:p>
      <w:pPr>
        <w:pStyle w:val="ListNumber"/>
        <w:spacing w:after="40"/>
      </w:pPr>
      <w:r>
        <w:t>El Reglamento será depositado junto con esta acta, el acta de integración, acreditaciones e identificaciones aplicables.</w:t>
      </w:r>
    </w:p>
    <w:p>
      <w:pPr>
        <w:pStyle w:val="ListNumber"/>
        <w:spacing w:after="40"/>
      </w:pPr>
      <w:r>
        <w:t>Después del depósito, se entregará una copia a cada persona trabajadora y se colocará en lugar visible.</w:t>
      </w:r>
    </w:p>
    <w:p>
      <w:pPr>
        <w:pStyle w:val="ListNumber"/>
        <w:spacing w:after="40"/>
      </w:pPr>
      <w:r>
        <w:t>Las disposiciones contrarias a la Ley Federal del Trabajo no producirán efectos y deberán corregirse mediante el procedimiento correspondiente.</w:t>
      </w:r>
    </w:p>
    <w:tbl>
      <w:tblPr>
        <w:tblW w:type="auto" w:w="0"/>
        <w:jc w:val="center"/>
        <w:tblLayout w:type="fixed"/>
        <w:tblLook w:firstColumn="1" w:firstRow="1" w:lastColumn="0" w:lastRow="0" w:noHBand="0" w:noVBand="1" w:val="04A0"/>
      </w:tblPr>
      <w:tblGrid>
        <w:gridCol w:w="5040"/>
        <w:gridCol w:w="5040"/>
      </w:tblGrid>
      <w:tr>
        <w:tc>
          <w:tcPr>
            <w:tcW w:type="dxa" w:w="4464"/>
          </w:tcPr>
          <w:p>
            <w:pPr>
              <w:jc w:val="center"/>
            </w:pPr>
            <w:r>
              <w:rPr>
                <w:b/>
              </w:rPr>
              <w:br/>
              <w:br/>
              <w:t>_______________________________</w:t>
            </w:r>
          </w:p>
        </w:tc>
        <w:tc>
          <w:tcPr>
            <w:tcW w:type="dxa" w:w="4464"/>
          </w:tcPr>
          <w:p>
            <w:pPr>
              <w:jc w:val="center"/>
            </w:pPr>
            <w:r>
              <w:rPr>
                <w:b/>
              </w:rPr>
              <w:br/>
              <w:br/>
              <w:t>_______________________________</w:t>
            </w:r>
          </w:p>
        </w:tc>
      </w:tr>
      <w:tr>
        <w:tc>
          <w:tcPr>
            <w:tcW w:type="dxa" w:w="4464"/>
          </w:tcPr>
          <w:p>
            <w:pPr>
              <w:jc w:val="center"/>
            </w:pPr>
            <w:r>
              <w:rPr>
                <w:b/>
              </w:rPr>
              <w:t>LUIS ALVARO GOMEZ VINAJERA</w:t>
              <w:br/>
            </w:r>
            <w:r>
              <w:t>REPRESENTANTE DEL PATRÓN</w:t>
            </w:r>
          </w:p>
        </w:tc>
        <w:tc>
          <w:tcPr>
            <w:tcW w:type="dxa" w:w="4464"/>
          </w:tcPr>
          <w:p>
            <w:pPr>
              <w:jc w:val="center"/>
            </w:pPr>
            <w:r>
              <w:rPr>
                <w:b/>
              </w:rPr>
              <w:t>FERNANDA DANAE RENTERÍA ENRIQUEZ</w:t>
              <w:br/>
            </w:r>
            <w:r>
              <w:t>REPRESENTANTE DE LAS PERSONAS TRABAJADORAS</w:t>
            </w:r>
          </w:p>
        </w:tc>
      </w:tr>
    </w:tbl>
    <w:p>
      <w:r>
        <w:br w:type="page"/>
      </w:r>
    </w:p>
    <w:p>
      <w:pPr>
        <w:pStyle w:val="Heading1"/>
      </w:pPr>
      <w:r>
        <w:t>4. SOLICITUD DE DEPÓSITO ANTE EL CFCRL</w:t>
      </w:r>
    </w:p>
    <w:p>
      <w:pPr>
        <w:jc w:val="right"/>
      </w:pPr>
      <w:r>
        <w:t>Aguascalientes, Aguascalientes, ____ de julio de 2026</w:t>
      </w:r>
    </w:p>
    <w:p>
      <w:pPr>
        <w:pStyle w:val="BodyText"/>
      </w:pPr>
      <w:r>
        <w:rPr>
          <w:b/>
        </w:rPr>
        <w:t>CENTRO FEDERAL DE CONCILIACIÓN Y REGISTRO LABORAL</w:t>
        <w:br/>
        <w:t>AUTORIDAD REGISTRAL</w:t>
        <w:br/>
        <w:t>P R E S E N T E</w:t>
      </w:r>
    </w:p>
    <w:p>
      <w:pPr>
        <w:pStyle w:val="BodyText"/>
        <w:jc w:val="both"/>
      </w:pPr>
      <w:r>
        <w:t>LUIS ALVARO GOMEZ VINAJERA, por mi propio derecho, como persona física con actividad empresarial y patrón del establecimiento denominado ViPrint Publicidad, RFC GOVL780519HS9, señalando como centro de trabajo el ubicado en Calle Rosario Castellanos número 118, Colonia Triana, C.P. 20240, Aguascalientes, Aguascalientes, respetuosamente solicito el depósito del Reglamento Interior de Trabajo formulado y aprobado por la Comisión Mixta de representantes del patrón y de las personas trabajadoras.</w:t>
      </w:r>
    </w:p>
    <w:p>
      <w:pPr>
        <w:pStyle w:val="BodyText"/>
      </w:pPr>
      <w:r>
        <w:rPr>
          <w:b/>
        </w:rPr>
        <w:t>Documentos que se acompañan:</w:t>
      </w:r>
    </w:p>
    <w:p>
      <w:pPr>
        <w:pStyle w:val="ListBullet"/>
        <w:spacing w:after="40"/>
      </w:pPr>
      <w:r>
        <w:t>Reglamento Interior de Trabajo firmado.</w:t>
      </w:r>
    </w:p>
    <w:p>
      <w:pPr>
        <w:pStyle w:val="ListBullet"/>
        <w:spacing w:after="40"/>
      </w:pPr>
      <w:r>
        <w:t>Acta de elección de la representante de las personas trabajadoras.</w:t>
      </w:r>
    </w:p>
    <w:p>
      <w:pPr>
        <w:pStyle w:val="ListBullet"/>
        <w:spacing w:after="40"/>
      </w:pPr>
      <w:r>
        <w:t>Acta de integración de la Comisión Mixta.</w:t>
      </w:r>
    </w:p>
    <w:p>
      <w:pPr>
        <w:pStyle w:val="ListBullet"/>
        <w:spacing w:after="40"/>
      </w:pPr>
      <w:r>
        <w:t>Acta de aprobación del Reglamento.</w:t>
      </w:r>
    </w:p>
    <w:p>
      <w:pPr>
        <w:pStyle w:val="ListBullet"/>
        <w:spacing w:after="40"/>
      </w:pPr>
      <w:r>
        <w:t>Identificación oficial del promovente y de las personas firmantes.</w:t>
      </w:r>
    </w:p>
    <w:p>
      <w:pPr>
        <w:pStyle w:val="ListBullet"/>
        <w:spacing w:after="40"/>
      </w:pPr>
      <w:r>
        <w:t>Constancia de situación fiscal o documento que acredite la actividad del patrón.</w:t>
      </w:r>
    </w:p>
    <w:p>
      <w:pPr>
        <w:pStyle w:val="ListBullet"/>
        <w:spacing w:after="40"/>
      </w:pPr>
      <w:r>
        <w:t>Comprobante de domicilio del centro de trabajo.</w:t>
      </w:r>
    </w:p>
    <w:p>
      <w:pPr>
        <w:pStyle w:val="ListBullet"/>
        <w:spacing w:after="40"/>
      </w:pPr>
      <w:r>
        <w:t>Los demás documentos que solicite la plataforma del CFCRL.</w:t>
      </w:r>
    </w:p>
    <w:p>
      <w:pPr>
        <w:pStyle w:val="BodyText"/>
        <w:jc w:val="both"/>
      </w:pPr>
      <w:r>
        <w:t>Por lo expuesto, solicito se tenga por presentado y depositado el Reglamento Interior de Trabajo, se emita el acuse o constancia correspondiente y se realicen las inscripciones procedentes.</w:t>
      </w:r>
    </w:p>
    <w:p>
      <w:pPr>
        <w:pStyle w:val="BodyText"/>
        <w:jc w:val="center"/>
      </w:pPr>
      <w:r>
        <w:br/>
        <w:br/>
        <w:t>ATENTAMENTE</w:t>
      </w:r>
    </w:p>
    <w:p>
      <w:pPr>
        <w:pStyle w:val="BodyText"/>
        <w:jc w:val="center"/>
      </w:pPr>
      <w:r>
        <w:t>________________________________</w:t>
        <w:br/>
        <w:t>LUIS ALVARO GOMEZ VINAJERA</w:t>
        <w:br/>
        <w:t>Patrón y promovente</w:t>
      </w:r>
    </w:p>
    <w:p>
      <w:r>
        <w:br w:type="page"/>
      </w:r>
    </w:p>
    <w:p>
      <w:pPr>
        <w:pStyle w:val="Heading1"/>
      </w:pPr>
      <w:r>
        <w:t>5. CONSTANCIA INDIVIDUAL DE ENTREGA Y CONOCIMIENTO</w:t>
      </w:r>
    </w:p>
    <w:p>
      <w:pPr>
        <w:pStyle w:val="BodyText"/>
        <w:jc w:val="both"/>
      </w:pPr>
      <w:r>
        <w:t>Yo, ________________________________________________, con puesto de __________________________________, hago constar que el día ____ de __________________ de 2026 recibí una copia física o digital del Reglamento Interior de Trabajo de ViPrint Publicidad, se me indicó el lugar donde permanecerá visible y tuve oportunidad de formular preguntas sobre su contenido.</w:t>
      </w:r>
    </w:p>
    <w:p>
      <w:pPr>
        <w:pStyle w:val="BodyText"/>
        <w:jc w:val="both"/>
      </w:pPr>
      <w:r>
        <w:t>La presente constancia acredita la entrega y no implica renuncia a derechos ni aceptación de disposiciones contrarias a la ley.</w:t>
      </w:r>
    </w:p>
    <w:p>
      <w:pPr>
        <w:pStyle w:val="BodyText"/>
      </w:pPr>
      <w:r>
        <w:br/>
        <w:t>Firma de la persona trabajadora: _______________________________________________</w:t>
      </w:r>
    </w:p>
    <w:p>
      <w:pPr>
        <w:pStyle w:val="BodyText"/>
      </w:pPr>
      <w:r>
        <w:br/>
        <w:t>Firma de quien entrega: _______________________________________________</w:t>
      </w:r>
    </w:p>
    <w:p>
      <w:pPr>
        <w:pStyle w:val="BodyText"/>
      </w:pPr>
      <w:r>
        <w:br/>
        <w:t>Fecha y hora: _______________________________________________</w:t>
      </w:r>
    </w:p>
    <w:p>
      <w:r>
        <w:br w:type="page"/>
      </w:r>
    </w:p>
    <w:p>
      <w:pPr>
        <w:pStyle w:val="Heading1"/>
      </w:pPr>
      <w:r>
        <w:t>6. FORMATO DE AMONESTACIÓN ESCRITA</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Nombre</w:t>
            </w:r>
          </w:p>
        </w:tc>
        <w:tc>
          <w:tcPr>
            <w:tcW w:type="dxa" w:w="5040"/>
          </w:tcPr>
          <w:p>
            <w:r>
              <w:br/>
            </w:r>
          </w:p>
        </w:tc>
      </w:tr>
      <w:tr>
        <w:tc>
          <w:tcPr>
            <w:tcW w:type="dxa" w:w="5040"/>
            <w:shd w:fill="D9EAF7"/>
          </w:tcPr>
          <w:p>
            <w:r>
              <w:rPr>
                <w:b/>
              </w:rPr>
              <w:t>Puesto</w:t>
            </w:r>
          </w:p>
        </w:tc>
        <w:tc>
          <w:tcPr>
            <w:tcW w:type="dxa" w:w="5040"/>
          </w:tcPr>
          <w:p>
            <w:r>
              <w:br/>
            </w:r>
          </w:p>
        </w:tc>
      </w:tr>
      <w:tr>
        <w:tc>
          <w:tcPr>
            <w:tcW w:type="dxa" w:w="5040"/>
            <w:shd w:fill="D9EAF7"/>
          </w:tcPr>
          <w:p>
            <w:r>
              <w:rPr>
                <w:b/>
              </w:rPr>
              <w:t>Fecha y hora del hecho</w:t>
            </w:r>
          </w:p>
        </w:tc>
        <w:tc>
          <w:tcPr>
            <w:tcW w:type="dxa" w:w="5040"/>
          </w:tcPr>
          <w:p>
            <w:r>
              <w:br/>
            </w:r>
          </w:p>
        </w:tc>
      </w:tr>
      <w:tr>
        <w:tc>
          <w:tcPr>
            <w:tcW w:type="dxa" w:w="5040"/>
            <w:shd w:fill="D9EAF7"/>
          </w:tcPr>
          <w:p>
            <w:r>
              <w:rPr>
                <w:b/>
              </w:rPr>
              <w:t>Lugar</w:t>
            </w:r>
          </w:p>
        </w:tc>
        <w:tc>
          <w:tcPr>
            <w:tcW w:type="dxa" w:w="5040"/>
          </w:tcPr>
          <w:p>
            <w:r>
              <w:br/>
            </w:r>
          </w:p>
        </w:tc>
      </w:tr>
      <w:tr>
        <w:tc>
          <w:tcPr>
            <w:tcW w:type="dxa" w:w="5040"/>
            <w:shd w:fill="D9EAF7"/>
          </w:tcPr>
          <w:p>
            <w:r>
              <w:rPr>
                <w:b/>
              </w:rPr>
              <w:t>Regla presuntamente incumplida</w:t>
            </w:r>
          </w:p>
        </w:tc>
        <w:tc>
          <w:tcPr>
            <w:tcW w:type="dxa" w:w="5040"/>
          </w:tcPr>
          <w:p>
            <w:r>
              <w:br/>
            </w:r>
          </w:p>
        </w:tc>
      </w:tr>
      <w:tr>
        <w:tc>
          <w:tcPr>
            <w:tcW w:type="dxa" w:w="5040"/>
            <w:shd w:fill="D9EAF7"/>
          </w:tcPr>
          <w:p>
            <w:r>
              <w:rPr>
                <w:b/>
              </w:rPr>
              <w:t>Descripción objetiva de los hechos</w:t>
            </w:r>
          </w:p>
        </w:tc>
        <w:tc>
          <w:tcPr>
            <w:tcW w:type="dxa" w:w="5040"/>
          </w:tcPr>
          <w:p>
            <w:r>
              <w:br/>
            </w:r>
          </w:p>
        </w:tc>
      </w:tr>
      <w:tr>
        <w:tc>
          <w:tcPr>
            <w:tcW w:type="dxa" w:w="5040"/>
            <w:shd w:fill="D9EAF7"/>
          </w:tcPr>
          <w:p>
            <w:r>
              <w:rPr>
                <w:b/>
              </w:rPr>
              <w:t>Medida y acciones correctivas</w:t>
            </w:r>
          </w:p>
        </w:tc>
        <w:tc>
          <w:tcPr>
            <w:tcW w:type="dxa" w:w="5040"/>
          </w:tcPr>
          <w:p>
            <w:r>
              <w:br/>
            </w:r>
          </w:p>
        </w:tc>
      </w:tr>
    </w:tbl>
    <w:p>
      <w:pPr>
        <w:pStyle w:val="BodyText"/>
      </w:pPr>
      <w:r>
        <w:rPr>
          <w:b/>
        </w:rPr>
        <w:t>Manifestación de la persona trabajadora:</w:t>
      </w:r>
    </w:p>
    <w:p>
      <w:pPr>
        <w:pStyle w:val="BodyText"/>
      </w:pPr>
      <w:r>
        <w:br/>
        <w:br/>
        <w:br/>
      </w:r>
    </w:p>
    <w:p>
      <w:pPr>
        <w:pStyle w:val="BodyText"/>
      </w:pPr>
      <w:r>
        <w:rPr>
          <w:b/>
        </w:rPr>
        <w:t>Determinación:</w:t>
      </w:r>
    </w:p>
    <w:p>
      <w:pPr>
        <w:pStyle w:val="BodyText"/>
      </w:pPr>
      <w:r>
        <w:br/>
        <w:br/>
      </w:r>
    </w:p>
    <w:tbl>
      <w:tblPr>
        <w:tblW w:type="auto" w:w="0"/>
        <w:jc w:val="center"/>
        <w:tblLayout w:type="fixed"/>
        <w:tblLook w:firstColumn="1" w:firstRow="1" w:lastColumn="0" w:lastRow="0" w:noHBand="0" w:noVBand="1" w:val="04A0"/>
      </w:tblPr>
      <w:tblGrid>
        <w:gridCol w:w="5040"/>
        <w:gridCol w:w="5040"/>
      </w:tblGrid>
      <w:tr>
        <w:tc>
          <w:tcPr>
            <w:tcW w:type="dxa" w:w="4464"/>
          </w:tcPr>
          <w:p>
            <w:pPr>
              <w:jc w:val="center"/>
            </w:pPr>
            <w:r>
              <w:rPr>
                <w:b/>
              </w:rPr>
              <w:br/>
              <w:br/>
              <w:t>_______________________________</w:t>
            </w:r>
          </w:p>
        </w:tc>
        <w:tc>
          <w:tcPr>
            <w:tcW w:type="dxa" w:w="4464"/>
          </w:tcPr>
          <w:p>
            <w:pPr>
              <w:jc w:val="center"/>
            </w:pPr>
            <w:r>
              <w:rPr>
                <w:b/>
              </w:rPr>
              <w:br/>
              <w:br/>
              <w:t>_______________________________</w:t>
            </w:r>
          </w:p>
        </w:tc>
      </w:tr>
      <w:tr>
        <w:tc>
          <w:tcPr>
            <w:tcW w:type="dxa" w:w="4464"/>
          </w:tcPr>
          <w:p>
            <w:pPr>
              <w:jc w:val="center"/>
            </w:pPr>
            <w:r>
              <w:rPr>
                <w:b/>
              </w:rPr>
              <w:t>LUIS ALVARO GOMEZ VINAJERA</w:t>
              <w:br/>
            </w:r>
            <w:r>
              <w:t>PATRÓN</w:t>
            </w:r>
          </w:p>
        </w:tc>
        <w:tc>
          <w:tcPr>
            <w:tcW w:type="dxa" w:w="4464"/>
          </w:tcPr>
          <w:p>
            <w:pPr>
              <w:jc w:val="center"/>
            </w:pPr>
            <w:r>
              <w:rPr>
                <w:b/>
              </w:rPr>
              <w:t>________________________________</w:t>
              <w:br/>
            </w:r>
            <w:r>
              <w:t>PERSONA TRABAJADORA</w:t>
            </w:r>
          </w:p>
        </w:tc>
      </w:tr>
    </w:tbl>
    <w:p>
      <w:pPr>
        <w:pStyle w:val="BodyText"/>
      </w:pPr>
      <w:r>
        <w:rPr>
          <w:i/>
        </w:rPr>
        <w:t>Testigo(s): ________________________________________________</w:t>
      </w:r>
    </w:p>
    <w:p>
      <w:r>
        <w:br w:type="page"/>
      </w:r>
    </w:p>
    <w:p>
      <w:pPr>
        <w:pStyle w:val="Heading1"/>
      </w:pPr>
      <w:r>
        <w:t>7. FORMATO DE ACTA ADMINISTRATIVA Y AUDIENCIA</w:t>
      </w:r>
    </w:p>
    <w:p>
      <w:pPr>
        <w:pStyle w:val="BodyText"/>
      </w:pPr>
      <w:r>
        <w:t>En Aguascalientes, Aguascalientes, siendo las ______ horas del día ____ de ______________ de ______, en ViPrint Publicidad, comparecen las personas que firman para documentar los hechos siguientes:</w:t>
      </w:r>
    </w:p>
    <w:p>
      <w:pPr>
        <w:pStyle w:val="BodyText"/>
      </w:pPr>
      <w:r>
        <w:t>Persona trabajadora involucrada: ________________________________________________. Puesto: ______________________________.</w:t>
      </w:r>
    </w:p>
    <w:p>
      <w:pPr>
        <w:pStyle w:val="BodyText"/>
      </w:pPr>
      <w:r>
        <w:t>Descripción cronológica, objetiva y verificable de los hechos (sin insultos ni conclusiones anticipadas):</w:t>
      </w:r>
    </w:p>
    <w:p>
      <w:pPr>
        <w:pStyle w:val="BodyText"/>
      </w:pPr>
      <w: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pStyle w:val="BodyText"/>
      </w:pPr>
      <w:r>
        <w:t>Testigos y elementos disponibles:</w:t>
      </w:r>
    </w:p>
    <w:p>
      <w:pPr>
        <w:pStyle w:val="BodyText"/>
      </w:pPr>
      <w:r>
        <w:t>________________________________________________________________________________</w:t>
        <w:br/>
        <w:t>________________________________________________________________________________</w:t>
      </w:r>
    </w:p>
    <w:p>
      <w:pPr>
        <w:pStyle w:val="BodyText"/>
      </w:pPr>
      <w:r>
        <w:t>Se informó a la persona trabajadora de los hechos y se le concedió oportunidad de ser escuchada. Su manifestación es:</w:t>
      </w:r>
    </w:p>
    <w:p>
      <w:pPr>
        <w:pStyle w:val="BodyText"/>
      </w:pPr>
      <w: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pStyle w:val="BodyText"/>
      </w:pPr>
      <w:r>
        <w:t>Determinación y fundamento dentro del Reglamento:</w:t>
      </w:r>
    </w:p>
    <w:p>
      <w:pPr>
        <w:pStyle w:val="BodyText"/>
      </w:pPr>
      <w:r>
        <w:t>________________________________________________________________________________</w:t>
        <w:br/>
        <w:t>________________________________________________________________________________</w:t>
      </w:r>
    </w:p>
    <w:p>
      <w:pPr>
        <w:pStyle w:val="BodyText"/>
      </w:pPr>
      <w:r>
        <w:t>La firma acredita participación o recepción, no necesariamente conformidad. Si alguna persona se niega a firmar, se asentará la negativa con dos testigos.</w:t>
      </w:r>
    </w:p>
    <w:tbl>
      <w:tblPr>
        <w:tblW w:type="auto" w:w="0"/>
        <w:jc w:val="center"/>
        <w:tblLayout w:type="fixed"/>
        <w:tblLook w:firstColumn="1" w:firstRow="1" w:lastColumn="0" w:lastRow="0" w:noHBand="0" w:noVBand="1" w:val="04A0"/>
      </w:tblPr>
      <w:tblGrid>
        <w:gridCol w:w="5040"/>
        <w:gridCol w:w="5040"/>
      </w:tblGrid>
      <w:tr>
        <w:tc>
          <w:tcPr>
            <w:tcW w:type="dxa" w:w="4464"/>
          </w:tcPr>
          <w:p>
            <w:pPr>
              <w:jc w:val="center"/>
            </w:pPr>
            <w:r>
              <w:rPr>
                <w:b/>
              </w:rPr>
              <w:br/>
              <w:br/>
              <w:t>_______________________________</w:t>
            </w:r>
          </w:p>
        </w:tc>
        <w:tc>
          <w:tcPr>
            <w:tcW w:type="dxa" w:w="4464"/>
          </w:tcPr>
          <w:p>
            <w:pPr>
              <w:jc w:val="center"/>
            </w:pPr>
            <w:r>
              <w:rPr>
                <w:b/>
              </w:rPr>
              <w:br/>
              <w:br/>
              <w:t>_______________________________</w:t>
            </w:r>
          </w:p>
        </w:tc>
      </w:tr>
      <w:tr>
        <w:tc>
          <w:tcPr>
            <w:tcW w:type="dxa" w:w="4464"/>
          </w:tcPr>
          <w:p>
            <w:pPr>
              <w:jc w:val="center"/>
            </w:pPr>
            <w:r>
              <w:rPr>
                <w:b/>
              </w:rPr>
              <w:t>LUIS ALVARO GOMEZ VINAJERA</w:t>
              <w:br/>
            </w:r>
            <w:r>
              <w:t>PATRÓN</w:t>
            </w:r>
          </w:p>
        </w:tc>
        <w:tc>
          <w:tcPr>
            <w:tcW w:type="dxa" w:w="4464"/>
          </w:tcPr>
          <w:p>
            <w:pPr>
              <w:jc w:val="center"/>
            </w:pPr>
            <w:r>
              <w:rPr>
                <w:b/>
              </w:rPr>
              <w:t>________________________________</w:t>
              <w:br/>
            </w:r>
            <w:r>
              <w:t>PERSONA TRABAJADORA</w:t>
            </w:r>
          </w:p>
        </w:tc>
      </w:tr>
    </w:tbl>
    <w:tbl>
      <w:tblPr>
        <w:tblW w:type="auto" w:w="0"/>
        <w:jc w:val="center"/>
        <w:tblLayout w:type="fixed"/>
        <w:tblLook w:firstColumn="1" w:firstRow="1" w:lastColumn="0" w:lastRow="0" w:noHBand="0" w:noVBand="1" w:val="04A0"/>
      </w:tblPr>
      <w:tblGrid>
        <w:gridCol w:w="5040"/>
        <w:gridCol w:w="5040"/>
      </w:tblGrid>
      <w:tr>
        <w:tc>
          <w:tcPr>
            <w:tcW w:type="dxa" w:w="4464"/>
          </w:tcPr>
          <w:p>
            <w:pPr>
              <w:jc w:val="center"/>
            </w:pPr>
            <w:r>
              <w:rPr>
                <w:b/>
              </w:rPr>
              <w:br/>
              <w:br/>
              <w:t>_______________________________</w:t>
            </w:r>
          </w:p>
        </w:tc>
        <w:tc>
          <w:tcPr>
            <w:tcW w:type="dxa" w:w="4464"/>
          </w:tcPr>
          <w:p>
            <w:pPr>
              <w:jc w:val="center"/>
            </w:pPr>
            <w:r>
              <w:rPr>
                <w:b/>
              </w:rPr>
              <w:br/>
              <w:br/>
              <w:t>_______________________________</w:t>
            </w:r>
          </w:p>
        </w:tc>
      </w:tr>
      <w:tr>
        <w:tc>
          <w:tcPr>
            <w:tcW w:type="dxa" w:w="4464"/>
          </w:tcPr>
          <w:p>
            <w:pPr>
              <w:jc w:val="center"/>
            </w:pPr>
            <w:r>
              <w:rPr>
                <w:b/>
              </w:rPr>
              <w:t>________________________________</w:t>
              <w:br/>
            </w:r>
            <w:r>
              <w:t>TESTIGO 1</w:t>
            </w:r>
          </w:p>
        </w:tc>
        <w:tc>
          <w:tcPr>
            <w:tcW w:type="dxa" w:w="4464"/>
          </w:tcPr>
          <w:p>
            <w:pPr>
              <w:jc w:val="center"/>
            </w:pPr>
            <w:r>
              <w:rPr>
                <w:b/>
              </w:rPr>
              <w:t>________________________________</w:t>
              <w:br/>
            </w:r>
            <w:r>
              <w:t>TESTIGO 2</w:t>
            </w:r>
          </w:p>
        </w:tc>
      </w:tr>
    </w:tbl>
    <w:p>
      <w:r>
        <w:br w:type="page"/>
      </w:r>
    </w:p>
    <w:p>
      <w:pPr>
        <w:pStyle w:val="Heading1"/>
      </w:pPr>
      <w:r>
        <w:t>8. FORMATO DE ENTREGA DE UNIFORME Y EQUIPO DE PROTECCIÓN</w:t>
      </w:r>
    </w:p>
    <w:p>
      <w:pPr>
        <w:pStyle w:val="BodyText"/>
      </w:pPr>
      <w:r>
        <w:t>Persona trabajadora: ________________________________   Puesto: ________________________________</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1F4E78"/>
          </w:tcPr>
          <w:p>
            <w:r>
              <w:rPr>
                <w:b/>
                <w:color w:val="FFFFFF"/>
              </w:rPr>
              <w:t>Artículo entregado</w:t>
            </w:r>
          </w:p>
        </w:tc>
        <w:tc>
          <w:tcPr>
            <w:tcW w:type="dxa" w:w="2016"/>
            <w:shd w:fill="1F4E78"/>
          </w:tcPr>
          <w:p>
            <w:r>
              <w:rPr>
                <w:b/>
                <w:color w:val="FFFFFF"/>
              </w:rPr>
              <w:t>Cantidad</w:t>
            </w:r>
          </w:p>
        </w:tc>
        <w:tc>
          <w:tcPr>
            <w:tcW w:type="dxa" w:w="2016"/>
            <w:shd w:fill="1F4E78"/>
          </w:tcPr>
          <w:p>
            <w:r>
              <w:rPr>
                <w:b/>
                <w:color w:val="FFFFFF"/>
              </w:rPr>
              <w:t>Estado</w:t>
            </w:r>
          </w:p>
        </w:tc>
        <w:tc>
          <w:tcPr>
            <w:tcW w:type="dxa" w:w="2016"/>
            <w:shd w:fill="1F4E78"/>
          </w:tcPr>
          <w:p>
            <w:r>
              <w:rPr>
                <w:b/>
                <w:color w:val="FFFFFF"/>
              </w:rPr>
              <w:t>Fecha</w:t>
            </w:r>
          </w:p>
        </w:tc>
        <w:tc>
          <w:tcPr>
            <w:tcW w:type="dxa" w:w="2016"/>
            <w:shd w:fill="1F4E78"/>
          </w:tcPr>
          <w:p>
            <w:r>
              <w:rPr>
                <w:b/>
                <w:color w:val="FFFFFF"/>
              </w:rPr>
              <w:t>Firma de recibido</w:t>
            </w:r>
          </w:p>
        </w:tc>
      </w:tr>
      <w:tr>
        <w:tc>
          <w:tcPr>
            <w:tcW w:type="dxa" w:w="2016"/>
          </w:tcPr>
          <w:p>
            <w:r>
              <w:t>Playera de uniforme</w:t>
            </w:r>
          </w:p>
        </w:tc>
        <w:tc>
          <w:tcPr>
            <w:tcW w:type="dxa" w:w="2016"/>
          </w:tcPr>
          <w:p/>
        </w:tc>
        <w:tc>
          <w:tcPr>
            <w:tcW w:type="dxa" w:w="2016"/>
          </w:tcPr>
          <w:p/>
        </w:tc>
        <w:tc>
          <w:tcPr>
            <w:tcW w:type="dxa" w:w="2016"/>
          </w:tcPr>
          <w:p/>
        </w:tc>
        <w:tc>
          <w:tcPr>
            <w:tcW w:type="dxa" w:w="2016"/>
          </w:tcPr>
          <w:p/>
        </w:tc>
      </w:tr>
      <w:tr>
        <w:tc>
          <w:tcPr>
            <w:tcW w:type="dxa" w:w="2016"/>
          </w:tcPr>
          <w:p>
            <w:r>
              <w:t>Botas</w:t>
            </w:r>
          </w:p>
        </w:tc>
        <w:tc>
          <w:tcPr>
            <w:tcW w:type="dxa" w:w="2016"/>
          </w:tcPr>
          <w:p/>
        </w:tc>
        <w:tc>
          <w:tcPr>
            <w:tcW w:type="dxa" w:w="2016"/>
          </w:tcPr>
          <w:p/>
        </w:tc>
        <w:tc>
          <w:tcPr>
            <w:tcW w:type="dxa" w:w="2016"/>
          </w:tcPr>
          <w:p/>
        </w:tc>
        <w:tc>
          <w:tcPr>
            <w:tcW w:type="dxa" w:w="2016"/>
          </w:tcPr>
          <w:p/>
        </w:tc>
      </w:tr>
      <w:tr>
        <w:tc>
          <w:tcPr>
            <w:tcW w:type="dxa" w:w="2016"/>
          </w:tcPr>
          <w:p>
            <w:r>
              <w:t>Guantes para soldar</w:t>
            </w:r>
          </w:p>
        </w:tc>
        <w:tc>
          <w:tcPr>
            <w:tcW w:type="dxa" w:w="2016"/>
          </w:tcPr>
          <w:p/>
        </w:tc>
        <w:tc>
          <w:tcPr>
            <w:tcW w:type="dxa" w:w="2016"/>
          </w:tcPr>
          <w:p/>
        </w:tc>
        <w:tc>
          <w:tcPr>
            <w:tcW w:type="dxa" w:w="2016"/>
          </w:tcPr>
          <w:p/>
        </w:tc>
        <w:tc>
          <w:tcPr>
            <w:tcW w:type="dxa" w:w="2016"/>
          </w:tcPr>
          <w:p/>
        </w:tc>
      </w:tr>
      <w:tr>
        <w:tc>
          <w:tcPr>
            <w:tcW w:type="dxa" w:w="2016"/>
          </w:tcPr>
          <w:p>
            <w:r>
              <w:t>Careta de soldar</w:t>
            </w:r>
          </w:p>
        </w:tc>
        <w:tc>
          <w:tcPr>
            <w:tcW w:type="dxa" w:w="2016"/>
          </w:tcPr>
          <w:p/>
        </w:tc>
        <w:tc>
          <w:tcPr>
            <w:tcW w:type="dxa" w:w="2016"/>
          </w:tcPr>
          <w:p/>
        </w:tc>
        <w:tc>
          <w:tcPr>
            <w:tcW w:type="dxa" w:w="2016"/>
          </w:tcPr>
          <w:p/>
        </w:tc>
        <w:tc>
          <w:tcPr>
            <w:tcW w:type="dxa" w:w="2016"/>
          </w:tcPr>
          <w:p/>
        </w:tc>
      </w:tr>
      <w:tr>
        <w:tc>
          <w:tcPr>
            <w:tcW w:type="dxa" w:w="2016"/>
          </w:tcPr>
          <w:p>
            <w:r>
              <w:t>Lentes de seguridad</w:t>
            </w:r>
          </w:p>
        </w:tc>
        <w:tc>
          <w:tcPr>
            <w:tcW w:type="dxa" w:w="2016"/>
          </w:tcPr>
          <w:p/>
        </w:tc>
        <w:tc>
          <w:tcPr>
            <w:tcW w:type="dxa" w:w="2016"/>
          </w:tcPr>
          <w:p/>
        </w:tc>
        <w:tc>
          <w:tcPr>
            <w:tcW w:type="dxa" w:w="2016"/>
          </w:tcPr>
          <w:p/>
        </w:tc>
        <w:tc>
          <w:tcPr>
            <w:tcW w:type="dxa" w:w="2016"/>
          </w:tcPr>
          <w:p/>
        </w:tc>
      </w:tr>
      <w:tr>
        <w:tc>
          <w:tcPr>
            <w:tcW w:type="dxa" w:w="2016"/>
          </w:tcPr>
          <w:p>
            <w:r>
              <w:t>Protección auditiva</w:t>
            </w:r>
          </w:p>
        </w:tc>
        <w:tc>
          <w:tcPr>
            <w:tcW w:type="dxa" w:w="2016"/>
          </w:tcPr>
          <w:p/>
        </w:tc>
        <w:tc>
          <w:tcPr>
            <w:tcW w:type="dxa" w:w="2016"/>
          </w:tcPr>
          <w:p/>
        </w:tc>
        <w:tc>
          <w:tcPr>
            <w:tcW w:type="dxa" w:w="2016"/>
          </w:tcPr>
          <w:p/>
        </w:tc>
        <w:tc>
          <w:tcPr>
            <w:tcW w:type="dxa" w:w="2016"/>
          </w:tcPr>
          <w:p/>
        </w:tc>
      </w:tr>
      <w:tr>
        <w:tc>
          <w:tcPr>
            <w:tcW w:type="dxa" w:w="2016"/>
          </w:tcPr>
          <w:p>
            <w:r>
              <w:t>Mascarilla o respirador</w:t>
            </w:r>
          </w:p>
        </w:tc>
        <w:tc>
          <w:tcPr>
            <w:tcW w:type="dxa" w:w="2016"/>
          </w:tcPr>
          <w:p/>
        </w:tc>
        <w:tc>
          <w:tcPr>
            <w:tcW w:type="dxa" w:w="2016"/>
          </w:tcPr>
          <w:p/>
        </w:tc>
        <w:tc>
          <w:tcPr>
            <w:tcW w:type="dxa" w:w="2016"/>
          </w:tcPr>
          <w:p/>
        </w:tc>
        <w:tc>
          <w:tcPr>
            <w:tcW w:type="dxa" w:w="2016"/>
          </w:tcPr>
          <w:p/>
        </w:tc>
      </w:tr>
      <w:tr>
        <w:tc>
          <w:tcPr>
            <w:tcW w:type="dxa" w:w="2016"/>
          </w:tcPr>
          <w:p>
            <w:r>
              <w:t>Mandil</w:t>
            </w:r>
          </w:p>
        </w:tc>
        <w:tc>
          <w:tcPr>
            <w:tcW w:type="dxa" w:w="2016"/>
          </w:tcPr>
          <w:p/>
        </w:tc>
        <w:tc>
          <w:tcPr>
            <w:tcW w:type="dxa" w:w="2016"/>
          </w:tcPr>
          <w:p/>
        </w:tc>
        <w:tc>
          <w:tcPr>
            <w:tcW w:type="dxa" w:w="2016"/>
          </w:tcPr>
          <w:p/>
        </w:tc>
        <w:tc>
          <w:tcPr>
            <w:tcW w:type="dxa" w:w="2016"/>
          </w:tcPr>
          <w:p/>
        </w:tc>
      </w:tr>
      <w:tr>
        <w:tc>
          <w:tcPr>
            <w:tcW w:type="dxa" w:w="2016"/>
          </w:tcPr>
          <w:p>
            <w:r>
              <w:t>Guantes para manejo de materiales</w:t>
            </w:r>
          </w:p>
        </w:tc>
        <w:tc>
          <w:tcPr>
            <w:tcW w:type="dxa" w:w="2016"/>
          </w:tcPr>
          <w:p/>
        </w:tc>
        <w:tc>
          <w:tcPr>
            <w:tcW w:type="dxa" w:w="2016"/>
          </w:tcPr>
          <w:p/>
        </w:tc>
        <w:tc>
          <w:tcPr>
            <w:tcW w:type="dxa" w:w="2016"/>
          </w:tcPr>
          <w:p/>
        </w:tc>
        <w:tc>
          <w:tcPr>
            <w:tcW w:type="dxa" w:w="2016"/>
          </w:tcPr>
          <w:p/>
        </w:tc>
      </w:tr>
      <w:tr>
        <w:tc>
          <w:tcPr>
            <w:tcW w:type="dxa" w:w="2016"/>
          </w:tcPr>
          <w:p>
            <w:r>
              <w:t>Otro: __________________</w:t>
            </w:r>
          </w:p>
        </w:tc>
        <w:tc>
          <w:tcPr>
            <w:tcW w:type="dxa" w:w="2016"/>
          </w:tcPr>
          <w:p/>
        </w:tc>
        <w:tc>
          <w:tcPr>
            <w:tcW w:type="dxa" w:w="2016"/>
          </w:tcPr>
          <w:p/>
        </w:tc>
        <w:tc>
          <w:tcPr>
            <w:tcW w:type="dxa" w:w="2016"/>
          </w:tcPr>
          <w:p/>
        </w:tc>
        <w:tc>
          <w:tcPr>
            <w:tcW w:type="dxa" w:w="2016"/>
          </w:tcPr>
          <w:p/>
        </w:tc>
      </w:tr>
    </w:tbl>
    <w:p>
      <w:pPr>
        <w:pStyle w:val="BodyText"/>
      </w:pPr>
      <w:r>
        <w:t>La persona receptora declara que recibió instrucciones básicas de uso, limpieza, resguardo y reporte de deterioro. El equipo seguirá siendo propiedad de ViPrint cuando así corresponda y deberá utilizarse en las tareas indicadas.</w:t>
      </w:r>
    </w:p>
    <w:tbl>
      <w:tblPr>
        <w:tblW w:type="auto" w:w="0"/>
        <w:jc w:val="center"/>
        <w:tblLayout w:type="fixed"/>
        <w:tblLook w:firstColumn="1" w:firstRow="1" w:lastColumn="0" w:lastRow="0" w:noHBand="0" w:noVBand="1" w:val="04A0"/>
      </w:tblPr>
      <w:tblGrid>
        <w:gridCol w:w="5040"/>
        <w:gridCol w:w="5040"/>
      </w:tblGrid>
      <w:tr>
        <w:tc>
          <w:tcPr>
            <w:tcW w:type="dxa" w:w="4464"/>
          </w:tcPr>
          <w:p>
            <w:pPr>
              <w:jc w:val="center"/>
            </w:pPr>
            <w:r>
              <w:rPr>
                <w:b/>
              </w:rPr>
              <w:br/>
              <w:br/>
              <w:t>_______________________________</w:t>
            </w:r>
          </w:p>
        </w:tc>
        <w:tc>
          <w:tcPr>
            <w:tcW w:type="dxa" w:w="4464"/>
          </w:tcPr>
          <w:p>
            <w:pPr>
              <w:jc w:val="center"/>
            </w:pPr>
            <w:r>
              <w:rPr>
                <w:b/>
              </w:rPr>
              <w:br/>
              <w:br/>
              <w:t>_______________________________</w:t>
            </w:r>
          </w:p>
        </w:tc>
      </w:tr>
      <w:tr>
        <w:tc>
          <w:tcPr>
            <w:tcW w:type="dxa" w:w="4464"/>
          </w:tcPr>
          <w:p>
            <w:pPr>
              <w:jc w:val="center"/>
            </w:pPr>
            <w:r>
              <w:rPr>
                <w:b/>
              </w:rPr>
              <w:t>LUIS ALVARO GOMEZ VINAJERA</w:t>
              <w:br/>
            </w:r>
            <w:r>
              <w:t>ENTREGA</w:t>
            </w:r>
          </w:p>
        </w:tc>
        <w:tc>
          <w:tcPr>
            <w:tcW w:type="dxa" w:w="4464"/>
          </w:tcPr>
          <w:p>
            <w:pPr>
              <w:jc w:val="center"/>
            </w:pPr>
            <w:r>
              <w:rPr>
                <w:b/>
              </w:rPr>
              <w:t>________________________________</w:t>
              <w:br/>
            </w:r>
            <w:r>
              <w:t>RECIBE</w:t>
            </w:r>
          </w:p>
        </w:tc>
      </w:tr>
    </w:tbl>
    <w:p>
      <w:r>
        <w:br w:type="page"/>
      </w:r>
    </w:p>
    <w:p>
      <w:pPr>
        <w:pStyle w:val="Heading1"/>
      </w:pPr>
      <w:r>
        <w:t>9. AUTORIZACIÓN EXCEPCIONAL PARA USO PERSONAL DE EQUIPO</w:t>
      </w:r>
    </w:p>
    <w:p>
      <w:pPr>
        <w:pStyle w:val="BodyText"/>
      </w:pPr>
      <w:r>
        <w:t>Persona autorizada: ________________________________________________</w:t>
      </w:r>
    </w:p>
    <w:p>
      <w:pPr>
        <w:pStyle w:val="BodyText"/>
      </w:pPr>
      <w:r>
        <w:t>Fecha: __________________   Horario máximo: de __________ a __________</w:t>
      </w:r>
    </w:p>
    <w:p>
      <w:pPr>
        <w:pStyle w:val="BodyText"/>
      </w:pPr>
      <w:r>
        <w:t>Equipo permitido: _________________________________________________</w:t>
      </w:r>
    </w:p>
    <w:p>
      <w:pPr>
        <w:pStyle w:val="BodyText"/>
      </w:pPr>
      <w:r>
        <w:t>Actividad específica: ______________________________________________</w:t>
      </w:r>
    </w:p>
    <w:p>
      <w:pPr>
        <w:pStyle w:val="BodyText"/>
      </w:pPr>
      <w:r>
        <w:rPr>
          <w:b/>
        </w:rPr>
        <w:t>Condiciones:</w:t>
      </w:r>
    </w:p>
    <w:p>
      <w:pPr>
        <w:pStyle w:val="ListBullet"/>
        <w:spacing w:after="40"/>
      </w:pPr>
      <w:r>
        <w:t>No se autoriza soldadura, esmerilado, calandra, uso de xilol, solventes, pintura ni otra actividad peligrosa.</w:t>
      </w:r>
    </w:p>
    <w:p>
      <w:pPr>
        <w:pStyle w:val="ListBullet"/>
        <w:spacing w:after="40"/>
      </w:pPr>
      <w:r>
        <w:t>No se usarán datos, diseños, materiales, cuentas ni clientes de ViPrint.</w:t>
      </w:r>
    </w:p>
    <w:p>
      <w:pPr>
        <w:pStyle w:val="ListBullet"/>
        <w:spacing w:after="40"/>
      </w:pPr>
      <w:r>
        <w:t>No se recibirán clientes ni pagos en el local.</w:t>
      </w:r>
    </w:p>
    <w:p>
      <w:pPr>
        <w:pStyle w:val="ListBullet"/>
        <w:spacing w:after="40"/>
      </w:pPr>
      <w:r>
        <w:t>No se permanecerá solo en el taller.</w:t>
      </w:r>
    </w:p>
    <w:p>
      <w:pPr>
        <w:pStyle w:val="ListBullet"/>
        <w:spacing w:after="40"/>
      </w:pPr>
      <w:r>
        <w:t>La autorización termina a la hora señalada y puede revocarse.</w:t>
      </w:r>
    </w:p>
    <w:p>
      <w:pPr>
        <w:pStyle w:val="ListBullet"/>
        <w:spacing w:after="40"/>
      </w:pPr>
      <w:r>
        <w:t>Este formato no implica renuncia a derechos ni determina anticipadamente la naturaleza de un posible accidente.</w:t>
      </w:r>
    </w:p>
    <w:tbl>
      <w:tblPr>
        <w:tblW w:type="auto" w:w="0"/>
        <w:jc w:val="center"/>
        <w:tblLayout w:type="fixed"/>
        <w:tblLook w:firstColumn="1" w:firstRow="1" w:lastColumn="0" w:lastRow="0" w:noHBand="0" w:noVBand="1" w:val="04A0"/>
      </w:tblPr>
      <w:tblGrid>
        <w:gridCol w:w="5040"/>
        <w:gridCol w:w="5040"/>
      </w:tblGrid>
      <w:tr>
        <w:tc>
          <w:tcPr>
            <w:tcW w:type="dxa" w:w="4464"/>
          </w:tcPr>
          <w:p>
            <w:pPr>
              <w:jc w:val="center"/>
            </w:pPr>
            <w:r>
              <w:rPr>
                <w:b/>
              </w:rPr>
              <w:br/>
              <w:br/>
              <w:t>_______________________________</w:t>
            </w:r>
          </w:p>
        </w:tc>
        <w:tc>
          <w:tcPr>
            <w:tcW w:type="dxa" w:w="4464"/>
          </w:tcPr>
          <w:p>
            <w:pPr>
              <w:jc w:val="center"/>
            </w:pPr>
            <w:r>
              <w:rPr>
                <w:b/>
              </w:rPr>
              <w:br/>
              <w:br/>
              <w:t>_______________________________</w:t>
            </w:r>
          </w:p>
        </w:tc>
      </w:tr>
      <w:tr>
        <w:tc>
          <w:tcPr>
            <w:tcW w:type="dxa" w:w="4464"/>
          </w:tcPr>
          <w:p>
            <w:pPr>
              <w:jc w:val="center"/>
            </w:pPr>
            <w:r>
              <w:rPr>
                <w:b/>
              </w:rPr>
              <w:t>LUIS ALVARO GOMEZ VINAJERA</w:t>
              <w:br/>
            </w:r>
            <w:r>
              <w:t>AUTORIZA</w:t>
            </w:r>
          </w:p>
        </w:tc>
        <w:tc>
          <w:tcPr>
            <w:tcW w:type="dxa" w:w="4464"/>
          </w:tcPr>
          <w:p>
            <w:pPr>
              <w:jc w:val="center"/>
            </w:pPr>
            <w:r>
              <w:rPr>
                <w:b/>
              </w:rPr>
              <w:t>________________________________</w:t>
              <w:br/>
            </w:r>
            <w:r>
              <w:t>PERSONA AUTORIZADA</w:t>
            </w:r>
          </w:p>
        </w:tc>
      </w:tr>
    </w:tbl>
    <w:p>
      <w:r>
        <w:br w:type="page"/>
      </w:r>
    </w:p>
    <w:p>
      <w:pPr>
        <w:pStyle w:val="Heading1"/>
      </w:pPr>
      <w:r>
        <w:t>10. LISTA DE VERIFICACIÓN PARA FIRMA, DEPÓSITO Y COLOCACIÓN</w:t>
      </w:r>
    </w:p>
    <w:p>
      <w:pPr>
        <w:pStyle w:val="BodyText"/>
      </w:pPr>
      <w:r>
        <w:rPr>
          <w:b/>
        </w:rPr>
        <w:t xml:space="preserve">☐ </w:t>
      </w:r>
      <w:r>
        <w:t>Confirmar que Fernanda Danae Rentería Enriquez fue elegida libremente por las personas trabajadoras y obtener sus firmas en el acta.</w:t>
      </w:r>
    </w:p>
    <w:p>
      <w:pPr>
        <w:pStyle w:val="BodyText"/>
      </w:pPr>
      <w:r>
        <w:rPr>
          <w:b/>
        </w:rPr>
        <w:t xml:space="preserve">☐ </w:t>
      </w:r>
      <w:r>
        <w:t>Imprimir al menos dos originales del Reglamento y de las actas; firmar todas las hojas o rubricarlas si así lo indica la plataforma o la asesoría legal.</w:t>
      </w:r>
    </w:p>
    <w:p>
      <w:pPr>
        <w:pStyle w:val="BodyText"/>
      </w:pPr>
      <w:r>
        <w:rPr>
          <w:b/>
        </w:rPr>
        <w:t xml:space="preserve">☐ </w:t>
      </w:r>
      <w:r>
        <w:t>Reunir identificaciones oficiales de Luis Alvaro Gomez Vinajera y Fernanda Danae Rentería Enriquez.</w:t>
      </w:r>
    </w:p>
    <w:p>
      <w:pPr>
        <w:pStyle w:val="BodyText"/>
      </w:pPr>
      <w:r>
        <w:rPr>
          <w:b/>
        </w:rPr>
        <w:t xml:space="preserve">☐ </w:t>
      </w:r>
      <w:r>
        <w:t>Adjuntar constancia de situación fiscal y comprobante de domicilio del centro de trabajo.</w:t>
      </w:r>
    </w:p>
    <w:p>
      <w:pPr>
        <w:pStyle w:val="BodyText"/>
      </w:pPr>
      <w:r>
        <w:rPr>
          <w:b/>
        </w:rPr>
        <w:t xml:space="preserve">☐ </w:t>
      </w:r>
      <w:r>
        <w:t>Revisar los requisitos y formatos vigentes en la plataforma del CFCRL antes de subir el expediente.</w:t>
      </w:r>
    </w:p>
    <w:p>
      <w:pPr>
        <w:pStyle w:val="BodyText"/>
      </w:pPr>
      <w:r>
        <w:rPr>
          <w:b/>
        </w:rPr>
        <w:t xml:space="preserve">☐ </w:t>
      </w:r>
      <w:r>
        <w:t>Depositar el Reglamento a más tardar dentro de los ocho días siguientes a la firma. Si se firma el 15 de julio de 2026, procurar presentarlo a más tardar el 23 de julio de 2026.</w:t>
      </w:r>
    </w:p>
    <w:p>
      <w:pPr>
        <w:pStyle w:val="BodyText"/>
      </w:pPr>
      <w:r>
        <w:rPr>
          <w:b/>
        </w:rPr>
        <w:t xml:space="preserve">☐ </w:t>
      </w:r>
      <w:r>
        <w:t>Guardar el folio, acuse, archivos enviados y constancia de depósito.</w:t>
      </w:r>
    </w:p>
    <w:p>
      <w:pPr>
        <w:pStyle w:val="BodyText"/>
      </w:pPr>
      <w:r>
        <w:rPr>
          <w:b/>
        </w:rPr>
        <w:t xml:space="preserve">☐ </w:t>
      </w:r>
      <w:r>
        <w:t>Entregar copia a cada persona trabajadora y obtener constancia individual.</w:t>
      </w:r>
    </w:p>
    <w:p>
      <w:pPr>
        <w:pStyle w:val="BodyText"/>
      </w:pPr>
      <w:r>
        <w:rPr>
          <w:b/>
        </w:rPr>
        <w:t xml:space="preserve">☐ </w:t>
      </w:r>
      <w:r>
        <w:t>Colocar una copia legible en el área visible del establecimiento.</w:t>
      </w:r>
    </w:p>
    <w:p>
      <w:pPr>
        <w:pStyle w:val="BodyText"/>
      </w:pPr>
      <w:r>
        <w:rPr>
          <w:b/>
        </w:rPr>
        <w:t xml:space="preserve">☐ </w:t>
      </w:r>
      <w:r>
        <w:t>Crear hojas de capacitación y autorización para calandra, plotter, soldadura y esmeriladora.</w:t>
      </w:r>
    </w:p>
    <w:p>
      <w:pPr>
        <w:pStyle w:val="BodyText"/>
      </w:pPr>
      <w:r>
        <w:rPr>
          <w:b/>
        </w:rPr>
        <w:t xml:space="preserve">☐ </w:t>
      </w:r>
      <w:r>
        <w:t>Conseguir y mantener accesibles las hojas de datos de seguridad de tintas, solventes, xilol y pinturas.</w:t>
      </w:r>
    </w:p>
    <w:p>
      <w:pPr>
        <w:pStyle w:val="BodyText"/>
      </w:pPr>
      <w:r>
        <w:rPr>
          <w:b/>
        </w:rPr>
        <w:t xml:space="preserve">☐ </w:t>
      </w:r>
      <w:r>
        <w:t>Revisar que los prestadores independientes tengan contratos y una operación realmente autónoma; evitar tratarlos como empleados sin reconocer sus derechos.</w:t>
      </w:r>
    </w:p>
    <w:p>
      <w:pPr>
        <w:pStyle w:val="BodyText"/>
      </w:pPr>
      <w:r>
        <w:rPr>
          <w:b/>
        </w:rPr>
        <w:t xml:space="preserve">☐ </w:t>
      </w:r>
      <w:r>
        <w:t>Revisar el Reglamento cada vez que cambien la jornada legal, maquinaria, domicilio o condiciones relevantes.</w:t>
      </w:r>
    </w:p>
    <w:p>
      <w:pPr>
        <w:pStyle w:val="Heading1"/>
      </w:pPr>
      <w:r>
        <w:t>FUENTES LEGALES DE REFERENCIA</w:t>
      </w:r>
    </w:p>
    <w:p>
      <w:pPr>
        <w:pStyle w:val="ListBullet"/>
        <w:spacing w:after="40"/>
      </w:pPr>
      <w:r>
        <w:t>Ley Federal del Trabajo vigente, especialmente artículos 69 a 81, 132, 134, 135, 422 a 425 y 47.</w:t>
      </w:r>
    </w:p>
    <w:p>
      <w:pPr>
        <w:pStyle w:val="ListBullet"/>
        <w:spacing w:after="40"/>
      </w:pPr>
      <w:r>
        <w:t>Centro Federal de Conciliación y Registro Laboral: trámite de registro de Reglamento Interior de Trabajo.</w:t>
      </w:r>
    </w:p>
    <w:p>
      <w:pPr>
        <w:pStyle w:val="ListBullet"/>
        <w:spacing w:after="40"/>
      </w:pPr>
      <w:r>
        <w:t>Normas oficiales mexicanas de seguridad y salud aplicables al manejo de sustancias, equipo de protección, soldadura y prevención de incendios, según la evaluación real del centro de trabajo.</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ViPrint Publicidad | Reglamento Interior de Trabajo | 2026</w:t>
    </w:r>
  </w:p>
  <w:p>
    <w:pP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A51F79"/>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2" w:lineRule="auto"/>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 Title"/>
    <w:rPr>
      <w:rFonts w:ascii="Aptos Display" w:hAnsi="Aptos Display"/>
      <w:b/>
      <w:color w:val="1F4E78"/>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Expediente Reglamento Interior de Trabajo - ViPrint Publicidad</dc:title>
  <dc:subject>Reglamento, actas y formatos para depósito ante CFCRL</dc:subject>
  <dc:creator>ViPrint Publicidad</dc:creator>
  <cp:keywords/>
  <dc:description>generated by python-docx</dc:description>
  <cp:lastModifiedBy/>
  <cp:revision>1</cp:revision>
  <dcterms:created xsi:type="dcterms:W3CDTF">2013-12-23T23:15:00Z</dcterms:created>
  <dcterms:modified xsi:type="dcterms:W3CDTF">2013-12-23T23:15:00Z</dcterms:modified>
  <cp:category/>
</cp:coreProperties>
</file>