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r>
    </w:p>
    <w:p w14:paraId="3DAF1174" w14:textId="77777777" w:rsidR="00675304" w:rsidRDefault="00675304">
      <w:pP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ACTIVIDAD 6</w:t>
      </w:r>
    </w:p>
    <w:p w14:paraId="6C01C6B0" w14:textId="77777777" w:rsidR="00675304" w:rsidRDefault="00675304">
      <w:pPr>
        <w:spacing w:before="60" w:after="60"/>
      </w:pPr>
    </w:p>
    <w:p w14:paraId="1B3037BD" w14:textId="77777777" w:rsidR="00675304" w:rsidRDefault="00000000">
      <w:pPr>
        <w:spacing w:before="60" w:after="60"/>
        <w:jc w:val="center"/>
      </w:pPr>
      <w:r>
        <w:t>Asistente de preparación de revisiones de portafolio</w:t>
        <w:br/>
        <w:t>Evaluación y validación de modelos de clasificación</w:t>
      </w:r>
    </w:p>
    <w:p>
      <w:pPr>
        <w:spacing w:before="280" w:after="40"/>
        <w:jc w:val="center"/>
      </w:pPr>
      <w:r/>
    </w:p>
    <w:p>
      <w:pPr>
        <w:jc w:val="center"/>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0" cy="1097280"/>
                    </a:xfrm>
                    <a:prstGeom prst="rect"/>
                  </pic:spPr>
                </pic:pic>
              </a:graphicData>
            </a:graphic>
          </wp:inline>
        </w:drawing>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rPr>
          <w:tblHeade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pPr>
              <w:keepNext/>
            </w:pPr>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Actividad 6 · Módulo 2 / Semana 7 · Temas 13 y 14</w:t>
            </w:r>
          </w:p>
        </w:tc>
      </w:tr>
      <w:tr w:rsidR="00675304" w14:paraId="7215E7D2"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22 - 10 - 2026</w:t>
            </w:r>
          </w:p>
        </w:tc>
      </w:tr>
    </w:tbl>
    <w:p w14:paraId="650E43B7" w14:textId="77777777" w:rsidR="00675304" w:rsidRDefault="00675304">
      <w:pPr>
        <w:spacing w:before="200" w:after="200"/>
      </w:pPr>
    </w:p>
    <w:p w14:paraId="6F48BECF" w14:textId="77777777" w:rsidR="00675304" w:rsidRDefault="00000000">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spacing w:after="240"/>
      </w:pPr>
      <w:r>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rPr>
          <w:tblHeader/>
          <w:cantSplit/>
        </w:trPr>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pPr>
              <w:keepNext/>
            </w:pPr>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Sí</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ChatGPT/Codex: programación, ejecución y verificación; edición académica, figuras, cuaderno con salidas y revisión de cumplimiento 1.1.0. Las métricas proceden de ejecuciones; el A/B es simulado.</w:t>
            </w:r>
          </w:p>
        </w:tc>
      </w:tr>
      <w:tr w:rsidR="00675304" w14:paraId="2110E64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Sí</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Claude (Anthropic): revisión externa de cumplimiento y propuesta de mejoras aportada por el autor. Codex contrastó los cálculos adicionales con los archivos del repositorio.</w:t>
            </w:r>
          </w:p>
        </w:tc>
      </w:tr>
      <w:tr w:rsidR="00675304" w14:paraId="3EAD0D2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Uso declarado en entregas previas; no se atribuyen nuevas ejecuciones a esta herramienta.</w:t>
            </w:r>
          </w:p>
        </w:tc>
      </w:tr>
      <w:tr w:rsidR="00675304" w14:paraId="1DF4598A"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Uso declarado en entregas previas; no se atribuyen nuevas ejecuciones a esta herramienta.</w:t>
            </w:r>
          </w:p>
        </w:tc>
      </w:tr>
      <w:tr w:rsidR="00675304" w14:paraId="7803E1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Uso declarado en entregas previas; no se atribuyen nuevas ejecuciones a esta herramienta.</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p>
    <w:p w14:paraId="7DF196CF" w14:textId="77777777" w:rsidR="00675304" w:rsidRDefault="00000000">
      <w:pPr>
        <w:pStyle w:val="Ttulo1"/>
        <w:pageBreakBefore/>
        <w:spacing w:after="240"/>
      </w:pPr>
      <w:r>
        <w:t>Desarrollo de Contenido</w:t>
      </w:r>
    </w:p>
    <w:p>
      <w:pPr>
        <w:pStyle w:val="Ttulo1"/>
      </w:pPr>
      <w:r>
        <w:t>Decisión y objetivo de evaluación</w:t>
      </w:r>
    </w:p>
    <w:p>
      <w:pPr>
        <w:shd w:fill="EAF3FA"/>
      </w:pPr>
      <w:r>
        <w:t>Resumen ejecutivo. Mantengo la SVM calibrada como candidata académica: umbral 0.20, recall 0.8361, precisión 0.6711 y AUC 0.9548; recupera 51 noticias negativas. La meta conjunta no se alcanza. Como Banquero Patrimonial Sr. en Xalapa, priorizo reducir omisiones sin saturar la revisión ni inducir movimientos innecesarios. El test es retrospectivo y el A/B es simulado. La evidencia favorece investigar esta alternativa, pero no autoriza un despliegue ni demuestra mayor rentabilidad. La IA no sustituye el criterio del banquero; lo aumenta.</w:t>
      </w:r>
    </w:p>
    <w:p>
      <w:r>
        <w:t>El asistente prepara revisiones para banqueros patrimoniales, privados y corredores. Una noticia negativa no es una orden de inversión: requiere vincularla con exposiciones reales, contrastar fuentes y revisar perfil, horizonte, liquidez y costos. Evalúo detección de noticias, no una estrategia de rentabilidad (Universidad Tecmilenio, 2026a, 2026b).</w:t>
      </w:r>
    </w:p>
    <w:p>
      <w:pPr>
        <w:keepNext/>
      </w:pPr>
      <w:r>
        <w:rPr>
          <w:i/>
          <w:sz w:val="18"/>
        </w:rPr>
        <w:t>Tabla 1. Objetivo SMART y criterio de evaluación</w:t>
      </w:r>
    </w:p>
    <w:tbl>
      <w:tblPr>
        <w:tblW w:type="auto" w:w="0"/>
        <w:tblLayout w:type="fixed"/>
        <w:tblLook w:firstColumn="1" w:firstRow="1" w:lastColumn="0" w:lastRow="0" w:noHBand="0" w:noVBand="1" w:val="04A0"/>
      </w:tblPr>
      <w:tblGrid>
        <w:gridCol w:w="4680"/>
        <w:gridCol w:w="4680"/>
      </w:tblGrid>
      <w:tr>
        <w:trPr>
          <w:cantSplit/>
          <w:tblHeader/>
        </w:trPr>
        <w:tc>
          <w:tcPr>
            <w:tcW w:type="dxa" w:w="2016"/>
            <w:shd w:fill="004481"/>
          </w:tcPr>
          <w:p>
            <w:pPr>
              <w:spacing w:after="60" w:before="60"/>
            </w:pPr>
            <w:r>
              <w:rPr>
                <w:b/>
                <w:color w:val="FFFFFF"/>
                <w:sz w:val="18"/>
              </w:rPr>
              <w:t>Letra y atributo</w:t>
            </w:r>
          </w:p>
        </w:tc>
        <w:tc>
          <w:tcPr>
            <w:tcW w:type="dxa" w:w="7344"/>
            <w:shd w:fill="004481"/>
          </w:tcPr>
          <w:p>
            <w:pPr>
              <w:spacing w:after="60" w:before="60"/>
            </w:pPr>
            <w:r>
              <w:rPr>
                <w:b/>
                <w:color w:val="FFFFFF"/>
                <w:sz w:val="18"/>
              </w:rPr>
              <w:t>Compromiso</w:t>
            </w:r>
          </w:p>
        </w:tc>
      </w:tr>
      <w:tr>
        <w:trPr>
          <w:cantSplit/>
        </w:trPr>
        <w:tc>
          <w:tcPr>
            <w:tcW w:type="dxa" w:w="2016"/>
            <w:shd w:fill="F1F6FA"/>
          </w:tcPr>
          <w:p>
            <w:pPr>
              <w:spacing w:after="60" w:before="60"/>
            </w:pPr>
            <w:r>
              <w:rPr>
                <w:b w:val="0"/>
                <w:color w:val="222222"/>
                <w:sz w:val="18"/>
              </w:rPr>
              <w:t>S · Específico</w:t>
            </w:r>
          </w:p>
        </w:tc>
        <w:tc>
          <w:tcPr>
            <w:tcW w:type="dxa" w:w="7344"/>
            <w:shd w:fill="F1F6FA"/>
          </w:tcPr>
          <w:p>
            <w:pPr>
              <w:spacing w:after="60" w:before="60"/>
            </w:pPr>
            <w:r>
              <w:rPr>
                <w:b w:val="0"/>
                <w:color w:val="222222"/>
                <w:sz w:val="18"/>
              </w:rPr>
              <w:t>Detectar noticias negativas para priorizar revisión humana de portafolios.</w:t>
            </w:r>
          </w:p>
        </w:tc>
      </w:tr>
      <w:tr>
        <w:trPr>
          <w:cantSplit/>
        </w:trPr>
        <w:tc>
          <w:tcPr>
            <w:tcW w:type="dxa" w:w="2016"/>
            <w:shd w:fill="FFFFFF"/>
          </w:tcPr>
          <w:p>
            <w:pPr>
              <w:spacing w:after="60" w:before="60"/>
            </w:pPr>
            <w:r>
              <w:rPr>
                <w:b w:val="0"/>
                <w:color w:val="222222"/>
                <w:sz w:val="18"/>
              </w:rPr>
              <w:t>M · Medible</w:t>
            </w:r>
          </w:p>
        </w:tc>
        <w:tc>
          <w:tcPr>
            <w:tcW w:type="dxa" w:w="7344"/>
            <w:shd w:fill="FFFFFF"/>
          </w:tcPr>
          <w:p>
            <w:pPr>
              <w:spacing w:after="60" w:before="60"/>
            </w:pPr>
            <w:r>
              <w:rPr>
                <w:b w:val="0"/>
                <w:color w:val="222222"/>
                <w:sz w:val="18"/>
              </w:rPr>
              <w:t>Recall ≥0.90, precisión ≥0.60 y AUC ≥0.90; costo didáctico 5FN+FP.</w:t>
            </w:r>
          </w:p>
        </w:tc>
      </w:tr>
      <w:tr>
        <w:trPr>
          <w:cantSplit/>
        </w:trPr>
        <w:tc>
          <w:tcPr>
            <w:tcW w:type="dxa" w:w="2016"/>
            <w:shd w:fill="F1F6FA"/>
          </w:tcPr>
          <w:p>
            <w:pPr>
              <w:spacing w:after="60" w:before="60"/>
            </w:pPr>
            <w:r>
              <w:rPr>
                <w:b w:val="0"/>
                <w:color w:val="222222"/>
                <w:sz w:val="18"/>
              </w:rPr>
              <w:t>A · Alcanzable</w:t>
            </w:r>
          </w:p>
        </w:tc>
        <w:tc>
          <w:tcPr>
            <w:tcW w:type="dxa" w:w="7344"/>
            <w:shd w:fill="F1F6FA"/>
          </w:tcPr>
          <w:p>
            <w:pPr>
              <w:spacing w:after="60" w:before="60"/>
            </w:pPr>
            <w:r>
              <w:rPr>
                <w:b w:val="0"/>
                <w:color w:val="222222"/>
                <w:sz w:val="18"/>
              </w:rPr>
              <w:t>Comparar dos algoritmos y dos baselines con datos públicos y CPU; las metas son hipótesis a evaluar, no resultados garantizados.</w:t>
            </w:r>
          </w:p>
        </w:tc>
      </w:tr>
      <w:tr>
        <w:trPr>
          <w:cantSplit/>
        </w:trPr>
        <w:tc>
          <w:tcPr>
            <w:tcW w:type="dxa" w:w="2016"/>
            <w:shd w:fill="FFFFFF"/>
          </w:tcPr>
          <w:p>
            <w:pPr>
              <w:spacing w:after="60" w:before="60"/>
            </w:pPr>
            <w:r>
              <w:rPr>
                <w:b w:val="0"/>
                <w:color w:val="222222"/>
                <w:sz w:val="18"/>
              </w:rPr>
              <w:t>R · Relevante</w:t>
            </w:r>
          </w:p>
        </w:tc>
        <w:tc>
          <w:tcPr>
            <w:tcW w:type="dxa" w:w="7344"/>
            <w:shd w:fill="FFFFFF"/>
          </w:tcPr>
          <w:p>
            <w:pPr>
              <w:spacing w:after="60" w:before="60"/>
            </w:pPr>
            <w:r>
              <w:rPr>
                <w:b w:val="0"/>
                <w:color w:val="222222"/>
                <w:sz w:val="18"/>
              </w:rPr>
              <w:t>Controlar omisiones, carga operativa y riesgo reputacional; proteger el perfil del cliente.</w:t>
            </w:r>
          </w:p>
        </w:tc>
      </w:tr>
      <w:tr>
        <w:trPr>
          <w:cantSplit/>
        </w:trPr>
        <w:tc>
          <w:tcPr>
            <w:tcW w:type="dxa" w:w="2016"/>
            <w:shd w:fill="F1F6FA"/>
          </w:tcPr>
          <w:p>
            <w:pPr>
              <w:spacing w:after="60" w:before="60"/>
            </w:pPr>
            <w:r>
              <w:rPr>
                <w:b w:val="0"/>
                <w:color w:val="222222"/>
                <w:sz w:val="18"/>
              </w:rPr>
              <w:t>T · Temporal</w:t>
            </w:r>
          </w:p>
        </w:tc>
        <w:tc>
          <w:tcPr>
            <w:tcW w:type="dxa" w:w="7344"/>
            <w:shd w:fill="F1F6FA"/>
          </w:tcPr>
          <w:p>
            <w:pPr>
              <w:spacing w:after="60" w:before="60"/>
            </w:pPr>
            <w:r>
              <w:rPr>
                <w:b w:val="0"/>
                <w:color w:val="222222"/>
                <w:sz w:val="18"/>
              </w:rPr>
              <w:t>Corte: 22 de octubre de 2026. Ventana: evaluación retrospectiva de la Semana 7; revisión documental 23 de octubre, sin ampliar la muestra.</w:t>
            </w:r>
          </w:p>
        </w:tc>
      </w:tr>
    </w:tbl>
    <w:p>
      <w:pPr>
        <w:pStyle w:val="Ttulo1"/>
      </w:pPr>
      <w:r>
        <w:t>Datos y continuidad</w:t>
      </w:r>
    </w:p>
    <w:p>
      <w:r>
        <w:t>Conservo Financial PhraseBank AllAgree: 2,264 oraciones originales, cinco duplicados retirados y 2,259 limpias; 1,807 para desarrollo y 452 para test. La clase positiva es noticia negativa: 61 negativas frente a 391 no negativas en test (13.50 %). Neutral y positiva se agrupan como no negativa; este F1 binario no es comparable directamente con el F1 macro de tres clases de Actividad 5 (Malo et al., 2014).</w:t>
      </w:r>
    </w:p>
    <w:p>
      <w:r>
        <w:t>El test ya fue examinado en Actividad 5; no es una validación externa nueva. Los 150 superhéroes y villanos con $5–$20 millones MXN son ficticios, para representar perfiles didácticos sin datos personales. No entrenan el clasificador ni acreditan rentabilidad.</w:t>
      </w:r>
    </w:p>
    <w:p>
      <w:r>
        <w:br w:type="page"/>
      </w:r>
    </w:p>
    <w:p>
      <w:pPr>
        <w:pStyle w:val="Ttulo1"/>
      </w:pPr>
      <w:r>
        <w:t>Protocolo de datos y modelos</w:t>
      </w:r>
    </w:p>
    <w:p>
      <w:r>
        <w:t>AllAgree contiene noticias financieras en inglés con acuerdo total entre anotadores. El idioma, el origen y la selección por acuerdo limitan su transferencia a México. La licencia CC BY-NC-SA 3.0 no concede permiso comercial adicional. Conservo originales, licencia, manifiesto, hashes y partición histórica.</w:t>
      </w:r>
    </w:p>
    <w:p>
      <w:pPr>
        <w:keepNext/>
      </w:pPr>
      <w:r>
        <w:rPr>
          <w:i/>
          <w:sz w:val="18"/>
        </w:rPr>
        <w:t>Tabla 2. Diccionario de datos y controles</w:t>
      </w:r>
    </w:p>
    <w:tbl>
      <w:tblPr>
        <w:tblW w:type="auto" w:w="0"/>
        <w:tblLayout w:type="fixed"/>
        <w:tblLook w:firstColumn="1" w:firstRow="1" w:lastColumn="0" w:lastRow="0" w:noHBand="0" w:noVBand="1" w:val="04A0"/>
      </w:tblPr>
      <w:tblGrid>
        <w:gridCol w:w="4680"/>
        <w:gridCol w:w="4680"/>
      </w:tblGrid>
      <w:tr>
        <w:trPr>
          <w:cantSplit/>
          <w:tblHeader/>
        </w:trPr>
        <w:tc>
          <w:tcPr>
            <w:tcW w:type="dxa" w:w="2448"/>
            <w:shd w:fill="004481"/>
          </w:tcPr>
          <w:p>
            <w:pPr>
              <w:spacing w:after="60" w:before="60"/>
            </w:pPr>
            <w:r>
              <w:rPr>
                <w:b/>
                <w:color w:val="FFFFFF"/>
                <w:sz w:val="18"/>
              </w:rPr>
              <w:t>Campo</w:t>
            </w:r>
          </w:p>
        </w:tc>
        <w:tc>
          <w:tcPr>
            <w:tcW w:type="dxa" w:w="6912"/>
            <w:shd w:fill="004481"/>
          </w:tcPr>
          <w:p>
            <w:pPr>
              <w:spacing w:after="60" w:before="60"/>
            </w:pPr>
            <w:r>
              <w:rPr>
                <w:b/>
                <w:color w:val="FFFFFF"/>
                <w:sz w:val="18"/>
              </w:rPr>
              <w:t>Función y tratamiento</w:t>
            </w:r>
          </w:p>
        </w:tc>
      </w:tr>
      <w:tr>
        <w:trPr>
          <w:cantSplit/>
        </w:trPr>
        <w:tc>
          <w:tcPr>
            <w:tcW w:type="dxa" w:w="2448"/>
            <w:shd w:fill="F1F6FA"/>
          </w:tcPr>
          <w:p>
            <w:pPr>
              <w:spacing w:after="60" w:before="60"/>
            </w:pPr>
            <w:r>
              <w:rPr>
                <w:b w:val="0"/>
                <w:color w:val="222222"/>
                <w:sz w:val="18"/>
              </w:rPr>
              <w:t>id; texto_original</w:t>
            </w:r>
          </w:p>
        </w:tc>
        <w:tc>
          <w:tcPr>
            <w:tcW w:type="dxa" w:w="6912"/>
            <w:shd w:fill="F1F6FA"/>
          </w:tcPr>
          <w:p>
            <w:pPr>
              <w:spacing w:after="60" w:before="60"/>
            </w:pPr>
            <w:r>
              <w:rPr>
                <w:b w:val="0"/>
                <w:color w:val="222222"/>
                <w:sz w:val="18"/>
              </w:rPr>
              <w:t>Identificador y texto conservado para trazabilidad.</w:t>
            </w:r>
          </w:p>
        </w:tc>
      </w:tr>
      <w:tr>
        <w:trPr>
          <w:cantSplit/>
        </w:trPr>
        <w:tc>
          <w:tcPr>
            <w:tcW w:type="dxa" w:w="2448"/>
            <w:shd w:fill="FFFFFF"/>
          </w:tcPr>
          <w:p>
            <w:pPr>
              <w:spacing w:after="60" w:before="60"/>
            </w:pPr>
            <w:r>
              <w:rPr>
                <w:b w:val="0"/>
                <w:color w:val="222222"/>
                <w:sz w:val="18"/>
              </w:rPr>
              <w:t>texto</w:t>
            </w:r>
          </w:p>
        </w:tc>
        <w:tc>
          <w:tcPr>
            <w:tcW w:type="dxa" w:w="6912"/>
            <w:shd w:fill="FFFFFF"/>
          </w:tcPr>
          <w:p>
            <w:pPr>
              <w:spacing w:after="60" w:before="60"/>
            </w:pPr>
            <w:r>
              <w:rPr>
                <w:b w:val="0"/>
                <w:color w:val="222222"/>
                <w:sz w:val="18"/>
              </w:rPr>
              <w:t>Unicode NFKC y espacios normalizados; única entrada predictora. Sin vacíos; no imputo ni traduzco.</w:t>
            </w:r>
          </w:p>
        </w:tc>
      </w:tr>
      <w:tr>
        <w:trPr>
          <w:cantSplit/>
        </w:trPr>
        <w:tc>
          <w:tcPr>
            <w:tcW w:type="dxa" w:w="2448"/>
            <w:shd w:fill="F1F6FA"/>
          </w:tcPr>
          <w:p>
            <w:pPr>
              <w:spacing w:after="60" w:before="60"/>
            </w:pPr>
            <w:r>
              <w:rPr>
                <w:b w:val="0"/>
                <w:color w:val="222222"/>
                <w:sz w:val="18"/>
              </w:rPr>
              <w:t>etiqueta; y</w:t>
            </w:r>
          </w:p>
        </w:tc>
        <w:tc>
          <w:tcPr>
            <w:tcW w:type="dxa" w:w="6912"/>
            <w:shd w:fill="F1F6FA"/>
          </w:tcPr>
          <w:p>
            <w:pPr>
              <w:spacing w:after="60" w:before="60"/>
            </w:pPr>
            <w:r>
              <w:rPr>
                <w:b w:val="0"/>
                <w:color w:val="222222"/>
                <w:sz w:val="18"/>
              </w:rPr>
              <w:t>Etiqueta original; y=1 para negative y 0 para neutral/positive.</w:t>
            </w:r>
          </w:p>
        </w:tc>
      </w:tr>
      <w:tr>
        <w:trPr>
          <w:cantSplit/>
        </w:trPr>
        <w:tc>
          <w:tcPr>
            <w:tcW w:type="dxa" w:w="2448"/>
            <w:shd w:fill="FFFFFF"/>
          </w:tcPr>
          <w:p>
            <w:pPr>
              <w:spacing w:after="60" w:before="60"/>
            </w:pPr>
            <w:r>
              <w:rPr>
                <w:b w:val="0"/>
                <w:color w:val="222222"/>
                <w:sz w:val="18"/>
              </w:rPr>
              <w:t>split; n_caracteres</w:t>
            </w:r>
          </w:p>
        </w:tc>
        <w:tc>
          <w:tcPr>
            <w:tcW w:type="dxa" w:w="6912"/>
            <w:shd w:fill="FFFFFF"/>
          </w:tcPr>
          <w:p>
            <w:pPr>
              <w:spacing w:after="60" w:before="60"/>
            </w:pPr>
            <w:r>
              <w:rPr>
                <w:b w:val="0"/>
                <w:color w:val="222222"/>
                <w:sz w:val="18"/>
              </w:rPr>
              <w:t>Partición fija y longitud descriptiva; no son predictores.</w:t>
            </w:r>
          </w:p>
        </w:tc>
      </w:tr>
      <w:tr>
        <w:trPr>
          <w:cantSplit/>
        </w:trPr>
        <w:tc>
          <w:tcPr>
            <w:tcW w:type="dxa" w:w="2448"/>
            <w:shd w:fill="F1F6FA"/>
          </w:tcPr>
          <w:p>
            <w:pPr>
              <w:spacing w:after="60" w:before="60"/>
            </w:pPr>
            <w:r>
              <w:rPr>
                <w:b w:val="0"/>
                <w:color w:val="222222"/>
                <w:sz w:val="18"/>
              </w:rPr>
              <w:t>cliente_id; perfil_riesgo</w:t>
            </w:r>
          </w:p>
        </w:tc>
        <w:tc>
          <w:tcPr>
            <w:tcW w:type="dxa" w:w="6912"/>
            <w:shd w:fill="F1F6FA"/>
          </w:tcPr>
          <w:p>
            <w:pPr>
              <w:spacing w:after="60" w:before="60"/>
            </w:pPr>
            <w:r>
              <w:rPr>
                <w:b w:val="0"/>
                <w:color w:val="222222"/>
                <w:sz w:val="18"/>
              </w:rPr>
              <w:t>Identidad ficticia y estrato A/B; sólo contexto simulado.</w:t>
            </w:r>
          </w:p>
        </w:tc>
      </w:tr>
    </w:tbl>
    <w:p>
      <w:r>
        <w:t>TF-IDF utiliza unigramas y bigramas, frecuencia sublineal, norma L2 y máximo 25,000 términos. Aprende vocabulario e IDF exclusivamente dentro del entrenamiento; no requiere escalado adicional. Comparo logística C=1, solver liblinear, y LinearSVC C=1 calibrada con sigmoide en tres folds. El pipeline completo queda dentro de la calibración para evitar fuga de vocabulario (Pedregosa et al., 2011).</w:t>
      </w:r>
    </w:p>
    <w:p>
      <w:r>
        <w:t>Uso cinco folds externos estratificados, semilla 20261022. En cada entrenamiento externo, tres folds internos generan probabilidades fuera de muestra (OOF) para elegir umbral. Evalúo después en el fold externo. Rejilla: 0.05–0.95, paso 0.025. Entre umbrales factibles minimizo 5FN+FP; si ninguno cumple recall y precisión, minimizo ese costo y registro la inviabilidad. El modelo se elige por costo medio externo. El umbral final se fija con cinco folds OOF de desarrollo, sin optimizar en test.</w:t>
      </w:r>
    </w:p>
    <w:p>
      <w:r>
        <w:t>La selección entre modelos usando esos folds puede inducir optimismo y los folds no son independientes. No uso una prueba t ingenua sobre ellos. El bootstrap condiciona al corpus y al modelo ajustado; no captura deriva ni toda la incertidumbre del entrenamiento. La siguiente validación debe ser temporal, en español y agrupada por emisor o evento.</w:t>
      </w:r>
    </w:p>
    <w:p>
      <w:pPr>
        <w:pStyle w:val="Ttulo1"/>
      </w:pPr>
      <w:r>
        <w:t>Trazabilidad y condiciones de ejecución</w:t>
      </w:r>
    </w:p>
    <w:p>
      <w:r>
        <w:t>MLflow guarda parámetros, métricas, semillas, hashes y artefactos, no un servicio productivo ni un registro con aprobaciones. Conservo corridas exploratorias y definitivas. El cambio previo de solver por advertencias numéricas está documentado. El código original sigue intacto; las ampliaciones se calculan aparte (MLflow, s. f.).</w:t>
      </w:r>
    </w:p>
    <w:p>
      <w:r>
        <w:t>La reproducción local comprobada usa macOS ARM, Python 3.12.14, scikit-learn 1.6.1 y MLflow 2.22.2; SQLAlchemy 2.0.40 evita una incompatibilidad de instalación. El SHA-256 del experimento es 4084da16ebe2f67af618f78beab450d040aa968c418ce7d37e759fbe9d95a32f. La auditoría externa comunicada por el autor refiere Linux con otras versiones; sin sus logs no la presento como verificación propia.</w:t>
      </w:r>
    </w:p>
    <w:p>
      <w:r>
        <w:br w:type="page"/>
      </w:r>
    </w:p>
    <w:p>
      <w:pPr>
        <w:pStyle w:val="Ttulo1"/>
      </w:pPr>
      <w:r>
        <w:t>Matriz de confusión y escenarios de umbral</w:t>
      </w:r>
    </w:p>
    <w:p>
      <w:pPr>
        <w:keepNext/>
      </w:pPr>
      <w:r>
        <w:drawing>
          <wp:inline xmlns:a="http://schemas.openxmlformats.org/drawingml/2006/main" xmlns:pic="http://schemas.openxmlformats.org/drawingml/2006/picture">
            <wp:extent cx="5577840" cy="216916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2169160"/>
                    </a:xfrm>
                    <a:prstGeom prst="rect"/>
                  </pic:spPr>
                </pic:pic>
              </a:graphicData>
            </a:graphic>
          </wp:inline>
        </w:drawing>
      </w:r>
    </w:p>
    <w:p>
      <w:pPr>
        <w:keepNext/>
      </w:pPr>
      <w:r>
        <w:rPr>
          <w:i/>
          <w:sz w:val="18"/>
        </w:rPr>
        <w:t>Figura 1. Matriz de confusión de la SVM calibrada en los umbrales 0.50 y 0.20.</w:t>
      </w:r>
    </w:p>
    <w:p>
      <w:r>
        <w:t>En la Figura 1, TP=51, FN=10, FP=25 y TN=366 para 0.20. Un FN deja una noticia adversa sin priorizar; un FP consume tiempo del banquero. No equivalen por sí mismos a ganancias o pérdidas financieras.</w:t>
      </w:r>
    </w:p>
    <w:p>
      <w:pPr>
        <w:keepNext/>
      </w:pPr>
      <w:r>
        <w:rPr>
          <w:i/>
          <w:sz w:val="18"/>
        </w:rPr>
        <w:t>Tabla 3. Métricas de SVM 0.20 y propósito</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440"/>
            <w:shd w:fill="004481"/>
          </w:tcPr>
          <w:p>
            <w:pPr>
              <w:spacing w:after="60" w:before="60"/>
            </w:pPr>
            <w:r>
              <w:rPr>
                <w:b/>
                <w:color w:val="FFFFFF"/>
                <w:sz w:val="18"/>
              </w:rPr>
              <w:t>Métrica</w:t>
            </w:r>
          </w:p>
        </w:tc>
        <w:tc>
          <w:tcPr>
            <w:tcW w:type="dxa" w:w="2880"/>
            <w:shd w:fill="004481"/>
          </w:tcPr>
          <w:p>
            <w:pPr>
              <w:spacing w:after="60" w:before="60"/>
            </w:pPr>
            <w:r>
              <w:rPr>
                <w:b/>
                <w:color w:val="FFFFFF"/>
                <w:sz w:val="18"/>
              </w:rPr>
              <w:t>Cálculo</w:t>
            </w:r>
          </w:p>
        </w:tc>
        <w:tc>
          <w:tcPr>
            <w:tcW w:type="dxa" w:w="5040"/>
            <w:shd w:fill="004481"/>
          </w:tcPr>
          <w:p>
            <w:pPr>
              <w:spacing w:after="60" w:before="60"/>
            </w:pPr>
            <w:r>
              <w:rPr>
                <w:b/>
                <w:color w:val="FFFFFF"/>
                <w:sz w:val="18"/>
              </w:rPr>
              <w:t>Uso en la revisión</w:t>
            </w:r>
          </w:p>
        </w:tc>
      </w:tr>
      <w:tr>
        <w:trPr>
          <w:cantSplit/>
        </w:trPr>
        <w:tc>
          <w:tcPr>
            <w:tcW w:type="dxa" w:w="1440"/>
            <w:shd w:fill="F1F6FA"/>
          </w:tcPr>
          <w:p>
            <w:pPr>
              <w:spacing w:after="60" w:before="60"/>
            </w:pPr>
            <w:r>
              <w:rPr>
                <w:b w:val="0"/>
                <w:color w:val="222222"/>
                <w:sz w:val="18"/>
              </w:rPr>
              <w:t>Accuracy</w:t>
            </w:r>
          </w:p>
        </w:tc>
        <w:tc>
          <w:tcPr>
            <w:tcW w:type="dxa" w:w="2880"/>
            <w:shd w:fill="F1F6FA"/>
          </w:tcPr>
          <w:p>
            <w:pPr>
              <w:spacing w:after="60" w:before="60"/>
            </w:pPr>
            <w:r>
              <w:rPr>
                <w:b w:val="0"/>
                <w:color w:val="222222"/>
                <w:sz w:val="18"/>
              </w:rPr>
              <w:t>(51+366)/452 = 0.9226</w:t>
            </w:r>
          </w:p>
        </w:tc>
        <w:tc>
          <w:tcPr>
            <w:tcW w:type="dxa" w:w="5040"/>
            <w:shd w:fill="F1F6FA"/>
          </w:tcPr>
          <w:p>
            <w:pPr>
              <w:spacing w:after="60" w:before="60"/>
            </w:pPr>
            <w:r>
              <w:rPr>
                <w:b w:val="0"/>
                <w:color w:val="222222"/>
                <w:sz w:val="18"/>
              </w:rPr>
              <w:t>Control global; puede ocultar desbalance.</w:t>
            </w:r>
          </w:p>
        </w:tc>
      </w:tr>
      <w:tr>
        <w:trPr>
          <w:cantSplit/>
        </w:trPr>
        <w:tc>
          <w:tcPr>
            <w:tcW w:type="dxa" w:w="1440"/>
            <w:shd w:fill="FFFFFF"/>
          </w:tcPr>
          <w:p>
            <w:pPr>
              <w:spacing w:after="60" w:before="60"/>
            </w:pPr>
            <w:r>
              <w:rPr>
                <w:b w:val="0"/>
                <w:color w:val="222222"/>
                <w:sz w:val="18"/>
              </w:rPr>
              <w:t>Precisión</w:t>
            </w:r>
          </w:p>
        </w:tc>
        <w:tc>
          <w:tcPr>
            <w:tcW w:type="dxa" w:w="2880"/>
            <w:shd w:fill="FFFFFF"/>
          </w:tcPr>
          <w:p>
            <w:pPr>
              <w:spacing w:after="60" w:before="60"/>
            </w:pPr>
            <w:r>
              <w:rPr>
                <w:b w:val="0"/>
                <w:color w:val="222222"/>
                <w:sz w:val="18"/>
              </w:rPr>
              <w:t>51/76 = 0.6711</w:t>
            </w:r>
          </w:p>
        </w:tc>
        <w:tc>
          <w:tcPr>
            <w:tcW w:type="dxa" w:w="5040"/>
            <w:shd w:fill="FFFFFF"/>
          </w:tcPr>
          <w:p>
            <w:pPr>
              <w:spacing w:after="60" w:before="60"/>
            </w:pPr>
            <w:r>
              <w:rPr>
                <w:b w:val="0"/>
                <w:color w:val="222222"/>
                <w:sz w:val="18"/>
              </w:rPr>
              <w:t>Proporción útil de alertas y carga operativa.</w:t>
            </w:r>
          </w:p>
        </w:tc>
      </w:tr>
      <w:tr>
        <w:trPr>
          <w:cantSplit/>
        </w:trPr>
        <w:tc>
          <w:tcPr>
            <w:tcW w:type="dxa" w:w="1440"/>
            <w:shd w:fill="F1F6FA"/>
          </w:tcPr>
          <w:p>
            <w:pPr>
              <w:spacing w:after="60" w:before="60"/>
            </w:pPr>
            <w:r>
              <w:rPr>
                <w:b w:val="0"/>
                <w:color w:val="222222"/>
                <w:sz w:val="18"/>
              </w:rPr>
              <w:t>Recall</w:t>
            </w:r>
          </w:p>
        </w:tc>
        <w:tc>
          <w:tcPr>
            <w:tcW w:type="dxa" w:w="2880"/>
            <w:shd w:fill="F1F6FA"/>
          </w:tcPr>
          <w:p>
            <w:pPr>
              <w:spacing w:after="60" w:before="60"/>
            </w:pPr>
            <w:r>
              <w:rPr>
                <w:b w:val="0"/>
                <w:color w:val="222222"/>
                <w:sz w:val="18"/>
              </w:rPr>
              <w:t>51/61 = 0.8361</w:t>
            </w:r>
          </w:p>
        </w:tc>
        <w:tc>
          <w:tcPr>
            <w:tcW w:type="dxa" w:w="5040"/>
            <w:shd w:fill="F1F6FA"/>
          </w:tcPr>
          <w:p>
            <w:pPr>
              <w:spacing w:after="60" w:before="60"/>
            </w:pPr>
            <w:r>
              <w:rPr>
                <w:b w:val="0"/>
                <w:color w:val="222222"/>
                <w:sz w:val="18"/>
              </w:rPr>
              <w:t>Cobertura de noticias negativas.</w:t>
            </w:r>
          </w:p>
        </w:tc>
      </w:tr>
      <w:tr>
        <w:trPr>
          <w:cantSplit/>
        </w:trPr>
        <w:tc>
          <w:tcPr>
            <w:tcW w:type="dxa" w:w="1440"/>
            <w:shd w:fill="FFFFFF"/>
          </w:tcPr>
          <w:p>
            <w:pPr>
              <w:spacing w:after="60" w:before="60"/>
            </w:pPr>
            <w:r>
              <w:rPr>
                <w:b w:val="0"/>
                <w:color w:val="222222"/>
                <w:sz w:val="18"/>
              </w:rPr>
              <w:t>F1</w:t>
            </w:r>
          </w:p>
        </w:tc>
        <w:tc>
          <w:tcPr>
            <w:tcW w:type="dxa" w:w="2880"/>
            <w:shd w:fill="FFFFFF"/>
          </w:tcPr>
          <w:p>
            <w:pPr>
              <w:spacing w:after="60" w:before="60"/>
            </w:pPr>
            <w:r>
              <w:rPr>
                <w:b w:val="0"/>
                <w:color w:val="222222"/>
                <w:sz w:val="18"/>
              </w:rPr>
              <w:t>102/137 = 0.7445</w:t>
            </w:r>
          </w:p>
        </w:tc>
        <w:tc>
          <w:tcPr>
            <w:tcW w:type="dxa" w:w="5040"/>
            <w:shd w:fill="FFFFFF"/>
          </w:tcPr>
          <w:p>
            <w:pPr>
              <w:spacing w:after="60" w:before="60"/>
            </w:pPr>
            <w:r>
              <w:rPr>
                <w:b w:val="0"/>
                <w:color w:val="222222"/>
                <w:sz w:val="18"/>
              </w:rPr>
              <w:t>Balance de precisión y recall; no mide costos.</w:t>
            </w:r>
          </w:p>
        </w:tc>
      </w:tr>
    </w:tbl>
    <w:p>
      <w:pPr>
        <w:keepNext/>
      </w:pPr>
      <w:r>
        <w:rPr>
          <w:i/>
          <w:sz w:val="18"/>
        </w:rPr>
        <w:t>Tabla 4. Escenarios sobre el test histórico sin reseleccionar el umbral</w:t>
      </w:r>
    </w:p>
    <w:tbl>
      <w:tblPr>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52"/>
            <w:shd w:fill="004481"/>
          </w:tcPr>
          <w:p>
            <w:pPr>
              <w:spacing w:after="60" w:before="60"/>
            </w:pPr>
            <w:r>
              <w:rPr>
                <w:b/>
                <w:color w:val="FFFFFF"/>
                <w:sz w:val="18"/>
              </w:rPr>
              <w:t>Umbral</w:t>
            </w:r>
          </w:p>
        </w:tc>
        <w:tc>
          <w:tcPr>
            <w:tcW w:type="dxa" w:w="1224"/>
            <w:shd w:fill="004481"/>
          </w:tcPr>
          <w:p>
            <w:pPr>
              <w:spacing w:after="60" w:before="60"/>
            </w:pPr>
            <w:r>
              <w:rPr>
                <w:b/>
                <w:color w:val="FFFFFF"/>
                <w:sz w:val="18"/>
              </w:rPr>
              <w:t>Recall</w:t>
            </w:r>
          </w:p>
        </w:tc>
        <w:tc>
          <w:tcPr>
            <w:tcW w:type="dxa" w:w="1224"/>
            <w:shd w:fill="004481"/>
          </w:tcPr>
          <w:p>
            <w:pPr>
              <w:spacing w:after="60" w:before="60"/>
            </w:pPr>
            <w:r>
              <w:rPr>
                <w:b/>
                <w:color w:val="FFFFFF"/>
                <w:sz w:val="18"/>
              </w:rPr>
              <w:t>Prec.</w:t>
            </w:r>
          </w:p>
        </w:tc>
        <w:tc>
          <w:tcPr>
            <w:tcW w:type="dxa" w:w="1224"/>
            <w:shd w:fill="004481"/>
          </w:tcPr>
          <w:p>
            <w:pPr>
              <w:spacing w:after="60" w:before="60"/>
            </w:pPr>
            <w:r>
              <w:rPr>
                <w:b/>
                <w:color w:val="FFFFFF"/>
                <w:sz w:val="18"/>
              </w:rPr>
              <w:t>F1</w:t>
            </w:r>
          </w:p>
        </w:tc>
        <w:tc>
          <w:tcPr>
            <w:tcW w:type="dxa" w:w="720"/>
            <w:shd w:fill="004481"/>
          </w:tcPr>
          <w:p>
            <w:pPr>
              <w:spacing w:after="60" w:before="60"/>
            </w:pPr>
            <w:r>
              <w:rPr>
                <w:b/>
                <w:color w:val="FFFFFF"/>
                <w:sz w:val="18"/>
              </w:rPr>
              <w:t>FN</w:t>
            </w:r>
          </w:p>
        </w:tc>
        <w:tc>
          <w:tcPr>
            <w:tcW w:type="dxa" w:w="720"/>
            <w:shd w:fill="004481"/>
          </w:tcPr>
          <w:p>
            <w:pPr>
              <w:spacing w:after="60" w:before="60"/>
            </w:pPr>
            <w:r>
              <w:rPr>
                <w:b/>
                <w:color w:val="FFFFFF"/>
                <w:sz w:val="18"/>
              </w:rPr>
              <w:t>FP</w:t>
            </w:r>
          </w:p>
        </w:tc>
        <w:tc>
          <w:tcPr>
            <w:tcW w:type="dxa" w:w="936"/>
            <w:shd w:fill="004481"/>
          </w:tcPr>
          <w:p>
            <w:pPr>
              <w:spacing w:after="60" w:before="60"/>
            </w:pPr>
            <w:r>
              <w:rPr>
                <w:b/>
                <w:color w:val="FFFFFF"/>
                <w:sz w:val="18"/>
              </w:rPr>
              <w:t>Rev.</w:t>
            </w:r>
          </w:p>
        </w:tc>
        <w:tc>
          <w:tcPr>
            <w:tcW w:type="dxa" w:w="1512"/>
            <w:shd w:fill="004481"/>
          </w:tcPr>
          <w:p>
            <w:pPr>
              <w:spacing w:after="60" w:before="60"/>
            </w:pPr>
            <w:r>
              <w:rPr>
                <w:b/>
                <w:color w:val="FFFFFF"/>
                <w:sz w:val="18"/>
              </w:rPr>
              <w:t>Costo/100</w:t>
            </w:r>
          </w:p>
        </w:tc>
      </w:tr>
      <w:tr>
        <w:trPr>
          <w:cantSplit/>
        </w:trPr>
        <w:tc>
          <w:tcPr>
            <w:tcW w:type="dxa" w:w="1152"/>
            <w:shd w:fill="F1F6FA"/>
          </w:tcPr>
          <w:p>
            <w:pPr>
              <w:spacing w:after="60" w:before="60"/>
            </w:pPr>
            <w:r>
              <w:rPr>
                <w:b w:val="0"/>
                <w:color w:val="222222"/>
                <w:sz w:val="18"/>
              </w:rPr>
              <w:t>0.075</w:t>
            </w:r>
          </w:p>
        </w:tc>
        <w:tc>
          <w:tcPr>
            <w:tcW w:type="dxa" w:w="1224"/>
            <w:shd w:fill="F1F6FA"/>
          </w:tcPr>
          <w:p>
            <w:pPr>
              <w:spacing w:after="60" w:before="60"/>
            </w:pPr>
            <w:r>
              <w:rPr>
                <w:b w:val="0"/>
                <w:color w:val="222222"/>
                <w:sz w:val="18"/>
              </w:rPr>
              <w:t>0.9016</w:t>
            </w:r>
          </w:p>
        </w:tc>
        <w:tc>
          <w:tcPr>
            <w:tcW w:type="dxa" w:w="1224"/>
            <w:shd w:fill="F1F6FA"/>
          </w:tcPr>
          <w:p>
            <w:pPr>
              <w:spacing w:after="60" w:before="60"/>
            </w:pPr>
            <w:r>
              <w:rPr>
                <w:b w:val="0"/>
                <w:color w:val="222222"/>
                <w:sz w:val="18"/>
              </w:rPr>
              <w:t>0.4435</w:t>
            </w:r>
          </w:p>
        </w:tc>
        <w:tc>
          <w:tcPr>
            <w:tcW w:type="dxa" w:w="1224"/>
            <w:shd w:fill="F1F6FA"/>
          </w:tcPr>
          <w:p>
            <w:pPr>
              <w:spacing w:after="60" w:before="60"/>
            </w:pPr>
            <w:r>
              <w:rPr>
                <w:b w:val="0"/>
                <w:color w:val="222222"/>
                <w:sz w:val="18"/>
              </w:rPr>
              <w:t>0.5946</w:t>
            </w:r>
          </w:p>
        </w:tc>
        <w:tc>
          <w:tcPr>
            <w:tcW w:type="dxa" w:w="720"/>
            <w:shd w:fill="F1F6FA"/>
          </w:tcPr>
          <w:p>
            <w:pPr>
              <w:spacing w:after="60" w:before="60"/>
            </w:pPr>
            <w:r>
              <w:rPr>
                <w:b w:val="0"/>
                <w:color w:val="222222"/>
                <w:sz w:val="18"/>
              </w:rPr>
              <w:t>6</w:t>
            </w:r>
          </w:p>
        </w:tc>
        <w:tc>
          <w:tcPr>
            <w:tcW w:type="dxa" w:w="720"/>
            <w:shd w:fill="F1F6FA"/>
          </w:tcPr>
          <w:p>
            <w:pPr>
              <w:spacing w:after="60" w:before="60"/>
            </w:pPr>
            <w:r>
              <w:rPr>
                <w:b w:val="0"/>
                <w:color w:val="222222"/>
                <w:sz w:val="18"/>
              </w:rPr>
              <w:t>69</w:t>
            </w:r>
          </w:p>
        </w:tc>
        <w:tc>
          <w:tcPr>
            <w:tcW w:type="dxa" w:w="936"/>
            <w:shd w:fill="F1F6FA"/>
          </w:tcPr>
          <w:p>
            <w:pPr>
              <w:spacing w:after="60" w:before="60"/>
            </w:pPr>
            <w:r>
              <w:rPr>
                <w:b w:val="0"/>
                <w:color w:val="222222"/>
                <w:sz w:val="18"/>
              </w:rPr>
              <w:t>124</w:t>
            </w:r>
          </w:p>
        </w:tc>
        <w:tc>
          <w:tcPr>
            <w:tcW w:type="dxa" w:w="1512"/>
            <w:shd w:fill="F1F6FA"/>
          </w:tcPr>
          <w:p>
            <w:pPr>
              <w:spacing w:after="60" w:before="60"/>
            </w:pPr>
            <w:r>
              <w:rPr>
                <w:b w:val="0"/>
                <w:color w:val="222222"/>
                <w:sz w:val="18"/>
              </w:rPr>
              <w:t>21.90</w:t>
            </w:r>
          </w:p>
        </w:tc>
      </w:tr>
      <w:tr>
        <w:trPr>
          <w:cantSplit/>
        </w:trPr>
        <w:tc>
          <w:tcPr>
            <w:tcW w:type="dxa" w:w="1152"/>
            <w:shd w:fill="FFFFFF"/>
          </w:tcPr>
          <w:p>
            <w:pPr>
              <w:spacing w:after="60" w:before="60"/>
            </w:pPr>
            <w:r>
              <w:rPr>
                <w:b w:val="0"/>
                <w:color w:val="222222"/>
                <w:sz w:val="18"/>
              </w:rPr>
              <w:t>0.20</w:t>
            </w:r>
          </w:p>
        </w:tc>
        <w:tc>
          <w:tcPr>
            <w:tcW w:type="dxa" w:w="1224"/>
            <w:shd w:fill="FFFFFF"/>
          </w:tcPr>
          <w:p>
            <w:pPr>
              <w:spacing w:after="60" w:before="60"/>
            </w:pPr>
            <w:r>
              <w:rPr>
                <w:b w:val="0"/>
                <w:color w:val="222222"/>
                <w:sz w:val="18"/>
              </w:rPr>
              <w:t>0.8361</w:t>
            </w:r>
          </w:p>
        </w:tc>
        <w:tc>
          <w:tcPr>
            <w:tcW w:type="dxa" w:w="1224"/>
            <w:shd w:fill="FFFFFF"/>
          </w:tcPr>
          <w:p>
            <w:pPr>
              <w:spacing w:after="60" w:before="60"/>
            </w:pPr>
            <w:r>
              <w:rPr>
                <w:b w:val="0"/>
                <w:color w:val="222222"/>
                <w:sz w:val="18"/>
              </w:rPr>
              <w:t>0.6711</w:t>
            </w:r>
          </w:p>
        </w:tc>
        <w:tc>
          <w:tcPr>
            <w:tcW w:type="dxa" w:w="1224"/>
            <w:shd w:fill="FFFFFF"/>
          </w:tcPr>
          <w:p>
            <w:pPr>
              <w:spacing w:after="60" w:before="60"/>
            </w:pPr>
            <w:r>
              <w:rPr>
                <w:b w:val="0"/>
                <w:color w:val="222222"/>
                <w:sz w:val="18"/>
              </w:rPr>
              <w:t>0.7445</w:t>
            </w:r>
          </w:p>
        </w:tc>
        <w:tc>
          <w:tcPr>
            <w:tcW w:type="dxa" w:w="720"/>
            <w:shd w:fill="FFFFFF"/>
          </w:tcPr>
          <w:p>
            <w:pPr>
              <w:spacing w:after="60" w:before="60"/>
            </w:pPr>
            <w:r>
              <w:rPr>
                <w:b w:val="0"/>
                <w:color w:val="222222"/>
                <w:sz w:val="18"/>
              </w:rPr>
              <w:t>10</w:t>
            </w:r>
          </w:p>
        </w:tc>
        <w:tc>
          <w:tcPr>
            <w:tcW w:type="dxa" w:w="720"/>
            <w:shd w:fill="FFFFFF"/>
          </w:tcPr>
          <w:p>
            <w:pPr>
              <w:spacing w:after="60" w:before="60"/>
            </w:pPr>
            <w:r>
              <w:rPr>
                <w:b w:val="0"/>
                <w:color w:val="222222"/>
                <w:sz w:val="18"/>
              </w:rPr>
              <w:t>25</w:t>
            </w:r>
          </w:p>
        </w:tc>
        <w:tc>
          <w:tcPr>
            <w:tcW w:type="dxa" w:w="936"/>
            <w:shd w:fill="FFFFFF"/>
          </w:tcPr>
          <w:p>
            <w:pPr>
              <w:spacing w:after="60" w:before="60"/>
            </w:pPr>
            <w:r>
              <w:rPr>
                <w:b w:val="0"/>
                <w:color w:val="222222"/>
                <w:sz w:val="18"/>
              </w:rPr>
              <w:t>76</w:t>
            </w:r>
          </w:p>
        </w:tc>
        <w:tc>
          <w:tcPr>
            <w:tcW w:type="dxa" w:w="1512"/>
            <w:shd w:fill="FFFFFF"/>
          </w:tcPr>
          <w:p>
            <w:pPr>
              <w:spacing w:after="60" w:before="60"/>
            </w:pPr>
            <w:r>
              <w:rPr>
                <w:b w:val="0"/>
                <w:color w:val="222222"/>
                <w:sz w:val="18"/>
              </w:rPr>
              <w:t>16.59</w:t>
            </w:r>
          </w:p>
        </w:tc>
      </w:tr>
      <w:tr>
        <w:trPr>
          <w:cantSplit/>
        </w:trPr>
        <w:tc>
          <w:tcPr>
            <w:tcW w:type="dxa" w:w="1152"/>
            <w:shd w:fill="F1F6FA"/>
          </w:tcPr>
          <w:p>
            <w:pPr>
              <w:spacing w:after="60" w:before="60"/>
            </w:pPr>
            <w:r>
              <w:rPr>
                <w:b w:val="0"/>
                <w:color w:val="222222"/>
                <w:sz w:val="18"/>
              </w:rPr>
              <w:t>0.50</w:t>
            </w:r>
          </w:p>
        </w:tc>
        <w:tc>
          <w:tcPr>
            <w:tcW w:type="dxa" w:w="1224"/>
            <w:shd w:fill="F1F6FA"/>
          </w:tcPr>
          <w:p>
            <w:pPr>
              <w:spacing w:after="60" w:before="60"/>
            </w:pPr>
            <w:r>
              <w:rPr>
                <w:b w:val="0"/>
                <w:color w:val="222222"/>
                <w:sz w:val="18"/>
              </w:rPr>
              <w:t>0.6557</w:t>
            </w:r>
          </w:p>
        </w:tc>
        <w:tc>
          <w:tcPr>
            <w:tcW w:type="dxa" w:w="1224"/>
            <w:shd w:fill="F1F6FA"/>
          </w:tcPr>
          <w:p>
            <w:pPr>
              <w:spacing w:after="60" w:before="60"/>
            </w:pPr>
            <w:r>
              <w:rPr>
                <w:b w:val="0"/>
                <w:color w:val="222222"/>
                <w:sz w:val="18"/>
              </w:rPr>
              <w:t>0.8511</w:t>
            </w:r>
          </w:p>
        </w:tc>
        <w:tc>
          <w:tcPr>
            <w:tcW w:type="dxa" w:w="1224"/>
            <w:shd w:fill="F1F6FA"/>
          </w:tcPr>
          <w:p>
            <w:pPr>
              <w:spacing w:after="60" w:before="60"/>
            </w:pPr>
            <w:r>
              <w:rPr>
                <w:b w:val="0"/>
                <w:color w:val="222222"/>
                <w:sz w:val="18"/>
              </w:rPr>
              <w:t>0.7407</w:t>
            </w:r>
          </w:p>
        </w:tc>
        <w:tc>
          <w:tcPr>
            <w:tcW w:type="dxa" w:w="720"/>
            <w:shd w:fill="F1F6FA"/>
          </w:tcPr>
          <w:p>
            <w:pPr>
              <w:spacing w:after="60" w:before="60"/>
            </w:pPr>
            <w:r>
              <w:rPr>
                <w:b w:val="0"/>
                <w:color w:val="222222"/>
                <w:sz w:val="18"/>
              </w:rPr>
              <w:t>21</w:t>
            </w:r>
          </w:p>
        </w:tc>
        <w:tc>
          <w:tcPr>
            <w:tcW w:type="dxa" w:w="720"/>
            <w:shd w:fill="F1F6FA"/>
          </w:tcPr>
          <w:p>
            <w:pPr>
              <w:spacing w:after="60" w:before="60"/>
            </w:pPr>
            <w:r>
              <w:rPr>
                <w:b w:val="0"/>
                <w:color w:val="222222"/>
                <w:sz w:val="18"/>
              </w:rPr>
              <w:t>7</w:t>
            </w:r>
          </w:p>
        </w:tc>
        <w:tc>
          <w:tcPr>
            <w:tcW w:type="dxa" w:w="936"/>
            <w:shd w:fill="F1F6FA"/>
          </w:tcPr>
          <w:p>
            <w:pPr>
              <w:spacing w:after="60" w:before="60"/>
            </w:pPr>
            <w:r>
              <w:rPr>
                <w:b w:val="0"/>
                <w:color w:val="222222"/>
                <w:sz w:val="18"/>
              </w:rPr>
              <w:t>47</w:t>
            </w:r>
          </w:p>
        </w:tc>
        <w:tc>
          <w:tcPr>
            <w:tcW w:type="dxa" w:w="1512"/>
            <w:shd w:fill="F1F6FA"/>
          </w:tcPr>
          <w:p>
            <w:pPr>
              <w:spacing w:after="60" w:before="60"/>
            </w:pPr>
            <w:r>
              <w:rPr>
                <w:b w:val="0"/>
                <w:color w:val="222222"/>
                <w:sz w:val="18"/>
              </w:rPr>
              <w:t>24.78</w:t>
            </w:r>
          </w:p>
        </w:tc>
      </w:tr>
    </w:tbl>
    <w:p>
      <w:r>
        <w:t>El escenario 0.075 se identifica en desarrollo: recall OOF 0.9091 y precisión 0.4462. En test alcanza recall ≥0.90, pero exige 124 revisiones frente a 76 y reduce precisión a 0.4435. La meta conjunta sigue sin alcanzarse en la rejilla evaluada. Mantengo 0.20 por la decisión original de costo; no retoco la política con el test. Costo/100 = 100×(5FN+FP)/452: unidades didácticas, no pesos.</w:t>
      </w:r>
    </w:p>
    <w:p>
      <w:r>
        <w:br w:type="page"/>
      </w:r>
    </w:p>
    <w:p>
      <w:pPr>
        <w:pStyle w:val="Ttulo1"/>
      </w:pPr>
      <w:r>
        <w:t>Discriminación y calidad de las probabilidades</w:t>
      </w:r>
    </w:p>
    <w:p>
      <w:pPr>
        <w:keepNext/>
      </w:pPr>
      <w:r>
        <w:drawing>
          <wp:inline xmlns:a="http://schemas.openxmlformats.org/drawingml/2006/main" xmlns:pic="http://schemas.openxmlformats.org/drawingml/2006/picture">
            <wp:extent cx="5806440" cy="1916125"/>
            <wp:docPr id="7" name="Picture 7"/>
            <wp:cNvGraphicFramePr>
              <a:graphicFrameLocks noChangeAspect="1"/>
            </wp:cNvGraphicFramePr>
            <a:graphic>
              <a:graphicData uri="http://schemas.openxmlformats.org/drawingml/2006/picture">
                <pic:pic>
                  <pic:nvPicPr>
                    <pic:cNvPr id="0" name="roc_pr.png"/>
                    <pic:cNvPicPr/>
                  </pic:nvPicPr>
                  <pic:blipFill>
                    <a:blip r:embed="rId21"/>
                    <a:stretch>
                      <a:fillRect/>
                    </a:stretch>
                  </pic:blipFill>
                  <pic:spPr>
                    <a:xfrm>
                      <a:off x="0" y="0"/>
                      <a:ext cx="5806440" cy="1916125"/>
                    </a:xfrm>
                    <a:prstGeom prst="rect"/>
                  </pic:spPr>
                </pic:pic>
              </a:graphicData>
            </a:graphic>
          </wp:inline>
        </w:drawing>
      </w:r>
    </w:p>
    <w:p>
      <w:pPr>
        <w:keepNext/>
      </w:pPr>
      <w:r>
        <w:rPr>
          <w:i/>
          <w:sz w:val="18"/>
        </w:rPr>
        <w:t>Figura 2. Curvas ROC y precisión recall en test retrospectivo.</w:t>
      </w:r>
    </w:p>
    <w:p>
      <w:r>
        <w:t>La ROC relaciona recall y tasa de falsos positivos; AUC=0.9548 resume el ordenamiento de la SVM frente a 0.9229 de logística. No significa 95.48 % de aciertos ni rendimiento futuro. La PR muestra precisión frente a recall y hace más visible la carga de falsas alertas con prevalencia de 13.50 %. AP: 0.8468 para SVM y 0.7329 para logística; la línea base PR es 0.1350 (Figura 2).</w:t>
      </w:r>
    </w:p>
    <w:p>
      <w:pPr>
        <w:keepNext/>
      </w:pPr>
      <w:r>
        <w:drawing>
          <wp:inline xmlns:a="http://schemas.openxmlformats.org/drawingml/2006/main" xmlns:pic="http://schemas.openxmlformats.org/drawingml/2006/picture">
            <wp:extent cx="5029200" cy="2398542"/>
            <wp:docPr id="8" name="Picture 8"/>
            <wp:cNvGraphicFramePr>
              <a:graphicFrameLocks noChangeAspect="1"/>
            </wp:cNvGraphicFramePr>
            <a:graphic>
              <a:graphicData uri="http://schemas.openxmlformats.org/drawingml/2006/picture">
                <pic:pic>
                  <pic:nvPicPr>
                    <pic:cNvPr id="0" name="fiabilidad.png"/>
                    <pic:cNvPicPr/>
                  </pic:nvPicPr>
                  <pic:blipFill>
                    <a:blip r:embed="rId22"/>
                    <a:stretch>
                      <a:fillRect/>
                    </a:stretch>
                  </pic:blipFill>
                  <pic:spPr>
                    <a:xfrm>
                      <a:off x="0" y="0"/>
                      <a:ext cx="5029200" cy="2398542"/>
                    </a:xfrm>
                    <a:prstGeom prst="rect"/>
                  </pic:spPr>
                </pic:pic>
              </a:graphicData>
            </a:graphic>
          </wp:inline>
        </w:drawing>
      </w:r>
    </w:p>
    <w:p>
      <w:pPr>
        <w:keepNext/>
      </w:pPr>
      <w:r>
        <w:rPr>
          <w:i/>
          <w:sz w:val="18"/>
        </w:rPr>
        <w:t>Figura 3. Fiabilidad por ocho grupos de igual frecuencia en test.</w:t>
      </w:r>
    </w:p>
    <w:p>
      <w:r>
        <w:t>Brier es el promedio de (probabilidad−etiqueta)²: menor es mejor. SVM obtiene 0.0463 frente a 0.0740. Su probabilidad media es 0.1365 y la prevalencia 0.1350. Son indicios favorables, no una prueba de calibración perfecta: Brier también combina resolución y error de calibración, y la media global puede ocultar desajustes por segmento (Figura 3).</w:t>
      </w:r>
    </w:p>
    <w:p>
      <w:r>
        <w:t>Una probabilidad interpretable permite relacionar umbral y costos; aun así, el umbral operativo se valida con OOF y capacidad de revisión. Cambiarlo no altera ROC/AUC del mismo score. El explorador de Streamlit sobre test es ilustrativo, no una herramienta para optimizar esta entrega.</w:t>
      </w:r>
    </w:p>
    <w:p>
      <w:r>
        <w:br w:type="page"/>
      </w:r>
    </w:p>
    <w:p>
      <w:pPr>
        <w:pStyle w:val="Ttulo1"/>
      </w:pPr>
      <w:r>
        <w:t>Validación y significancia estadística</w:t>
      </w:r>
    </w:p>
    <w:p>
      <w:pPr>
        <w:keepNext/>
      </w:pPr>
      <w:r>
        <w:rPr>
          <w:i/>
          <w:sz w:val="18"/>
        </w:rPr>
        <w:t>Tabla 5. Desempeño de políticas y baselines en test</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448"/>
            <w:shd w:fill="004481"/>
          </w:tcPr>
          <w:p>
            <w:pPr>
              <w:spacing w:after="60" w:before="60"/>
            </w:pPr>
            <w:r>
              <w:rPr>
                <w:b/>
                <w:color w:val="FFFFFF"/>
                <w:sz w:val="18"/>
              </w:rPr>
              <w:t>Política</w:t>
            </w:r>
          </w:p>
        </w:tc>
        <w:tc>
          <w:tcPr>
            <w:tcW w:type="dxa" w:w="1382"/>
            <w:shd w:fill="004481"/>
          </w:tcPr>
          <w:p>
            <w:pPr>
              <w:spacing w:after="60" w:before="60"/>
            </w:pPr>
            <w:r>
              <w:rPr>
                <w:b/>
                <w:color w:val="FFFFFF"/>
                <w:sz w:val="18"/>
              </w:rPr>
              <w:t>Acc.</w:t>
            </w:r>
          </w:p>
        </w:tc>
        <w:tc>
          <w:tcPr>
            <w:tcW w:type="dxa" w:w="1382"/>
            <w:shd w:fill="004481"/>
          </w:tcPr>
          <w:p>
            <w:pPr>
              <w:spacing w:after="60" w:before="60"/>
            </w:pPr>
            <w:r>
              <w:rPr>
                <w:b/>
                <w:color w:val="FFFFFF"/>
                <w:sz w:val="18"/>
              </w:rPr>
              <w:t>Prec.</w:t>
            </w:r>
          </w:p>
        </w:tc>
        <w:tc>
          <w:tcPr>
            <w:tcW w:type="dxa" w:w="1382"/>
            <w:shd w:fill="004481"/>
          </w:tcPr>
          <w:p>
            <w:pPr>
              <w:spacing w:after="60" w:before="60"/>
            </w:pPr>
            <w:r>
              <w:rPr>
                <w:b/>
                <w:color w:val="FFFFFF"/>
                <w:sz w:val="18"/>
              </w:rPr>
              <w:t>Recall</w:t>
            </w:r>
          </w:p>
        </w:tc>
        <w:tc>
          <w:tcPr>
            <w:tcW w:type="dxa" w:w="1382"/>
            <w:shd w:fill="004481"/>
          </w:tcPr>
          <w:p>
            <w:pPr>
              <w:spacing w:after="60" w:before="60"/>
            </w:pPr>
            <w:r>
              <w:rPr>
                <w:b/>
                <w:color w:val="FFFFFF"/>
                <w:sz w:val="18"/>
              </w:rPr>
              <w:t>F1</w:t>
            </w:r>
          </w:p>
        </w:tc>
        <w:tc>
          <w:tcPr>
            <w:tcW w:type="dxa" w:w="1382"/>
            <w:shd w:fill="004481"/>
          </w:tcPr>
          <w:p>
            <w:pPr>
              <w:spacing w:after="60" w:before="60"/>
            </w:pPr>
            <w:r>
              <w:rPr>
                <w:b/>
                <w:color w:val="FFFFFF"/>
                <w:sz w:val="18"/>
              </w:rPr>
              <w:t>AUC</w:t>
            </w:r>
          </w:p>
        </w:tc>
      </w:tr>
      <w:tr>
        <w:trPr>
          <w:cantSplit/>
        </w:trPr>
        <w:tc>
          <w:tcPr>
            <w:tcW w:type="dxa" w:w="2448"/>
            <w:shd w:fill="F1F6FA"/>
          </w:tcPr>
          <w:p>
            <w:pPr>
              <w:spacing w:after="60" w:before="60"/>
            </w:pPr>
            <w:r>
              <w:rPr>
                <w:b w:val="0"/>
                <w:color w:val="222222"/>
                <w:sz w:val="18"/>
              </w:rPr>
              <w:t>SVM 0.20</w:t>
            </w:r>
          </w:p>
        </w:tc>
        <w:tc>
          <w:tcPr>
            <w:tcW w:type="dxa" w:w="1382"/>
            <w:shd w:fill="F1F6FA"/>
          </w:tcPr>
          <w:p>
            <w:pPr>
              <w:spacing w:after="60" w:before="60"/>
            </w:pPr>
            <w:r>
              <w:rPr>
                <w:b w:val="0"/>
                <w:color w:val="222222"/>
                <w:sz w:val="18"/>
              </w:rPr>
              <w:t>0.9226</w:t>
            </w:r>
          </w:p>
        </w:tc>
        <w:tc>
          <w:tcPr>
            <w:tcW w:type="dxa" w:w="1382"/>
            <w:shd w:fill="F1F6FA"/>
          </w:tcPr>
          <w:p>
            <w:pPr>
              <w:spacing w:after="60" w:before="60"/>
            </w:pPr>
            <w:r>
              <w:rPr>
                <w:b w:val="0"/>
                <w:color w:val="222222"/>
                <w:sz w:val="18"/>
              </w:rPr>
              <w:t>0.6711</w:t>
            </w:r>
          </w:p>
        </w:tc>
        <w:tc>
          <w:tcPr>
            <w:tcW w:type="dxa" w:w="1382"/>
            <w:shd w:fill="F1F6FA"/>
          </w:tcPr>
          <w:p>
            <w:pPr>
              <w:spacing w:after="60" w:before="60"/>
            </w:pPr>
            <w:r>
              <w:rPr>
                <w:b w:val="0"/>
                <w:color w:val="222222"/>
                <w:sz w:val="18"/>
              </w:rPr>
              <w:t>0.8361</w:t>
            </w:r>
          </w:p>
        </w:tc>
        <w:tc>
          <w:tcPr>
            <w:tcW w:type="dxa" w:w="1382"/>
            <w:shd w:fill="F1F6FA"/>
          </w:tcPr>
          <w:p>
            <w:pPr>
              <w:spacing w:after="60" w:before="60"/>
            </w:pPr>
            <w:r>
              <w:rPr>
                <w:b w:val="0"/>
                <w:color w:val="222222"/>
                <w:sz w:val="18"/>
              </w:rPr>
              <w:t>0.7445</w:t>
            </w:r>
          </w:p>
        </w:tc>
        <w:tc>
          <w:tcPr>
            <w:tcW w:type="dxa" w:w="1382"/>
            <w:shd w:fill="F1F6FA"/>
          </w:tcPr>
          <w:p>
            <w:pPr>
              <w:spacing w:after="60" w:before="60"/>
            </w:pPr>
            <w:r>
              <w:rPr>
                <w:b w:val="0"/>
                <w:color w:val="222222"/>
                <w:sz w:val="18"/>
              </w:rPr>
              <w:t>0.9548</w:t>
            </w:r>
          </w:p>
        </w:tc>
      </w:tr>
      <w:tr>
        <w:trPr>
          <w:cantSplit/>
        </w:trPr>
        <w:tc>
          <w:tcPr>
            <w:tcW w:type="dxa" w:w="2448"/>
            <w:shd w:fill="FFFFFF"/>
          </w:tcPr>
          <w:p>
            <w:pPr>
              <w:spacing w:after="60" w:before="60"/>
            </w:pPr>
            <w:r>
              <w:rPr>
                <w:b w:val="0"/>
                <w:color w:val="222222"/>
                <w:sz w:val="18"/>
              </w:rPr>
              <w:t>SVM 0.50</w:t>
            </w:r>
          </w:p>
        </w:tc>
        <w:tc>
          <w:tcPr>
            <w:tcW w:type="dxa" w:w="1382"/>
            <w:shd w:fill="FFFFFF"/>
          </w:tcPr>
          <w:p>
            <w:pPr>
              <w:spacing w:after="60" w:before="60"/>
            </w:pPr>
            <w:r>
              <w:rPr>
                <w:b w:val="0"/>
                <w:color w:val="222222"/>
                <w:sz w:val="18"/>
              </w:rPr>
              <w:t>0.9381</w:t>
            </w:r>
          </w:p>
        </w:tc>
        <w:tc>
          <w:tcPr>
            <w:tcW w:type="dxa" w:w="1382"/>
            <w:shd w:fill="FFFFFF"/>
          </w:tcPr>
          <w:p>
            <w:pPr>
              <w:spacing w:after="60" w:before="60"/>
            </w:pPr>
            <w:r>
              <w:rPr>
                <w:b w:val="0"/>
                <w:color w:val="222222"/>
                <w:sz w:val="18"/>
              </w:rPr>
              <w:t>0.8511</w:t>
            </w:r>
          </w:p>
        </w:tc>
        <w:tc>
          <w:tcPr>
            <w:tcW w:type="dxa" w:w="1382"/>
            <w:shd w:fill="FFFFFF"/>
          </w:tcPr>
          <w:p>
            <w:pPr>
              <w:spacing w:after="60" w:before="60"/>
            </w:pPr>
            <w:r>
              <w:rPr>
                <w:b w:val="0"/>
                <w:color w:val="222222"/>
                <w:sz w:val="18"/>
              </w:rPr>
              <w:t>0.6557</w:t>
            </w:r>
          </w:p>
        </w:tc>
        <w:tc>
          <w:tcPr>
            <w:tcW w:type="dxa" w:w="1382"/>
            <w:shd w:fill="FFFFFF"/>
          </w:tcPr>
          <w:p>
            <w:pPr>
              <w:spacing w:after="60" w:before="60"/>
            </w:pPr>
            <w:r>
              <w:rPr>
                <w:b w:val="0"/>
                <w:color w:val="222222"/>
                <w:sz w:val="18"/>
              </w:rPr>
              <w:t>0.7407</w:t>
            </w:r>
          </w:p>
        </w:tc>
        <w:tc>
          <w:tcPr>
            <w:tcW w:type="dxa" w:w="1382"/>
            <w:shd w:fill="FFFFFF"/>
          </w:tcPr>
          <w:p>
            <w:pPr>
              <w:spacing w:after="60" w:before="60"/>
            </w:pPr>
            <w:r>
              <w:rPr>
                <w:b w:val="0"/>
                <w:color w:val="222222"/>
                <w:sz w:val="18"/>
              </w:rPr>
              <w:t>0.9548</w:t>
            </w:r>
          </w:p>
        </w:tc>
      </w:tr>
      <w:tr>
        <w:trPr>
          <w:cantSplit/>
        </w:trPr>
        <w:tc>
          <w:tcPr>
            <w:tcW w:type="dxa" w:w="2448"/>
            <w:shd w:fill="F1F6FA"/>
          </w:tcPr>
          <w:p>
            <w:pPr>
              <w:spacing w:after="60" w:before="60"/>
            </w:pPr>
            <w:r>
              <w:rPr>
                <w:b w:val="0"/>
                <w:color w:val="222222"/>
                <w:sz w:val="18"/>
              </w:rPr>
              <w:t>Logística 0.125</w:t>
            </w:r>
          </w:p>
        </w:tc>
        <w:tc>
          <w:tcPr>
            <w:tcW w:type="dxa" w:w="1382"/>
            <w:shd w:fill="F1F6FA"/>
          </w:tcPr>
          <w:p>
            <w:pPr>
              <w:spacing w:after="60" w:before="60"/>
            </w:pPr>
            <w:r>
              <w:rPr>
                <w:b w:val="0"/>
                <w:color w:val="222222"/>
                <w:sz w:val="18"/>
              </w:rPr>
              <w:t>0.8053</w:t>
            </w:r>
          </w:p>
        </w:tc>
        <w:tc>
          <w:tcPr>
            <w:tcW w:type="dxa" w:w="1382"/>
            <w:shd w:fill="F1F6FA"/>
          </w:tcPr>
          <w:p>
            <w:pPr>
              <w:spacing w:after="60" w:before="60"/>
            </w:pPr>
            <w:r>
              <w:rPr>
                <w:b w:val="0"/>
                <w:color w:val="222222"/>
                <w:sz w:val="18"/>
              </w:rPr>
              <w:t>0.3969</w:t>
            </w:r>
          </w:p>
        </w:tc>
        <w:tc>
          <w:tcPr>
            <w:tcW w:type="dxa" w:w="1382"/>
            <w:shd w:fill="F1F6FA"/>
          </w:tcPr>
          <w:p>
            <w:pPr>
              <w:spacing w:after="60" w:before="60"/>
            </w:pPr>
            <w:r>
              <w:rPr>
                <w:b w:val="0"/>
                <w:color w:val="222222"/>
                <w:sz w:val="18"/>
              </w:rPr>
              <w:t>0.8525</w:t>
            </w:r>
          </w:p>
        </w:tc>
        <w:tc>
          <w:tcPr>
            <w:tcW w:type="dxa" w:w="1382"/>
            <w:shd w:fill="F1F6FA"/>
          </w:tcPr>
          <w:p>
            <w:pPr>
              <w:spacing w:after="60" w:before="60"/>
            </w:pPr>
            <w:r>
              <w:rPr>
                <w:b w:val="0"/>
                <w:color w:val="222222"/>
                <w:sz w:val="18"/>
              </w:rPr>
              <w:t>0.5417</w:t>
            </w:r>
          </w:p>
        </w:tc>
        <w:tc>
          <w:tcPr>
            <w:tcW w:type="dxa" w:w="1382"/>
            <w:shd w:fill="F1F6FA"/>
          </w:tcPr>
          <w:p>
            <w:pPr>
              <w:spacing w:after="60" w:before="60"/>
            </w:pPr>
            <w:r>
              <w:rPr>
                <w:b w:val="0"/>
                <w:color w:val="222222"/>
                <w:sz w:val="18"/>
              </w:rPr>
              <w:t>0.9229</w:t>
            </w:r>
          </w:p>
        </w:tc>
      </w:tr>
      <w:tr>
        <w:trPr>
          <w:cantSplit/>
        </w:trPr>
        <w:tc>
          <w:tcPr>
            <w:tcW w:type="dxa" w:w="2448"/>
            <w:shd w:fill="FFFFFF"/>
          </w:tcPr>
          <w:p>
            <w:pPr>
              <w:spacing w:after="60" w:before="60"/>
            </w:pPr>
            <w:r>
              <w:rPr>
                <w:b w:val="0"/>
                <w:color w:val="222222"/>
                <w:sz w:val="18"/>
              </w:rPr>
              <w:t>Logística 0.50</w:t>
            </w:r>
          </w:p>
        </w:tc>
        <w:tc>
          <w:tcPr>
            <w:tcW w:type="dxa" w:w="1382"/>
            <w:shd w:fill="FFFFFF"/>
          </w:tcPr>
          <w:p>
            <w:pPr>
              <w:spacing w:after="60" w:before="60"/>
            </w:pPr>
            <w:r>
              <w:rPr>
                <w:b w:val="0"/>
                <w:color w:val="222222"/>
                <w:sz w:val="18"/>
              </w:rPr>
              <w:t>0.9004</w:t>
            </w:r>
          </w:p>
        </w:tc>
        <w:tc>
          <w:tcPr>
            <w:tcW w:type="dxa" w:w="1382"/>
            <w:shd w:fill="FFFFFF"/>
          </w:tcPr>
          <w:p>
            <w:pPr>
              <w:spacing w:after="60" w:before="60"/>
            </w:pPr>
            <w:r>
              <w:rPr>
                <w:b w:val="0"/>
                <w:color w:val="222222"/>
                <w:sz w:val="18"/>
              </w:rPr>
              <w:t>0.9444</w:t>
            </w:r>
          </w:p>
        </w:tc>
        <w:tc>
          <w:tcPr>
            <w:tcW w:type="dxa" w:w="1382"/>
            <w:shd w:fill="FFFFFF"/>
          </w:tcPr>
          <w:p>
            <w:pPr>
              <w:spacing w:after="60" w:before="60"/>
            </w:pPr>
            <w:r>
              <w:rPr>
                <w:b w:val="0"/>
                <w:color w:val="222222"/>
                <w:sz w:val="18"/>
              </w:rPr>
              <w:t>0.2787</w:t>
            </w:r>
          </w:p>
        </w:tc>
        <w:tc>
          <w:tcPr>
            <w:tcW w:type="dxa" w:w="1382"/>
            <w:shd w:fill="FFFFFF"/>
          </w:tcPr>
          <w:p>
            <w:pPr>
              <w:spacing w:after="60" w:before="60"/>
            </w:pPr>
            <w:r>
              <w:rPr>
                <w:b w:val="0"/>
                <w:color w:val="222222"/>
                <w:sz w:val="18"/>
              </w:rPr>
              <w:t>0.4304</w:t>
            </w:r>
          </w:p>
        </w:tc>
        <w:tc>
          <w:tcPr>
            <w:tcW w:type="dxa" w:w="1382"/>
            <w:shd w:fill="FFFFFF"/>
          </w:tcPr>
          <w:p>
            <w:pPr>
              <w:spacing w:after="60" w:before="60"/>
            </w:pPr>
            <w:r>
              <w:rPr>
                <w:b w:val="0"/>
                <w:color w:val="222222"/>
                <w:sz w:val="18"/>
              </w:rPr>
              <w:t>0.9229</w:t>
            </w:r>
          </w:p>
        </w:tc>
      </w:tr>
      <w:tr>
        <w:trPr>
          <w:cantSplit/>
        </w:trPr>
        <w:tc>
          <w:tcPr>
            <w:tcW w:type="dxa" w:w="2448"/>
            <w:shd w:fill="F1F6FA"/>
          </w:tcPr>
          <w:p>
            <w:pPr>
              <w:spacing w:after="60" w:before="60"/>
            </w:pPr>
            <w:r>
              <w:rPr>
                <w:b w:val="0"/>
                <w:color w:val="222222"/>
                <w:sz w:val="18"/>
              </w:rPr>
              <w:t>Mayoría</w:t>
            </w:r>
          </w:p>
        </w:tc>
        <w:tc>
          <w:tcPr>
            <w:tcW w:type="dxa" w:w="1382"/>
            <w:shd w:fill="F1F6FA"/>
          </w:tcPr>
          <w:p>
            <w:pPr>
              <w:spacing w:after="60" w:before="60"/>
            </w:pPr>
            <w:r>
              <w:rPr>
                <w:b w:val="0"/>
                <w:color w:val="222222"/>
                <w:sz w:val="18"/>
              </w:rPr>
              <w:t>0.8650</w:t>
            </w:r>
          </w:p>
        </w:tc>
        <w:tc>
          <w:tcPr>
            <w:tcW w:type="dxa" w:w="1382"/>
            <w:shd w:fill="F1F6FA"/>
          </w:tcPr>
          <w:p>
            <w:pPr>
              <w:spacing w:after="60" w:before="60"/>
            </w:pPr>
            <w:r>
              <w:rPr>
                <w:b w:val="0"/>
                <w:color w:val="222222"/>
                <w:sz w:val="18"/>
              </w:rPr>
              <w:t>0</w:t>
            </w:r>
          </w:p>
        </w:tc>
        <w:tc>
          <w:tcPr>
            <w:tcW w:type="dxa" w:w="1382"/>
            <w:shd w:fill="F1F6FA"/>
          </w:tcPr>
          <w:p>
            <w:pPr>
              <w:spacing w:after="60" w:before="60"/>
            </w:pPr>
            <w:r>
              <w:rPr>
                <w:b w:val="0"/>
                <w:color w:val="222222"/>
                <w:sz w:val="18"/>
              </w:rPr>
              <w:t>0</w:t>
            </w:r>
          </w:p>
        </w:tc>
        <w:tc>
          <w:tcPr>
            <w:tcW w:type="dxa" w:w="1382"/>
            <w:shd w:fill="F1F6FA"/>
          </w:tcPr>
          <w:p>
            <w:pPr>
              <w:spacing w:after="60" w:before="60"/>
            </w:pPr>
            <w:r>
              <w:rPr>
                <w:b w:val="0"/>
                <w:color w:val="222222"/>
                <w:sz w:val="18"/>
              </w:rPr>
              <w:t>0</w:t>
            </w:r>
          </w:p>
        </w:tc>
        <w:tc>
          <w:tcPr>
            <w:tcW w:type="dxa" w:w="1382"/>
            <w:shd w:fill="F1F6FA"/>
          </w:tcPr>
          <w:p>
            <w:pPr>
              <w:spacing w:after="60" w:before="60"/>
            </w:pPr>
            <w:r>
              <w:rPr>
                <w:b w:val="0"/>
                <w:color w:val="222222"/>
                <w:sz w:val="18"/>
              </w:rPr>
              <w:t>0.50</w:t>
            </w:r>
          </w:p>
        </w:tc>
      </w:tr>
      <w:tr>
        <w:trPr>
          <w:cantSplit/>
        </w:trPr>
        <w:tc>
          <w:tcPr>
            <w:tcW w:type="dxa" w:w="2448"/>
            <w:shd w:fill="FFFFFF"/>
          </w:tcPr>
          <w:p>
            <w:pPr>
              <w:spacing w:after="60" w:before="60"/>
            </w:pPr>
            <w:r>
              <w:rPr>
                <w:b w:val="0"/>
                <w:color w:val="222222"/>
                <w:sz w:val="18"/>
              </w:rPr>
              <w:t>Revisar todas</w:t>
            </w:r>
          </w:p>
        </w:tc>
        <w:tc>
          <w:tcPr>
            <w:tcW w:type="dxa" w:w="1382"/>
            <w:shd w:fill="FFFFFF"/>
          </w:tcPr>
          <w:p>
            <w:pPr>
              <w:spacing w:after="60" w:before="60"/>
            </w:pPr>
            <w:r>
              <w:rPr>
                <w:b w:val="0"/>
                <w:color w:val="222222"/>
                <w:sz w:val="18"/>
              </w:rPr>
              <w:t>0.1350</w:t>
            </w:r>
          </w:p>
        </w:tc>
        <w:tc>
          <w:tcPr>
            <w:tcW w:type="dxa" w:w="1382"/>
            <w:shd w:fill="FFFFFF"/>
          </w:tcPr>
          <w:p>
            <w:pPr>
              <w:spacing w:after="60" w:before="60"/>
            </w:pPr>
            <w:r>
              <w:rPr>
                <w:b w:val="0"/>
                <w:color w:val="222222"/>
                <w:sz w:val="18"/>
              </w:rPr>
              <w:t>0.1350</w:t>
            </w:r>
          </w:p>
        </w:tc>
        <w:tc>
          <w:tcPr>
            <w:tcW w:type="dxa" w:w="1382"/>
            <w:shd w:fill="FFFFFF"/>
          </w:tcPr>
          <w:p>
            <w:pPr>
              <w:spacing w:after="60" w:before="60"/>
            </w:pPr>
            <w:r>
              <w:rPr>
                <w:b w:val="0"/>
                <w:color w:val="222222"/>
                <w:sz w:val="18"/>
              </w:rPr>
              <w:t>1.0000</w:t>
            </w:r>
          </w:p>
        </w:tc>
        <w:tc>
          <w:tcPr>
            <w:tcW w:type="dxa" w:w="1382"/>
            <w:shd w:fill="FFFFFF"/>
          </w:tcPr>
          <w:p>
            <w:pPr>
              <w:spacing w:after="60" w:before="60"/>
            </w:pPr>
            <w:r>
              <w:rPr>
                <w:b w:val="0"/>
                <w:color w:val="222222"/>
                <w:sz w:val="18"/>
              </w:rPr>
              <w:t>0.2378</w:t>
            </w:r>
          </w:p>
        </w:tc>
        <w:tc>
          <w:tcPr>
            <w:tcW w:type="dxa" w:w="1382"/>
            <w:shd w:fill="FFFFFF"/>
          </w:tcPr>
          <w:p>
            <w:pPr>
              <w:spacing w:after="60" w:before="60"/>
            </w:pPr>
            <w:r>
              <w:rPr>
                <w:b w:val="0"/>
                <w:color w:val="222222"/>
                <w:sz w:val="18"/>
              </w:rPr>
              <w:t>0.50</w:t>
            </w:r>
          </w:p>
        </w:tc>
      </w:tr>
    </w:tbl>
    <w:p>
      <w:r>
        <w:t>El baseline mayoritario omite las 61 negativas pese a su exactitud de 86.5 %. Revisar todas implica 452 revisiones y precisión de 13.5 %. Por eso justifico recall, precisión y costo, no sólo accuracy (Tabla 5).</w:t>
      </w:r>
    </w:p>
    <w:p>
      <w:pPr>
        <w:keepNext/>
      </w:pPr>
      <w:r>
        <w:rPr>
          <w:i/>
          <w:sz w:val="18"/>
        </w:rPr>
        <w:t>Tabla 6. Cinco folds externos media ± desviación estándar</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872"/>
            <w:shd w:fill="004481"/>
          </w:tcPr>
          <w:p>
            <w:pPr>
              <w:spacing w:after="60" w:before="60"/>
            </w:pPr>
            <w:r>
              <w:rPr>
                <w:b/>
                <w:color w:val="FFFFFF"/>
                <w:sz w:val="18"/>
              </w:rPr>
              <w:t>Métrica</w:t>
            </w:r>
          </w:p>
        </w:tc>
        <w:tc>
          <w:tcPr>
            <w:tcW w:type="dxa" w:w="3744"/>
            <w:shd w:fill="004481"/>
          </w:tcPr>
          <w:p>
            <w:pPr>
              <w:spacing w:after="60" w:before="60"/>
            </w:pPr>
            <w:r>
              <w:rPr>
                <w:b/>
                <w:color w:val="FFFFFF"/>
                <w:sz w:val="18"/>
              </w:rPr>
              <w:t>Logística</w:t>
            </w:r>
          </w:p>
        </w:tc>
        <w:tc>
          <w:tcPr>
            <w:tcW w:type="dxa" w:w="3744"/>
            <w:shd w:fill="004481"/>
          </w:tcPr>
          <w:p>
            <w:pPr>
              <w:spacing w:after="60" w:before="60"/>
            </w:pPr>
            <w:r>
              <w:rPr>
                <w:b/>
                <w:color w:val="FFFFFF"/>
                <w:sz w:val="18"/>
              </w:rPr>
              <w:t>SVM calibrada</w:t>
            </w:r>
          </w:p>
        </w:tc>
      </w:tr>
      <w:tr>
        <w:trPr>
          <w:cantSplit/>
        </w:trPr>
        <w:tc>
          <w:tcPr>
            <w:tcW w:type="dxa" w:w="1872"/>
            <w:shd w:fill="F1F6FA"/>
          </w:tcPr>
          <w:p>
            <w:pPr>
              <w:spacing w:after="60" w:before="60"/>
            </w:pPr>
            <w:r>
              <w:rPr>
                <w:b w:val="0"/>
                <w:color w:val="222222"/>
                <w:sz w:val="18"/>
              </w:rPr>
              <w:t>Accuracy</w:t>
            </w:r>
          </w:p>
        </w:tc>
        <w:tc>
          <w:tcPr>
            <w:tcW w:type="dxa" w:w="3744"/>
            <w:shd w:fill="F1F6FA"/>
          </w:tcPr>
          <w:p>
            <w:pPr>
              <w:spacing w:after="60" w:before="60"/>
            </w:pPr>
            <w:r>
              <w:rPr>
                <w:b w:val="0"/>
                <w:color w:val="222222"/>
                <w:sz w:val="18"/>
              </w:rPr>
              <w:t>0.8401 ± 0.0141</w:t>
            </w:r>
          </w:p>
        </w:tc>
        <w:tc>
          <w:tcPr>
            <w:tcW w:type="dxa" w:w="3744"/>
            <w:shd w:fill="F1F6FA"/>
          </w:tcPr>
          <w:p>
            <w:pPr>
              <w:spacing w:after="60" w:before="60"/>
            </w:pPr>
            <w:r>
              <w:rPr>
                <w:b w:val="0"/>
                <w:color w:val="222222"/>
                <w:sz w:val="18"/>
              </w:rPr>
              <w:t>0.9148 ± 0.0224</w:t>
            </w:r>
          </w:p>
        </w:tc>
      </w:tr>
      <w:tr>
        <w:trPr>
          <w:cantSplit/>
        </w:trPr>
        <w:tc>
          <w:tcPr>
            <w:tcW w:type="dxa" w:w="1872"/>
            <w:shd w:fill="FFFFFF"/>
          </w:tcPr>
          <w:p>
            <w:pPr>
              <w:spacing w:after="60" w:before="60"/>
            </w:pPr>
            <w:r>
              <w:rPr>
                <w:b w:val="0"/>
                <w:color w:val="222222"/>
                <w:sz w:val="18"/>
              </w:rPr>
              <w:t>Precisión</w:t>
            </w:r>
          </w:p>
        </w:tc>
        <w:tc>
          <w:tcPr>
            <w:tcW w:type="dxa" w:w="3744"/>
            <w:shd w:fill="FFFFFF"/>
          </w:tcPr>
          <w:p>
            <w:pPr>
              <w:spacing w:after="60" w:before="60"/>
            </w:pPr>
            <w:r>
              <w:rPr>
                <w:b w:val="0"/>
                <w:color w:val="222222"/>
                <w:sz w:val="18"/>
              </w:rPr>
              <w:t>0.4465 ± 0.0270</w:t>
            </w:r>
          </w:p>
        </w:tc>
        <w:tc>
          <w:tcPr>
            <w:tcW w:type="dxa" w:w="3744"/>
            <w:shd w:fill="FFFFFF"/>
          </w:tcPr>
          <w:p>
            <w:pPr>
              <w:spacing w:after="60" w:before="60"/>
            </w:pPr>
            <w:r>
              <w:rPr>
                <w:b w:val="0"/>
                <w:color w:val="222222"/>
                <w:sz w:val="18"/>
              </w:rPr>
              <w:t>0.6477 ± 0.0758</w:t>
            </w:r>
          </w:p>
        </w:tc>
      </w:tr>
      <w:tr>
        <w:trPr>
          <w:cantSplit/>
        </w:trPr>
        <w:tc>
          <w:tcPr>
            <w:tcW w:type="dxa" w:w="1872"/>
            <w:shd w:fill="F1F6FA"/>
          </w:tcPr>
          <w:p>
            <w:pPr>
              <w:spacing w:after="60" w:before="60"/>
            </w:pPr>
            <w:r>
              <w:rPr>
                <w:b w:val="0"/>
                <w:color w:val="222222"/>
                <w:sz w:val="18"/>
              </w:rPr>
              <w:t>Recall</w:t>
            </w:r>
          </w:p>
        </w:tc>
        <w:tc>
          <w:tcPr>
            <w:tcW w:type="dxa" w:w="3744"/>
            <w:shd w:fill="F1F6FA"/>
          </w:tcPr>
          <w:p>
            <w:pPr>
              <w:spacing w:after="60" w:before="60"/>
            </w:pPr>
            <w:r>
              <w:rPr>
                <w:b w:val="0"/>
                <w:color w:val="222222"/>
                <w:sz w:val="18"/>
              </w:rPr>
              <w:t>0.8066 ± 0.1064</w:t>
            </w:r>
          </w:p>
        </w:tc>
        <w:tc>
          <w:tcPr>
            <w:tcW w:type="dxa" w:w="3744"/>
            <w:shd w:fill="F1F6FA"/>
          </w:tcPr>
          <w:p>
            <w:pPr>
              <w:spacing w:after="60" w:before="60"/>
            </w:pPr>
            <w:r>
              <w:rPr>
                <w:b w:val="0"/>
                <w:color w:val="222222"/>
                <w:sz w:val="18"/>
              </w:rPr>
              <w:t>0.8268 ± 0.0580</w:t>
            </w:r>
          </w:p>
        </w:tc>
      </w:tr>
      <w:tr>
        <w:trPr>
          <w:cantSplit/>
        </w:trPr>
        <w:tc>
          <w:tcPr>
            <w:tcW w:type="dxa" w:w="1872"/>
            <w:shd w:fill="FFFFFF"/>
          </w:tcPr>
          <w:p>
            <w:pPr>
              <w:spacing w:after="60" w:before="60"/>
            </w:pPr>
            <w:r>
              <w:rPr>
                <w:b w:val="0"/>
                <w:color w:val="222222"/>
                <w:sz w:val="18"/>
              </w:rPr>
              <w:t>F1</w:t>
            </w:r>
          </w:p>
        </w:tc>
        <w:tc>
          <w:tcPr>
            <w:tcW w:type="dxa" w:w="3744"/>
            <w:shd w:fill="FFFFFF"/>
          </w:tcPr>
          <w:p>
            <w:pPr>
              <w:spacing w:after="60" w:before="60"/>
            </w:pPr>
            <w:r>
              <w:rPr>
                <w:b w:val="0"/>
                <w:color w:val="222222"/>
                <w:sz w:val="18"/>
              </w:rPr>
              <w:t>0.5731 ± 0.0428</w:t>
            </w:r>
          </w:p>
        </w:tc>
        <w:tc>
          <w:tcPr>
            <w:tcW w:type="dxa" w:w="3744"/>
            <w:shd w:fill="FFFFFF"/>
          </w:tcPr>
          <w:p>
            <w:pPr>
              <w:spacing w:after="60" w:before="60"/>
            </w:pPr>
            <w:r>
              <w:rPr>
                <w:b w:val="0"/>
                <w:color w:val="222222"/>
                <w:sz w:val="18"/>
              </w:rPr>
              <w:t>0.7242 ± 0.0585</w:t>
            </w:r>
          </w:p>
        </w:tc>
      </w:tr>
      <w:tr>
        <w:trPr>
          <w:cantSplit/>
        </w:trPr>
        <w:tc>
          <w:tcPr>
            <w:tcW w:type="dxa" w:w="1872"/>
            <w:shd w:fill="F1F6FA"/>
          </w:tcPr>
          <w:p>
            <w:pPr>
              <w:spacing w:after="60" w:before="60"/>
            </w:pPr>
            <w:r>
              <w:rPr>
                <w:b w:val="0"/>
                <w:color w:val="222222"/>
                <w:sz w:val="18"/>
              </w:rPr>
              <w:t>AUC</w:t>
            </w:r>
          </w:p>
        </w:tc>
        <w:tc>
          <w:tcPr>
            <w:tcW w:type="dxa" w:w="3744"/>
            <w:shd w:fill="F1F6FA"/>
          </w:tcPr>
          <w:p>
            <w:pPr>
              <w:spacing w:after="60" w:before="60"/>
            </w:pPr>
            <w:r>
              <w:rPr>
                <w:b w:val="0"/>
                <w:color w:val="222222"/>
                <w:sz w:val="18"/>
              </w:rPr>
              <w:t>0.9128 ± 0.0347</w:t>
            </w:r>
          </w:p>
        </w:tc>
        <w:tc>
          <w:tcPr>
            <w:tcW w:type="dxa" w:w="3744"/>
            <w:shd w:fill="F1F6FA"/>
          </w:tcPr>
          <w:p>
            <w:pPr>
              <w:spacing w:after="60" w:before="60"/>
            </w:pPr>
            <w:r>
              <w:rPr>
                <w:b w:val="0"/>
                <w:color w:val="222222"/>
                <w:sz w:val="18"/>
              </w:rPr>
              <w:t>0.9431 ± 0.0313</w:t>
            </w:r>
          </w:p>
        </w:tc>
      </w:tr>
      <w:tr>
        <w:trPr>
          <w:cantSplit/>
        </w:trPr>
        <w:tc>
          <w:tcPr>
            <w:tcW w:type="dxa" w:w="1872"/>
            <w:shd w:fill="FFFFFF"/>
          </w:tcPr>
          <w:p>
            <w:pPr>
              <w:spacing w:after="60" w:before="60"/>
            </w:pPr>
            <w:r>
              <w:rPr>
                <w:b w:val="0"/>
                <w:color w:val="222222"/>
                <w:sz w:val="18"/>
              </w:rPr>
              <w:t>Costo/100</w:t>
            </w:r>
          </w:p>
        </w:tc>
        <w:tc>
          <w:tcPr>
            <w:tcW w:type="dxa" w:w="3744"/>
            <w:shd w:fill="FFFFFF"/>
          </w:tcPr>
          <w:p>
            <w:pPr>
              <w:spacing w:after="60" w:before="60"/>
            </w:pPr>
            <w:r>
              <w:rPr>
                <w:b w:val="0"/>
                <w:color w:val="222222"/>
                <w:sz w:val="18"/>
              </w:rPr>
              <w:t>26.3905 ± 6.2561</w:t>
            </w:r>
          </w:p>
        </w:tc>
        <w:tc>
          <w:tcPr>
            <w:tcW w:type="dxa" w:w="3744"/>
            <w:shd w:fill="FFFFFF"/>
          </w:tcPr>
          <w:p>
            <w:pPr>
              <w:spacing w:after="60" w:before="60"/>
            </w:pPr>
            <w:r>
              <w:rPr>
                <w:b w:val="0"/>
                <w:color w:val="222222"/>
                <w:sz w:val="18"/>
              </w:rPr>
              <w:t>17.8156 ± 4.5212</w:t>
            </w:r>
          </w:p>
        </w:tc>
      </w:tr>
    </w:tbl>
    <w:p>
      <w:r>
        <w:t>SVM tiene menor costo medio externo (Tabla 6). Las dispersiones entre folds no son IC. Bootstrap estratificado pareado, 2,000 repeticiones y semilla 20261022: IC95 % AUC SVM [0.9284, 0.9761], F1 [0.6715, 0.8120] y aumento de recall al bajar 0.50→0.20 de 18.03 puntos, IC [8.20, 27.87].</w:t>
      </w:r>
    </w:p>
    <w:p>
      <w:r>
        <w:t>Entre algoritmos, ΔAUC SVM−logística=0.0319, IC95 % [0.0206, 0.0451], excluye cero. La cola bootstrap bilateral corregida es 0.0009995; la reporto como cola empírica, no como prueba nula centrada. McNemar exacto entre políticas da 54 aciertos sólo SVM frente a 1 sólo logística, p≈3.1×10⁻¹⁵. Entre umbrales de SVM da 18 frente a 11, p=0.2649: no rechazo igualdad de exactitud; eso no contradice mayor recall (Virtanen et al., 2020).</w:t>
      </w:r>
    </w:p>
    <w:p>
      <w:r>
        <w:t>Son análisis exploratorios condicionales al mismo test de Actividad 5, sin corrección por multiplicidad ni incertidumbre de reentrenamiento. Favorecen a SVM en este conjunto; no sustituyen validación prospectiva externa. NumPy sostiene los remuestreos reproducibles (Harris et al., 2020).</w:t>
      </w:r>
    </w:p>
    <w:p>
      <w:r>
        <w:br w:type="page"/>
      </w:r>
    </w:p>
    <w:p>
      <w:pPr>
        <w:pStyle w:val="Ttulo1"/>
      </w:pPr>
      <w:r>
        <w:t>Prueba A B simulada y alcance causal</w:t>
      </w:r>
    </w:p>
    <w:p>
      <w:r>
        <w:t>Asigno aleatoriamente por perfil 150 personajes: 75 a A manual y 75 a B asistida, una revisión por cliente. Indicador: revisión completa en 48 horas. Probabilidades generadoras 0.72 y 0.85 son supuestos. Resultado simulado: 48/75 frente a 59/75, diferencia 14.67 puntos. Fisher bilateral p=0.0703: no rechazo H0 al 5 %. IC aproximado conservador Wilson–Bonferroni [−8.73, 36.23] puntos.</w:t>
      </w:r>
    </w:p>
    <w:p>
      <w:pPr>
        <w:keepNext/>
      </w:pPr>
      <w:r>
        <w:rPr>
          <w:i/>
          <w:sz w:val="18"/>
        </w:rPr>
        <w:t>Tabla 7. Qué distingue validación cruzada de un A B real</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584"/>
            <w:shd w:fill="004481"/>
          </w:tcPr>
          <w:p>
            <w:pPr>
              <w:spacing w:after="60" w:before="60"/>
            </w:pPr>
            <w:r>
              <w:rPr>
                <w:b/>
                <w:color w:val="FFFFFF"/>
                <w:sz w:val="18"/>
              </w:rPr>
              <w:t>Dimensión</w:t>
            </w:r>
          </w:p>
        </w:tc>
        <w:tc>
          <w:tcPr>
            <w:tcW w:type="dxa" w:w="3888"/>
            <w:shd w:fill="004481"/>
          </w:tcPr>
          <w:p>
            <w:pPr>
              <w:spacing w:after="60" w:before="60"/>
            </w:pPr>
            <w:r>
              <w:rPr>
                <w:b/>
                <w:color w:val="FFFFFF"/>
                <w:sz w:val="18"/>
              </w:rPr>
              <w:t>Validación cruzada</w:t>
            </w:r>
          </w:p>
        </w:tc>
        <w:tc>
          <w:tcPr>
            <w:tcW w:type="dxa" w:w="3888"/>
            <w:shd w:fill="004481"/>
          </w:tcPr>
          <w:p>
            <w:pPr>
              <w:spacing w:after="60" w:before="60"/>
            </w:pPr>
            <w:r>
              <w:rPr>
                <w:b/>
                <w:color w:val="FFFFFF"/>
                <w:sz w:val="18"/>
              </w:rPr>
              <w:t>Prueba A/B</w:t>
            </w:r>
          </w:p>
        </w:tc>
      </w:tr>
      <w:tr>
        <w:trPr>
          <w:cantSplit/>
        </w:trPr>
        <w:tc>
          <w:tcPr>
            <w:tcW w:type="dxa" w:w="1584"/>
            <w:shd w:fill="F1F6FA"/>
          </w:tcPr>
          <w:p>
            <w:pPr>
              <w:spacing w:after="60" w:before="60"/>
            </w:pPr>
            <w:r>
              <w:rPr>
                <w:b w:val="0"/>
                <w:color w:val="222222"/>
                <w:sz w:val="18"/>
              </w:rPr>
              <w:t>Pregunta</w:t>
            </w:r>
          </w:p>
        </w:tc>
        <w:tc>
          <w:tcPr>
            <w:tcW w:type="dxa" w:w="3888"/>
            <w:shd w:fill="F1F6FA"/>
          </w:tcPr>
          <w:p>
            <w:pPr>
              <w:spacing w:after="60" w:before="60"/>
            </w:pPr>
            <w:r>
              <w:rPr>
                <w:b w:val="0"/>
                <w:color w:val="222222"/>
                <w:sz w:val="18"/>
              </w:rPr>
              <w:t>¿Generaliza el predictor?</w:t>
            </w:r>
          </w:p>
        </w:tc>
        <w:tc>
          <w:tcPr>
            <w:tcW w:type="dxa" w:w="3888"/>
            <w:shd w:fill="F1F6FA"/>
          </w:tcPr>
          <w:p>
            <w:pPr>
              <w:spacing w:after="60" w:before="60"/>
            </w:pPr>
            <w:r>
              <w:rPr>
                <w:b w:val="0"/>
                <w:color w:val="222222"/>
                <w:sz w:val="18"/>
              </w:rPr>
              <w:t>¿Cambia el resultado del proceso?</w:t>
            </w:r>
          </w:p>
        </w:tc>
      </w:tr>
      <w:tr>
        <w:trPr>
          <w:cantSplit/>
        </w:trPr>
        <w:tc>
          <w:tcPr>
            <w:tcW w:type="dxa" w:w="1584"/>
            <w:shd w:fill="FFFFFF"/>
          </w:tcPr>
          <w:p>
            <w:pPr>
              <w:spacing w:after="60" w:before="60"/>
            </w:pPr>
            <w:r>
              <w:rPr>
                <w:b w:val="0"/>
                <w:color w:val="222222"/>
                <w:sz w:val="18"/>
              </w:rPr>
              <w:t>Unidad</w:t>
            </w:r>
          </w:p>
        </w:tc>
        <w:tc>
          <w:tcPr>
            <w:tcW w:type="dxa" w:w="3888"/>
            <w:shd w:fill="FFFFFF"/>
          </w:tcPr>
          <w:p>
            <w:pPr>
              <w:spacing w:after="60" w:before="60"/>
            </w:pPr>
            <w:r>
              <w:rPr>
                <w:b w:val="0"/>
                <w:color w:val="222222"/>
                <w:sz w:val="18"/>
              </w:rPr>
              <w:t>Noticia del corpus.</w:t>
            </w:r>
          </w:p>
        </w:tc>
        <w:tc>
          <w:tcPr>
            <w:tcW w:type="dxa" w:w="3888"/>
            <w:shd w:fill="FFFFFF"/>
          </w:tcPr>
          <w:p>
            <w:pPr>
              <w:spacing w:after="60" w:before="60"/>
            </w:pPr>
            <w:r>
              <w:rPr>
                <w:b w:val="0"/>
                <w:color w:val="222222"/>
                <w:sz w:val="18"/>
              </w:rPr>
              <w:t>Cliente/revisión o banquero, según diseño.</w:t>
            </w:r>
          </w:p>
        </w:tc>
      </w:tr>
      <w:tr>
        <w:trPr>
          <w:cantSplit/>
        </w:trPr>
        <w:tc>
          <w:tcPr>
            <w:tcW w:type="dxa" w:w="1584"/>
            <w:shd w:fill="F1F6FA"/>
          </w:tcPr>
          <w:p>
            <w:pPr>
              <w:spacing w:after="60" w:before="60"/>
            </w:pPr>
            <w:r>
              <w:rPr>
                <w:b w:val="0"/>
                <w:color w:val="222222"/>
                <w:sz w:val="18"/>
              </w:rPr>
              <w:t>Aleatorización</w:t>
            </w:r>
          </w:p>
        </w:tc>
        <w:tc>
          <w:tcPr>
            <w:tcW w:type="dxa" w:w="3888"/>
            <w:shd w:fill="F1F6FA"/>
          </w:tcPr>
          <w:p>
            <w:pPr>
              <w:spacing w:after="60" w:before="60"/>
            </w:pPr>
            <w:r>
              <w:rPr>
                <w:b w:val="0"/>
                <w:color w:val="222222"/>
                <w:sz w:val="18"/>
              </w:rPr>
              <w:t>Partición estratificada de folds.</w:t>
            </w:r>
          </w:p>
        </w:tc>
        <w:tc>
          <w:tcPr>
            <w:tcW w:type="dxa" w:w="3888"/>
            <w:shd w:fill="F1F6FA"/>
          </w:tcPr>
          <w:p>
            <w:pPr>
              <w:spacing w:after="60" w:before="60"/>
            </w:pPr>
            <w:r>
              <w:rPr>
                <w:b w:val="0"/>
                <w:color w:val="222222"/>
                <w:sz w:val="18"/>
              </w:rPr>
              <w:t>Asignación aleatoria de intervención.</w:t>
            </w:r>
          </w:p>
        </w:tc>
      </w:tr>
      <w:tr>
        <w:trPr>
          <w:cantSplit/>
        </w:trPr>
        <w:tc>
          <w:tcPr>
            <w:tcW w:type="dxa" w:w="1584"/>
            <w:shd w:fill="FFFFFF"/>
          </w:tcPr>
          <w:p>
            <w:pPr>
              <w:spacing w:after="60" w:before="60"/>
            </w:pPr>
            <w:r>
              <w:rPr>
                <w:b w:val="0"/>
                <w:color w:val="222222"/>
                <w:sz w:val="18"/>
              </w:rPr>
              <w:t>Conclusión</w:t>
            </w:r>
          </w:p>
        </w:tc>
        <w:tc>
          <w:tcPr>
            <w:tcW w:type="dxa" w:w="3888"/>
            <w:shd w:fill="FFFFFF"/>
          </w:tcPr>
          <w:p>
            <w:pPr>
              <w:spacing w:after="60" w:before="60"/>
            </w:pPr>
            <w:r>
              <w:rPr>
                <w:b w:val="0"/>
                <w:color w:val="222222"/>
                <w:sz w:val="18"/>
              </w:rPr>
              <w:t>Desempeño fuera de entrenamiento.</w:t>
            </w:r>
          </w:p>
        </w:tc>
        <w:tc>
          <w:tcPr>
            <w:tcW w:type="dxa" w:w="3888"/>
            <w:shd w:fill="FFFFFF"/>
          </w:tcPr>
          <w:p>
            <w:pPr>
              <w:spacing w:after="60" w:before="60"/>
            </w:pPr>
            <w:r>
              <w:rPr>
                <w:b w:val="0"/>
                <w:color w:val="222222"/>
                <w:sz w:val="18"/>
              </w:rPr>
              <w:t>Efecto causal bajo diseño válido; aquí sólo se simula.</w:t>
            </w:r>
          </w:p>
        </w:tc>
      </w:tr>
    </w:tbl>
    <w:p>
      <w:pPr>
        <w:keepNext/>
      </w:pPr>
      <w:r>
        <w:drawing>
          <wp:inline xmlns:a="http://schemas.openxmlformats.org/drawingml/2006/main" xmlns:pic="http://schemas.openxmlformats.org/drawingml/2006/picture">
            <wp:extent cx="4206240" cy="2103120"/>
            <wp:docPr id="9" name="Picture 9"/>
            <wp:cNvGraphicFramePr>
              <a:graphicFrameLocks noChangeAspect="1"/>
            </wp:cNvGraphicFramePr>
            <a:graphic>
              <a:graphicData uri="http://schemas.openxmlformats.org/drawingml/2006/picture">
                <pic:pic>
                  <pic:nvPicPr>
                    <pic:cNvPr id="0" name="ab.png"/>
                    <pic:cNvPicPr/>
                  </pic:nvPicPr>
                  <pic:blipFill>
                    <a:blip r:embed="rId23"/>
                    <a:stretch>
                      <a:fillRect/>
                    </a:stretch>
                  </pic:blipFill>
                  <pic:spPr>
                    <a:xfrm>
                      <a:off x="0" y="0"/>
                      <a:ext cx="4206240" cy="2103120"/>
                    </a:xfrm>
                    <a:prstGeom prst="rect"/>
                  </pic:spPr>
                </pic:pic>
              </a:graphicData>
            </a:graphic>
          </wp:inline>
        </w:drawing>
      </w:r>
    </w:p>
    <w:p>
      <w:pPr>
        <w:keepNext/>
      </w:pPr>
      <w:r>
        <w:rPr>
          <w:i/>
          <w:sz w:val="18"/>
        </w:rPr>
        <w:t>Figura 4. Revisiones completas en el A B simulado sin clientes reales.</w:t>
      </w:r>
    </w:p>
    <w:p>
      <w:r>
        <w:t>Con 75 por brazo, α=0.05 bilateral y efecto supuesto de 13 puntos, la potencia normal aproximada es 0.4911. MDE al 80 %: 17.84 puntos, o 17.9 al redondear conservadoramente hacia arriba. No es potencia exacta de Fisher ni potencia calculada desde el efecto observado. El diseño es poco sensible; la no significancia no demuestra ausencia de efecto ni permite atribuirla exclusivamente a la muestra.</w:t>
      </w:r>
    </w:p>
    <w:p>
      <w:r>
        <w:t>Para el piloto fijaría cuatro semanas, protocolo congelado, análisis por intención de tratar y sin detener por significancia; una revisión faltante cuenta como incompleta. Completa exige fuentes, perfil, horizonte, costos y aprobación humana. Se requieren 156 por brazo, 174 con 10 % de pérdidas bajo los supuestos; al asignar por banquero debe ajustarse por agrupación y contaminación. Incluso una simulación significativa no demostraría efecto causal real.</w:t>
      </w:r>
    </w:p>
    <w:p>
      <w:r>
        <w:br w:type="page"/>
      </w:r>
    </w:p>
    <w:p>
      <w:pPr>
        <w:pStyle w:val="Ttulo1"/>
      </w:pPr>
      <w:r>
        <w:t>Impacto bancario y decisión final</w:t>
      </w:r>
    </w:p>
    <w:p>
      <w:r>
        <w:t>Como Banquero Patrimonial Sr., prefiero 76 revisiones con 10 omisiones a 47 con 21, sujeto a capacidad y supervisión. El umbral 0.075 recupera cuatro noticias adicionales respecto a 0.20, pero añade 48 revisiones: esa carga afecta tiempos, experiencia del cliente y riesgo de fatiga. La decisión debe preservar perfil y calidad de atención, nunca incentivar rotación para generar corretaje.</w:t>
      </w:r>
    </w:p>
    <w:p>
      <w:r>
        <w:t>El 1 % por venta más 1 % por compra es un supuesto didáctico, no una tarifa general verificada de BBVA. Son 2 % sobre el nocional migrado. Si migro 35 % de cartera y supongo mejora bruta anual de 3 puntos, aportaría 1.05 puntos sobre cartera frente a 0.70 de corretaje; sobre la parte migrada, el equilibrio lineal sería ocho meses sin otros gastos. El clasificador no acredita esa mejora ni promete rendimiento.</w:t>
      </w:r>
    </w:p>
    <w:p>
      <w:r>
        <w:t>El índice público consultado el 22 de octubre conserva 61 fichas DICI y 693 registros por serie. La extracción automática exige confirmar vigencia, periodicidad y serie en el original. Los gastos de fondos no equivalen al ingreso neto del banco; si el rendimiento ya es neto, no los descuento dos veces. Estas fuentes contextualizan costos, no entrenan el clasificador (BBVA México, s. f.).</w:t>
      </w:r>
    </w:p>
    <w:p>
      <w:pPr>
        <w:pStyle w:val="Ttulo1"/>
      </w:pPr>
      <w:r>
        <w:t>Conclusión y gobierno del siguiente paso</w:t>
      </w:r>
    </w:p>
    <w:p>
      <w:r>
        <w:t>Mantengo SVM 0.20 como candidata académica; la meta conjunta de recall ≥0.90 y precisión ≥0.60 no se alcanza. Con ánimo de avanzar responsablemente, necesito datos mexicanos con licencia apta, separación temporal por evento, evaluación por segmento, capacidad operativa, monitoreo de deriva y reversión. La deuda técnica y el riesgo reputacional quedan visibles. La IA no sustituye el criterio del banquero; lo aumenta.</w:t>
      </w:r>
    </w:p>
    <w:p>
      <w:r>
        <w:t>Las evidencias incluyen cuaderno con salidas, scripts, modelos, predicciones, MLflow y tablero. La reproducibilidad no equivale a eficacia financiera. Este trabajo es personal y académico, no un producto ni una recomendación oficial de BBVA.</w:t>
      </w:r>
    </w:p>
    <w:p>
      <w:pPr>
        <w:keepNext/>
      </w:pPr>
      <w:r>
        <w:rPr>
          <w:i/>
          <w:sz w:val="18"/>
        </w:rPr>
        <w:t>Tabla 8. Cobertura de la rúbrica</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2448"/>
            <w:shd w:fill="004481"/>
          </w:tcPr>
          <w:p>
            <w:pPr>
              <w:spacing w:after="60" w:before="60"/>
            </w:pPr>
            <w:r>
              <w:rPr>
                <w:b/>
                <w:color w:val="FFFFFF"/>
                <w:sz w:val="18"/>
              </w:rPr>
              <w:t>Criterio 25 %</w:t>
            </w:r>
          </w:p>
        </w:tc>
        <w:tc>
          <w:tcPr>
            <w:tcW w:type="dxa" w:w="2880"/>
            <w:shd w:fill="004481"/>
          </w:tcPr>
          <w:p>
            <w:pPr>
              <w:spacing w:after="60" w:before="60"/>
            </w:pPr>
            <w:r>
              <w:rPr>
                <w:b/>
                <w:color w:val="FFFFFF"/>
                <w:sz w:val="18"/>
              </w:rPr>
              <w:t>Sección y página</w:t>
            </w:r>
          </w:p>
        </w:tc>
        <w:tc>
          <w:tcPr>
            <w:tcW w:type="dxa" w:w="4032"/>
            <w:shd w:fill="004481"/>
          </w:tcPr>
          <w:p>
            <w:pPr>
              <w:spacing w:after="60" w:before="60"/>
            </w:pPr>
            <w:r>
              <w:rPr>
                <w:b/>
                <w:color w:val="FFFFFF"/>
                <w:sz w:val="18"/>
              </w:rPr>
              <w:t>Evidencia</w:t>
            </w:r>
          </w:p>
        </w:tc>
      </w:tr>
      <w:tr>
        <w:trPr>
          <w:cantSplit/>
        </w:trPr>
        <w:tc>
          <w:tcPr>
            <w:tcW w:type="dxa" w:w="2448"/>
            <w:shd w:fill="F1F6FA"/>
          </w:tcPr>
          <w:p>
            <w:pPr>
              <w:spacing w:after="60" w:before="60"/>
            </w:pPr>
            <w:r>
              <w:rPr>
                <w:b w:val="0"/>
                <w:color w:val="222222"/>
                <w:sz w:val="18"/>
              </w:rPr>
              <w:t>1. Problema y métricas</w:t>
            </w:r>
          </w:p>
        </w:tc>
        <w:tc>
          <w:tcPr>
            <w:tcW w:type="dxa" w:w="2880"/>
            <w:shd w:fill="F1F6FA"/>
          </w:tcPr>
          <w:p>
            <w:pPr>
              <w:spacing w:after="60" w:before="60"/>
            </w:pPr>
            <w:r>
              <w:rPr>
                <w:b w:val="0"/>
                <w:color w:val="222222"/>
                <w:sz w:val="18"/>
              </w:rPr>
              <w:t>Decisión p. 3; matriz p. 5</w:t>
            </w:r>
          </w:p>
        </w:tc>
        <w:tc>
          <w:tcPr>
            <w:tcW w:type="dxa" w:w="4032"/>
            <w:shd w:fill="F1F6FA"/>
          </w:tcPr>
          <w:p>
            <w:pPr>
              <w:spacing w:after="60" w:before="60"/>
            </w:pPr>
            <w:r>
              <w:rPr>
                <w:b w:val="0"/>
                <w:color w:val="222222"/>
                <w:sz w:val="18"/>
              </w:rPr>
              <w:t>SMART; TP/FN/FP/TN; cálculos y propósito.</w:t>
            </w:r>
          </w:p>
        </w:tc>
      </w:tr>
      <w:tr>
        <w:trPr>
          <w:cantSplit/>
        </w:trPr>
        <w:tc>
          <w:tcPr>
            <w:tcW w:type="dxa" w:w="2448"/>
            <w:shd w:fill="FFFFFF"/>
          </w:tcPr>
          <w:p>
            <w:pPr>
              <w:spacing w:after="60" w:before="60"/>
            </w:pPr>
            <w:r>
              <w:rPr>
                <w:b w:val="0"/>
                <w:color w:val="222222"/>
                <w:sz w:val="18"/>
              </w:rPr>
              <w:t>2. Evaluación y umbral</w:t>
            </w:r>
          </w:p>
        </w:tc>
        <w:tc>
          <w:tcPr>
            <w:tcW w:type="dxa" w:w="2880"/>
            <w:shd w:fill="FFFFFF"/>
          </w:tcPr>
          <w:p>
            <w:pPr>
              <w:spacing w:after="60" w:before="60"/>
            </w:pPr>
            <w:r>
              <w:rPr>
                <w:b w:val="0"/>
                <w:color w:val="222222"/>
                <w:sz w:val="18"/>
              </w:rPr>
              <w:t>Escenarios p. 5; curvas p. 6</w:t>
            </w:r>
          </w:p>
        </w:tc>
        <w:tc>
          <w:tcPr>
            <w:tcW w:type="dxa" w:w="4032"/>
            <w:shd w:fill="FFFFFF"/>
          </w:tcPr>
          <w:p>
            <w:pPr>
              <w:spacing w:after="60" w:before="60"/>
            </w:pPr>
            <w:r>
              <w:rPr>
                <w:b w:val="0"/>
                <w:color w:val="222222"/>
                <w:sz w:val="18"/>
              </w:rPr>
              <w:t>Tabla 4; ROC, PR, Brier y fiabilidad.</w:t>
            </w:r>
          </w:p>
        </w:tc>
      </w:tr>
      <w:tr>
        <w:trPr>
          <w:cantSplit/>
        </w:trPr>
        <w:tc>
          <w:tcPr>
            <w:tcW w:type="dxa" w:w="2448"/>
            <w:shd w:fill="F1F6FA"/>
          </w:tcPr>
          <w:p>
            <w:pPr>
              <w:spacing w:after="60" w:before="60"/>
            </w:pPr>
            <w:r>
              <w:rPr>
                <w:b w:val="0"/>
                <w:color w:val="222222"/>
                <w:sz w:val="18"/>
              </w:rPr>
              <w:t>3. Validación y comparación</w:t>
            </w:r>
          </w:p>
        </w:tc>
        <w:tc>
          <w:tcPr>
            <w:tcW w:type="dxa" w:w="2880"/>
            <w:shd w:fill="F1F6FA"/>
          </w:tcPr>
          <w:p>
            <w:pPr>
              <w:spacing w:after="60" w:before="60"/>
            </w:pPr>
            <w:r>
              <w:rPr>
                <w:b w:val="0"/>
                <w:color w:val="222222"/>
                <w:sz w:val="18"/>
              </w:rPr>
              <w:t>Validación p. 7; A/B p. 8</w:t>
            </w:r>
          </w:p>
        </w:tc>
        <w:tc>
          <w:tcPr>
            <w:tcW w:type="dxa" w:w="4032"/>
            <w:shd w:fill="F1F6FA"/>
          </w:tcPr>
          <w:p>
            <w:pPr>
              <w:spacing w:after="60" w:before="60"/>
            </w:pPr>
            <w:r>
              <w:rPr>
                <w:b w:val="0"/>
                <w:color w:val="222222"/>
                <w:sz w:val="18"/>
              </w:rPr>
              <w:t>CV, baselines, IC, McNemar, Fisher y Tabla 7.</w:t>
            </w:r>
          </w:p>
        </w:tc>
      </w:tr>
      <w:tr>
        <w:trPr>
          <w:cantSplit/>
        </w:trPr>
        <w:tc>
          <w:tcPr>
            <w:tcW w:type="dxa" w:w="2448"/>
            <w:shd w:fill="FFFFFF"/>
          </w:tcPr>
          <w:p>
            <w:pPr>
              <w:spacing w:after="60" w:before="60"/>
            </w:pPr>
            <w:r>
              <w:rPr>
                <w:b w:val="0"/>
                <w:color w:val="222222"/>
                <w:sz w:val="18"/>
              </w:rPr>
              <w:t>4. Integración y presentación</w:t>
            </w:r>
          </w:p>
        </w:tc>
        <w:tc>
          <w:tcPr>
            <w:tcW w:type="dxa" w:w="2880"/>
            <w:shd w:fill="FFFFFF"/>
          </w:tcPr>
          <w:p>
            <w:pPr>
              <w:spacing w:after="60" w:before="60"/>
            </w:pPr>
            <w:r>
              <w:rPr>
                <w:b w:val="0"/>
                <w:color w:val="222222"/>
                <w:sz w:val="18"/>
              </w:rPr>
              <w:t>Impacto p. 9; visuales pp. 5–8</w:t>
            </w:r>
          </w:p>
        </w:tc>
        <w:tc>
          <w:tcPr>
            <w:tcW w:type="dxa" w:w="4032"/>
            <w:shd w:fill="FFFFFF"/>
          </w:tcPr>
          <w:p>
            <w:pPr>
              <w:spacing w:after="60" w:before="60"/>
            </w:pPr>
            <w:r>
              <w:rPr>
                <w:b w:val="0"/>
                <w:color w:val="222222"/>
                <w:sz w:val="18"/>
              </w:rPr>
              <w:t>Decisión, costos, figuras, Trello y cuaderno.</w:t>
            </w:r>
          </w:p>
        </w:tc>
      </w:tr>
    </w:tbl>
    <w:p>
      <w:r>
        <w:t>Este reporte fue estructurado precisamente para cubrir esos 4 apartados de forma explícita y verificable.</w:t>
      </w:r>
    </w:p>
    <w:p>
      <w:r>
        <w:br w:type="page"/>
      </w:r>
    </w:p>
    <w:p>
      <w:pPr>
        <w:pStyle w:val="Ttulo1"/>
      </w:pPr>
      <w:r>
        <w:t>Referencias</w:t>
      </w:r>
    </w:p>
    <w:p>
      <w:pPr>
        <w:spacing w:after="140"/>
        <w:ind w:left="317" w:hanging="317"/>
      </w:pPr>
      <w:r>
        <w:rPr>
          <w:sz w:val="18"/>
        </w:rPr>
        <w:t>BBVA México. (s. f.). Normativa de fondos. Recuperado el 23 de octubre de 2026, de https://www.bbva.mx/personas/productos/inversion/normativa-de-fondos.html</w:t>
      </w:r>
    </w:p>
    <w:p>
      <w:pPr>
        <w:spacing w:after="140"/>
        <w:ind w:left="317" w:hanging="317"/>
      </w:pPr>
      <w:r>
        <w:rPr>
          <w:sz w:val="18"/>
        </w:rPr>
        <w:t>Harris, C. R., Millman, K. J., van der Walt, S. J., Gommers, R., Virtanen, P., Cournapeau, D., Wieser, E., Taylor, J., Berg, S., Smith, N. J., Kern, R., Picus, M., Hoyer, S., van Kerkwijk, M. H., Brett, M., Haldane, A., Fernández del Río, J., Wiebe, M., Peterson, P., … Oliphant, T. E. (2020). Array programming with NumPy. Nature, 585, 357–362. https://doi.org/10.1038/s41586-020-2649-2</w:t>
      </w:r>
    </w:p>
    <w:p>
      <w:pPr>
        <w:spacing w:after="140"/>
        <w:ind w:left="317" w:hanging="317"/>
      </w:pPr>
      <w:r>
        <w:rPr>
          <w:sz w:val="18"/>
        </w:rPr>
        <w:t>Malo, P., Sinha, A., Korhonen, P., Wallenius, J., &amp; Takala, P. (2014). Good debt or bad debt: Detecting semantic orientations in economic texts. Journal of the Association for Information Science and Technology, 65(4), 782–796. https://doi.org/10.1002/asi.23062</w:t>
      </w:r>
    </w:p>
    <w:p>
      <w:pPr>
        <w:spacing w:after="140"/>
        <w:ind w:left="317" w:hanging="317"/>
      </w:pPr>
      <w:r>
        <w:rPr>
          <w:sz w:val="18"/>
        </w:rPr>
        <w:t>MLflow. (s. f.). ML experiment tracking. Recuperado el 23 de octubre de 2026, de https://mlflow.org/docs/latest/ml/tracking/</w:t>
      </w:r>
    </w:p>
    <w:p>
      <w:pPr>
        <w:spacing w:after="140"/>
        <w:ind w:left="317" w:hanging="317"/>
      </w:pPr>
      <w:r>
        <w:rPr>
          <w:sz w:val="18"/>
        </w:rP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spacing w:after="140"/>
        <w:ind w:left="317" w:hanging="317"/>
      </w:pPr>
      <w:r>
        <w:rPr>
          <w:sz w:val="18"/>
        </w:rPr>
        <w:t>Takala, P. (s. f.). Financial PhraseBank [Conjunto de datos; AllAgree, revisión 8d3fe0c]. Hugging Face. https://huggingface.co/datasets/takala/financial_phrasebank/tree/8d3fe0c36d5feec6b3cc5e455b0fcb4820fb9964</w:t>
      </w:r>
    </w:p>
    <w:p>
      <w:pPr>
        <w:spacing w:after="140"/>
        <w:ind w:left="317" w:hanging="317"/>
      </w:pPr>
      <w:r>
        <w:rPr>
          <w:sz w:val="18"/>
        </w:rPr>
        <w:t>Universidad Tecmilenio. (2026a). Tema 13 [Material de curso]. Gestión de Proyectos de Inteligencia Artificial.</w:t>
      </w:r>
    </w:p>
    <w:p>
      <w:pPr>
        <w:spacing w:after="140"/>
        <w:ind w:left="317" w:hanging="317"/>
      </w:pPr>
      <w:r>
        <w:rPr>
          <w:sz w:val="18"/>
        </w:rPr>
        <w:t>Universidad Tecmilenio. (2026b). Tema 14 [Material de curso]. Gestión de Proyectos de Inteligencia Artificial.</w:t>
      </w:r>
    </w:p>
    <w:p>
      <w:pPr>
        <w:spacing w:after="140"/>
        <w:ind w:left="317" w:hanging="317"/>
      </w:pPr>
      <w:r>
        <w:rPr>
          <w:sz w:val="18"/>
        </w:rPr>
        <w:t>Universidad Tecmilenio. (2026c). Rúbrica de la Actividad 6 [Instrumento de evaluación]. Gestión de Proyectos de Inteligencia Artificial.</w:t>
      </w:r>
    </w:p>
    <w:p>
      <w:pPr>
        <w:spacing w:after="140"/>
        <w:ind w:left="317" w:hanging="317"/>
      </w:pPr>
      <w:r>
        <w:rPr>
          <w:sz w:val="18"/>
        </w:rPr>
        <w:t>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Nature Methods, 17, 261–272. https://doi.org/10.1038/s41592-019-0686-2</w:t>
      </w:r>
    </w:p>
    <w:p>
      <w:r>
        <w:t>Nota bibliográfica. Se utiliza la autoría del artículo indicada por la ficha oficial del dataset. Los materiales docentes se citan para evaluación (Universidad Tecmilenio, 2026c) y no se redistribuyen.</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1"/>
    </w:rPr>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