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5108E5A" w14:textId="77777777" w:rsidR="00675304" w:rsidRDefault="00675304">
      <w:pPr>
        <w:spacing w:before="200" w:after="200"/>
      </w:pPr>
    </w:p>
    <w:p w14:paraId="138A5A18" w14:textId="5EB11152" w:rsidR="00675304" w:rsidRDefault="00D41928" w:rsidP="00D41928">
      <w:pPr>
        <w:spacing w:before="300" w:after="300"/>
        <w:jc w:val="center"/>
      </w:pPr>
      <w:r>
        <w:rPr>
          <w:noProof/>
        </w:rPr>
      </w:r>
    </w:p>
    <w:p w14:paraId="3DAF1174" w14:textId="77777777" w:rsidR="00675304" w:rsidRDefault="00675304">
      <w:pPr>
        <w:spacing w:after="120"/>
      </w:pPr>
    </w:p>
    <w:p w14:paraId="003D549A" w14:textId="77777777" w:rsidR="00675304" w:rsidRDefault="00675304">
      <w:pPr>
        <w:spacing w:before="100" w:after="100"/>
      </w:pPr>
    </w:p>
    <w:p w14:paraId="4BE35A08" w14:textId="77777777" w:rsidR="00675304" w:rsidRDefault="00000000">
      <w:pPr>
        <w:spacing w:before="60" w:after="60"/>
        <w:jc w:val="center"/>
      </w:pPr>
      <w:r>
        <w:rPr>
          <w:b/>
          <w:bCs/>
          <w:color w:val="1A5276"/>
          <w:sz w:val="44"/>
          <w:szCs w:val="40"/>
        </w:rPr>
        <w:t>FASE II</w:t>
      </w:r>
    </w:p>
    <w:p w14:paraId="6C01C6B0" w14:textId="77777777" w:rsidR="00675304" w:rsidRDefault="00675304">
      <w:pPr>
        <w:spacing w:before="60" w:after="60"/>
      </w:pPr>
    </w:p>
    <w:p w14:paraId="1B3037BD" w14:textId="77777777" w:rsidR="00675304" w:rsidRDefault="00000000">
      <w:pPr>
        <w:spacing w:before="60" w:after="60"/>
        <w:jc w:val="center"/>
      </w:pPr>
      <w:r>
        <w:t>Validación y pruebas de Fase II</w:t>
        <w:br/>
        <w:t>Asistente de preparación de revisiones de portafolio</w:t>
      </w:r>
    </w:p>
    <w:p>
      <w:pPr>
        <w:spacing w:before="280" w:after="40"/>
        <w:jc w:val="center"/>
      </w:pPr>
      <w:r/>
    </w:p>
    <w:p>
      <w:pPr>
        <w:jc w:val="center"/>
      </w:pPr>
      <w:r>
        <w:drawing>
          <wp:inline xmlns:a="http://schemas.openxmlformats.org/drawingml/2006/main" xmlns:pic="http://schemas.openxmlformats.org/drawingml/2006/picture">
            <wp:extent cx="1097280" cy="109728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097280" cy="1097280"/>
                    </a:xfrm>
                    <a:prstGeom prst="rect"/>
                  </pic:spPr>
                </pic:pic>
              </a:graphicData>
            </a:graphic>
          </wp:inline>
        </w:drawing>
      </w:r>
    </w:p>
    <w:p>
      <w:pPr>
        <w:spacing w:after="120"/>
        <w:jc w:val="center"/>
      </w:pPr>
      <w:r>
        <w:rPr>
          <w:i/>
          <w:color w:val="072146"/>
          <w:sz w:val="18"/>
        </w:rPr>
        <w:t>Vértice AI Consulting  ·  Convertimos datos en decisiones</w:t>
      </w:r>
    </w:p>
    <w:p w14:paraId="23D7136C" w14:textId="77777777" w:rsidR="00675304" w:rsidRDefault="00675304">
      <w:pPr>
        <w:spacing w:before="200" w:after="200"/>
      </w:pPr>
    </w:p>
    <w:p w14:paraId="0D10CDD6" w14:textId="77777777" w:rsidR="00675304" w:rsidRDefault="00675304">
      <w:pPr>
        <w:spacing w:after="120"/>
      </w:pPr>
    </w:p>
    <w:p w14:paraId="58B535AD" w14:textId="77777777" w:rsidR="00675304" w:rsidRDefault="00675304">
      <w:pPr>
        <w:spacing w:before="20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675304" w14:paraId="1A7F7B95" w14:textId="77777777" w:rsidTr="00A92D38">
        <w:trPr>
          <w:tblHeader/>
          <w:cantSplit/>
        </w:trPr>
        <w:tc>
          <w:tcPr>
            <w:tcW w:w="3000" w:type="dxa"/>
            <w:tcBorders>
              <w:top w:val="none" w:sz="0" w:space="0" w:color="FFFFFF"/>
              <w:left w:val="none" w:sz="0" w:space="0" w:color="FFFFFF"/>
              <w:bottom w:val="none" w:sz="0" w:space="0" w:color="FFFFFF"/>
              <w:right w:val="none" w:sz="0" w:space="0" w:color="FFFFFF"/>
            </w:tcBorders>
            <w:shd w:val="clear" w:color="auto" w:fill="072146"/>
            <w:tcMar>
              <w:top w:w="120" w:type="dxa"/>
              <w:left w:w="200" w:type="dxa"/>
              <w:bottom w:w="120" w:type="dxa"/>
              <w:right w:w="200" w:type="dxa"/>
            </w:tcMar>
          </w:tcPr>
          <w:p w14:paraId="3AD90AC2" w14:textId="77777777" w:rsidR="00675304" w:rsidRDefault="00000000">
            <w:pPr>
              <w:keepNext/>
            </w:pPr>
            <w:r>
              <w:rPr>
                <w:b/>
                <w:bCs/>
                <w:color w:val="FFFFFF"/>
                <w:sz w:val="22"/>
                <w:szCs w:val="22"/>
              </w:rPr>
              <w:t>Materia:</w:t>
            </w:r>
          </w:p>
        </w:tc>
        <w:tc>
          <w:tcPr>
            <w:tcW w:w="6360" w:type="dxa"/>
            <w:tcBorders>
              <w:top w:val="none" w:sz="0" w:space="0" w:color="FFFFFF"/>
              <w:left w:val="none" w:sz="0" w:space="0" w:color="FFFFFF"/>
              <w:bottom w:val="single" w:sz="1" w:space="0" w:color="CCCCCC"/>
              <w:right w:val="none" w:sz="0" w:space="0" w:color="FFFFFF"/>
            </w:tcBorders>
            <w:tcMar>
              <w:top w:w="120" w:type="dxa"/>
              <w:left w:w="200" w:type="dxa"/>
              <w:bottom w:w="120" w:type="dxa"/>
              <w:right w:w="200" w:type="dxa"/>
            </w:tcMar>
          </w:tcPr>
          <w:p w14:paraId="337E974F" w14:textId="46B3FF17" w:rsidR="00675304" w:rsidRDefault="00170C53">
            <w:r>
              <w:rPr>
                <w:i/>
                <w:iCs/>
                <w:color w:val="888888"/>
                <w:sz w:val="22"/>
                <w:szCs w:val="22"/>
              </w:rPr>
              <w:t>Gestión de Proyectos de Inteligencia Artificial</w:t>
            </w:r>
          </w:p>
        </w:tc>
      </w:tr>
      <w:tr w:rsidR="00675304" w14:paraId="3BEE0A1B" w14:textId="77777777" w:rsidTr="00A92D38">
        <w:trPr>
          <w:cantSplit/>
        </w:trPr>
        <w:tc>
          <w:tcPr>
            <w:tcW w:w="3000" w:type="dxa"/>
            <w:tcBorders>
              <w:top w:val="none" w:sz="0" w:space="0" w:color="FFFFFF"/>
              <w:left w:val="none" w:sz="0" w:space="0" w:color="FFFFFF"/>
              <w:bottom w:val="none" w:sz="0" w:space="0" w:color="FFFFFF"/>
              <w:right w:val="none" w:sz="0" w:space="0" w:color="FFFFFF"/>
            </w:tcBorders>
            <w:shd w:val="clear" w:color="auto" w:fill="ADADAD" w:themeFill="background2" w:themeFillShade="BF"/>
            <w:tcMar>
              <w:top w:w="120" w:type="dxa"/>
              <w:left w:w="200" w:type="dxa"/>
              <w:bottom w:w="120" w:type="dxa"/>
              <w:right w:w="200" w:type="dxa"/>
            </w:tcMar>
          </w:tcPr>
          <w:p w14:paraId="27B4BA5A" w14:textId="77777777" w:rsidR="00675304" w:rsidRDefault="00000000">
            <w:r>
              <w:rPr>
                <w:b/>
                <w:bCs/>
                <w:color w:val="FFFFFF"/>
                <w:sz w:val="22"/>
                <w:szCs w:val="22"/>
              </w:rPr>
              <w:t>Actividad:</w:t>
            </w:r>
          </w:p>
        </w:tc>
        <w:tc>
          <w:tcPr>
            <w:tcW w:w="6360" w:type="dxa"/>
            <w:tcBorders>
              <w:top w:val="none" w:sz="0" w:space="0" w:color="FFFFFF"/>
              <w:left w:val="none" w:sz="0" w:space="0" w:color="FFFFFF"/>
              <w:bottom w:val="single" w:sz="1" w:space="0" w:color="CCCCCC"/>
              <w:right w:val="none" w:sz="0" w:space="0" w:color="FFFFFF"/>
            </w:tcBorders>
            <w:tcMar>
              <w:top w:w="120" w:type="dxa"/>
              <w:left w:w="200" w:type="dxa"/>
              <w:bottom w:w="120" w:type="dxa"/>
              <w:right w:w="200" w:type="dxa"/>
            </w:tcMar>
          </w:tcPr>
          <w:p>
            <w:r>
              <w:t>Fase II · Módulo 2 / Semana 8 · Temas 15 y 16</w:t>
            </w:r>
          </w:p>
        </w:tc>
      </w:tr>
      <w:tr w:rsidR="00675304" w14:paraId="7215E7D2" w14:textId="77777777" w:rsidTr="00A92D38">
        <w:trPr>
          <w:cantSplit/>
        </w:trPr>
        <w:tc>
          <w:tcPr>
            <w:tcW w:w="3000" w:type="dxa"/>
            <w:tcBorders>
              <w:top w:val="none" w:sz="0" w:space="0" w:color="FFFFFF"/>
              <w:left w:val="none" w:sz="0" w:space="0" w:color="FFFFFF"/>
              <w:bottom w:val="none" w:sz="0" w:space="0" w:color="FFFFFF"/>
              <w:right w:val="none" w:sz="0" w:space="0" w:color="FFFFFF"/>
            </w:tcBorders>
            <w:shd w:val="clear" w:color="auto" w:fill="072146"/>
            <w:tcMar>
              <w:top w:w="120" w:type="dxa"/>
              <w:left w:w="200" w:type="dxa"/>
              <w:bottom w:w="120" w:type="dxa"/>
              <w:right w:w="200" w:type="dxa"/>
            </w:tcMar>
          </w:tcPr>
          <w:p w14:paraId="36068EC4" w14:textId="77777777" w:rsidR="00675304" w:rsidRDefault="00000000">
            <w:r>
              <w:rPr>
                <w:b/>
                <w:bCs/>
                <w:color w:val="FFFFFF"/>
                <w:sz w:val="22"/>
                <w:szCs w:val="22"/>
              </w:rPr>
              <w:t>Alumno(a):</w:t>
            </w:r>
          </w:p>
        </w:tc>
        <w:tc>
          <w:tcPr>
            <w:tcW w:w="6360" w:type="dxa"/>
            <w:tcBorders>
              <w:top w:val="none" w:sz="0" w:space="0" w:color="FFFFFF"/>
              <w:left w:val="none" w:sz="0" w:space="0" w:color="FFFFFF"/>
              <w:bottom w:val="single" w:sz="1" w:space="0" w:color="CCCCCC"/>
              <w:right w:val="none" w:sz="0" w:space="0" w:color="FFFFFF"/>
            </w:tcBorders>
            <w:tcMar>
              <w:top w:w="120" w:type="dxa"/>
              <w:left w:w="200" w:type="dxa"/>
              <w:bottom w:w="120" w:type="dxa"/>
              <w:right w:w="200" w:type="dxa"/>
            </w:tcMar>
          </w:tcPr>
          <w:p w14:paraId="349FD0B1" w14:textId="77777777" w:rsidR="00675304" w:rsidRDefault="00000000">
            <w:r>
              <w:rPr>
                <w:i/>
                <w:iCs/>
                <w:color w:val="888888"/>
                <w:sz w:val="22"/>
                <w:szCs w:val="22"/>
              </w:rPr>
              <w:t>Eduardo Aburto Angulo</w:t>
            </w:r>
          </w:p>
        </w:tc>
      </w:tr>
      <w:tr w:rsidR="00675304" w14:paraId="63CF25AA" w14:textId="77777777" w:rsidTr="00A92D38">
        <w:trPr>
          <w:cantSplit/>
        </w:trPr>
        <w:tc>
          <w:tcPr>
            <w:tcW w:w="3000" w:type="dxa"/>
            <w:tcBorders>
              <w:top w:val="none" w:sz="0" w:space="0" w:color="FFFFFF"/>
              <w:left w:val="none" w:sz="0" w:space="0" w:color="FFFFFF"/>
              <w:bottom w:val="none" w:sz="0" w:space="0" w:color="FFFFFF"/>
              <w:right w:val="none" w:sz="0" w:space="0" w:color="FFFFFF"/>
            </w:tcBorders>
            <w:shd w:val="clear" w:color="auto" w:fill="ADADAD" w:themeFill="background2" w:themeFillShade="BF"/>
            <w:tcMar>
              <w:top w:w="120" w:type="dxa"/>
              <w:left w:w="200" w:type="dxa"/>
              <w:bottom w:w="120" w:type="dxa"/>
              <w:right w:w="200" w:type="dxa"/>
            </w:tcMar>
          </w:tcPr>
          <w:p w14:paraId="4D6B551B" w14:textId="77777777" w:rsidR="00675304" w:rsidRDefault="00000000">
            <w:r>
              <w:rPr>
                <w:b/>
                <w:bCs/>
                <w:color w:val="FFFFFF"/>
                <w:sz w:val="22"/>
                <w:szCs w:val="22"/>
              </w:rPr>
              <w:t>Matrícula:</w:t>
            </w:r>
          </w:p>
        </w:tc>
        <w:tc>
          <w:tcPr>
            <w:tcW w:w="6360" w:type="dxa"/>
            <w:tcBorders>
              <w:top w:val="none" w:sz="0" w:space="0" w:color="FFFFFF"/>
              <w:left w:val="none" w:sz="0" w:space="0" w:color="FFFFFF"/>
              <w:bottom w:val="single" w:sz="1" w:space="0" w:color="CCCCCC"/>
              <w:right w:val="none" w:sz="0" w:space="0" w:color="FFFFFF"/>
            </w:tcBorders>
            <w:tcMar>
              <w:top w:w="120" w:type="dxa"/>
              <w:left w:w="200" w:type="dxa"/>
              <w:bottom w:w="120" w:type="dxa"/>
              <w:right w:w="200" w:type="dxa"/>
            </w:tcMar>
          </w:tcPr>
          <w:p w14:paraId="29ACC35A" w14:textId="77777777" w:rsidR="00675304" w:rsidRDefault="00000000">
            <w:r>
              <w:rPr>
                <w:i/>
                <w:iCs/>
                <w:color w:val="888888"/>
                <w:sz w:val="22"/>
                <w:szCs w:val="22"/>
              </w:rPr>
              <w:t>AL07182743</w:t>
            </w:r>
          </w:p>
        </w:tc>
      </w:tr>
      <w:tr w:rsidR="00675304" w14:paraId="3E6A41FC" w14:textId="77777777" w:rsidTr="00A92D38">
        <w:trPr>
          <w:cantSplit/>
        </w:trPr>
        <w:tc>
          <w:tcPr>
            <w:tcW w:w="3000" w:type="dxa"/>
            <w:tcBorders>
              <w:top w:val="none" w:sz="0" w:space="0" w:color="FFFFFF"/>
              <w:left w:val="none" w:sz="0" w:space="0" w:color="FFFFFF"/>
              <w:bottom w:val="none" w:sz="0" w:space="0" w:color="FFFFFF"/>
              <w:right w:val="none" w:sz="0" w:space="0" w:color="FFFFFF"/>
            </w:tcBorders>
            <w:shd w:val="clear" w:color="auto" w:fill="072146"/>
            <w:tcMar>
              <w:top w:w="120" w:type="dxa"/>
              <w:left w:w="200" w:type="dxa"/>
              <w:bottom w:w="120" w:type="dxa"/>
              <w:right w:w="200" w:type="dxa"/>
            </w:tcMar>
          </w:tcPr>
          <w:p w14:paraId="1CE4E006" w14:textId="77777777" w:rsidR="00675304" w:rsidRDefault="00000000">
            <w:r>
              <w:rPr>
                <w:b/>
                <w:bCs/>
                <w:color w:val="FFFFFF"/>
                <w:sz w:val="22"/>
                <w:szCs w:val="22"/>
              </w:rPr>
              <w:t>Docente:</w:t>
            </w:r>
          </w:p>
        </w:tc>
        <w:tc>
          <w:tcPr>
            <w:tcW w:w="6360" w:type="dxa"/>
            <w:tcBorders>
              <w:top w:val="none" w:sz="0" w:space="0" w:color="FFFFFF"/>
              <w:left w:val="none" w:sz="0" w:space="0" w:color="FFFFFF"/>
              <w:bottom w:val="single" w:sz="1" w:space="0" w:color="CCCCCC"/>
              <w:right w:val="none" w:sz="0" w:space="0" w:color="FFFFFF"/>
            </w:tcBorders>
            <w:tcMar>
              <w:top w:w="120" w:type="dxa"/>
              <w:left w:w="200" w:type="dxa"/>
              <w:bottom w:w="120" w:type="dxa"/>
              <w:right w:w="200" w:type="dxa"/>
            </w:tcMar>
          </w:tcPr>
          <w:p w14:paraId="137303EC" w14:textId="77777777" w:rsidR="00675304" w:rsidRDefault="00000000">
            <w:r>
              <w:rPr>
                <w:i/>
                <w:iCs/>
                <w:color w:val="888888"/>
                <w:sz w:val="22"/>
                <w:szCs w:val="22"/>
              </w:rPr>
              <w:t>M. en C. Luis Ariel Vázquez Piña</w:t>
            </w:r>
          </w:p>
        </w:tc>
      </w:tr>
      <w:tr w:rsidR="00675304" w14:paraId="18B7FA69" w14:textId="77777777" w:rsidTr="00A92D38">
        <w:trPr>
          <w:cantSplit/>
        </w:trPr>
        <w:tc>
          <w:tcPr>
            <w:tcW w:w="3000" w:type="dxa"/>
            <w:tcBorders>
              <w:top w:val="none" w:sz="0" w:space="0" w:color="FFFFFF"/>
              <w:left w:val="none" w:sz="0" w:space="0" w:color="FFFFFF"/>
              <w:bottom w:val="none" w:sz="0" w:space="0" w:color="FFFFFF"/>
              <w:right w:val="none" w:sz="0" w:space="0" w:color="FFFFFF"/>
            </w:tcBorders>
            <w:shd w:val="clear" w:color="auto" w:fill="ADADAD" w:themeFill="background2" w:themeFillShade="BF"/>
            <w:tcMar>
              <w:top w:w="120" w:type="dxa"/>
              <w:left w:w="200" w:type="dxa"/>
              <w:bottom w:w="120" w:type="dxa"/>
              <w:right w:w="200" w:type="dxa"/>
            </w:tcMar>
          </w:tcPr>
          <w:p w14:paraId="0D7244CE" w14:textId="77777777" w:rsidR="00675304" w:rsidRDefault="00000000">
            <w:r>
              <w:rPr>
                <w:b/>
                <w:bCs/>
                <w:color w:val="FFFFFF"/>
                <w:sz w:val="22"/>
                <w:szCs w:val="22"/>
              </w:rPr>
              <w:t>Fecha de entrega:</w:t>
            </w:r>
          </w:p>
        </w:tc>
        <w:tc>
          <w:tcPr>
            <w:tcW w:w="6360" w:type="dxa"/>
            <w:tcBorders>
              <w:top w:val="none" w:sz="0" w:space="0" w:color="FFFFFF"/>
              <w:left w:val="none" w:sz="0" w:space="0" w:color="FFFFFF"/>
              <w:bottom w:val="single" w:sz="1" w:space="0" w:color="CCCCCC"/>
              <w:right w:val="none" w:sz="0" w:space="0" w:color="FFFFFF"/>
            </w:tcBorders>
            <w:tcMar>
              <w:top w:w="120" w:type="dxa"/>
              <w:left w:w="200" w:type="dxa"/>
              <w:bottom w:w="120" w:type="dxa"/>
              <w:right w:w="200" w:type="dxa"/>
            </w:tcMar>
          </w:tcPr>
          <w:p>
            <w:r>
              <w:t>31 - 10 - 2026</w:t>
            </w:r>
          </w:p>
        </w:tc>
      </w:tr>
    </w:tbl>
    <w:p w14:paraId="650E43B7" w14:textId="77777777" w:rsidR="00675304" w:rsidRDefault="00675304">
      <w:pPr>
        <w:spacing w:before="200" w:after="200"/>
      </w:pPr>
    </w:p>
    <w:p w14:paraId="6F48BECF" w14:textId="77777777" w:rsidR="00675304" w:rsidRDefault="00000000">
      <w:r/>
    </w:p>
    <w:p w14:paraId="54CD0AA7" w14:textId="77777777" w:rsidR="00675304" w:rsidRDefault="00675304">
      <w:pPr>
        <w:sectPr w:rsidR="00675304">
          <w:footerReference w:type="default" r:id="rId12"/>
          <w:pgSz w:w="12240" w:h="15840"/>
          <w:pgMar w:top="1080" w:right="1440" w:bottom="1080" w:left="1440" w:header="708" w:footer="708" w:gutter="0"/>
          <w:cols w:space="720"/>
          <w:docGrid w:linePitch="360"/>
        </w:sectPr>
      </w:pPr>
    </w:p>
    <w:p w14:paraId="591E8175" w14:textId="77777777" w:rsidR="00675304" w:rsidRDefault="00000000">
      <w:pPr>
        <w:pStyle w:val="Ttulo1"/>
        <w:spacing w:after="240"/>
      </w:pPr>
      <w:r>
        <w:t>Declaración de Uso de Inteligencia Artificial</w:t>
      </w:r>
    </w:p>
    <w:p w14:paraId="025948B7" w14:textId="77777777" w:rsidR="00675304" w:rsidRDefault="00675304">
      <w:pPr>
        <w:pBdr>
          <w:bottom w:val="single" w:sz="8" w:space="1" w:color="1464A5"/>
        </w:pBdr>
        <w:spacing w:after="120"/>
      </w:pPr>
    </w:p>
    <w:p w14:paraId="3647347A" w14:textId="77777777" w:rsidR="00675304" w:rsidRDefault="00000000">
      <w:pPr>
        <w:spacing w:before="120" w:after="180"/>
      </w:pPr>
      <w:r>
        <w:rPr>
          <w:sz w:val="22"/>
          <w:szCs w:val="22"/>
        </w:rPr>
        <w:t>El alumno debe indicar de manera honesta si utilizó herramientas de Inteligencia Artificial (IA) para el desarrollo de esta actividad. Completa la siguiente tabla: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200"/>
        <w:gridCol w:w="3660"/>
      </w:tblGrid>
      <w:tr w:rsidR="00675304" w14:paraId="12AFE137" w14:textId="77777777" w:rsidTr="00A92D38">
        <w:trPr>
          <w:tblHeader/>
          <w:cantSplit/>
        </w:trPr>
        <w:tc>
          <w:tcPr>
            <w:tcW w:w="3500" w:type="dxa"/>
            <w:tcBorders>
              <w:top w:val="single" w:sz="1" w:space="0" w:color="CCCCCC"/>
              <w:left w:val="single" w:sz="1" w:space="0" w:color="CCCCCC"/>
              <w:bottom w:val="single" w:sz="1" w:space="0" w:color="CCCCCC"/>
              <w:right w:val="single" w:sz="1" w:space="0" w:color="CCCCCC"/>
            </w:tcBorders>
            <w:shd w:val="clear" w:color="auto" w:fill="072146"/>
            <w:tcMar>
              <w:top w:w="80" w:type="dxa"/>
              <w:left w:w="120" w:type="dxa"/>
              <w:bottom w:w="80" w:type="dxa"/>
              <w:right w:w="120" w:type="dxa"/>
            </w:tcMar>
          </w:tcPr>
          <w:p w14:paraId="64B4F54D" w14:textId="77777777" w:rsidR="00675304" w:rsidRDefault="00000000">
            <w:pPr>
              <w:keepNext/>
            </w:pPr>
            <w:r>
              <w:rPr>
                <w:b/>
                <w:bCs/>
                <w:color w:val="FFFFFF"/>
                <w:sz w:val="20"/>
                <w:szCs w:val="20"/>
              </w:rPr>
              <w:t>Herramienta de IA utilizada</w:t>
            </w:r>
          </w:p>
        </w:tc>
        <w:tc>
          <w:tcPr>
            <w:tcW w:w="2200" w:type="dxa"/>
            <w:tcBorders>
              <w:top w:val="single" w:sz="1" w:space="0" w:color="CCCCCC"/>
              <w:left w:val="single" w:sz="1" w:space="0" w:color="CCCCCC"/>
              <w:bottom w:val="single" w:sz="1" w:space="0" w:color="CCCCCC"/>
              <w:right w:val="single" w:sz="1" w:space="0" w:color="CCCCCC"/>
            </w:tcBorders>
            <w:shd w:val="clear" w:color="auto" w:fill="072146"/>
            <w:tcMar>
              <w:top w:w="80" w:type="dxa"/>
              <w:left w:w="120" w:type="dxa"/>
              <w:bottom w:w="80" w:type="dxa"/>
              <w:right w:w="120" w:type="dxa"/>
            </w:tcMar>
          </w:tcPr>
          <w:p w14:paraId="0D3378AC" w14:textId="77777777" w:rsidR="00675304" w:rsidRDefault="00000000">
            <w:r>
              <w:rPr>
                <w:b/>
                <w:bCs/>
                <w:color w:val="FFFFFF"/>
                <w:sz w:val="20"/>
                <w:szCs w:val="20"/>
              </w:rPr>
              <w:t>¿La usaste?</w:t>
            </w:r>
          </w:p>
        </w:tc>
        <w:tc>
          <w:tcPr>
            <w:tcW w:w="3660" w:type="dxa"/>
            <w:tcBorders>
              <w:top w:val="single" w:sz="1" w:space="0" w:color="CCCCCC"/>
              <w:left w:val="single" w:sz="1" w:space="0" w:color="CCCCCC"/>
              <w:bottom w:val="single" w:sz="1" w:space="0" w:color="CCCCCC"/>
              <w:right w:val="single" w:sz="1" w:space="0" w:color="CCCCCC"/>
            </w:tcBorders>
            <w:shd w:val="clear" w:color="auto" w:fill="072146"/>
            <w:tcMar>
              <w:top w:w="80" w:type="dxa"/>
              <w:left w:w="120" w:type="dxa"/>
              <w:bottom w:w="80" w:type="dxa"/>
              <w:right w:w="120" w:type="dxa"/>
            </w:tcMar>
          </w:tcPr>
          <w:p w14:paraId="0AA90EF7" w14:textId="77777777" w:rsidR="00675304" w:rsidRDefault="00000000">
            <w:r>
              <w:rPr>
                <w:b/>
                <w:bCs/>
                <w:color w:val="FFFFFF"/>
                <w:sz w:val="20"/>
                <w:szCs w:val="20"/>
              </w:rPr>
              <w:t>Propósito / Descripción de uso</w:t>
            </w:r>
          </w:p>
        </w:tc>
      </w:tr>
      <w:tr w:rsidR="00675304" w14:paraId="404BD7CD" w14:textId="77777777">
        <w:trPr>
          <w:cantSplit/>
        </w:trPr>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05FB966" w14:textId="77777777" w:rsidR="00675304" w:rsidRDefault="00000000">
            <w:r>
              <w:rPr>
                <w:sz w:val="20"/>
                <w:szCs w:val="20"/>
              </w:rPr>
              <w:t>ChatGPT / OpenAI</w:t>
            </w:r>
          </w:p>
        </w:tc>
        <w:tc>
          <w:tcPr>
            <w:tcW w:w="2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r>
              <w:t>Sí</w:t>
            </w:r>
          </w:p>
        </w:tc>
        <w:tc>
          <w:tcPr>
            <w:tcW w:w="36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r>
              <w:t>Revisión 1.1.0 con ChatGPT/Codex: arquitectura, análisis retrospectivo, contrato OpenAPI y edición documental. No se reentrenó el modelo. Evidencias ejecutadas separadas de procedimientos preparados.</w:t>
            </w:r>
          </w:p>
        </w:tc>
      </w:tr>
      <w:tr w:rsidR="00675304" w14:paraId="2110E642" w14:textId="77777777">
        <w:trPr>
          <w:cantSplit/>
        </w:trPr>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A2AA64" w14:textId="77777777" w:rsidR="00675304" w:rsidRDefault="00000000">
            <w:r>
              <w:rPr>
                <w:sz w:val="20"/>
                <w:szCs w:val="20"/>
              </w:rPr>
              <w:t>Claude (Anthropic)</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t>No</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t>No utilizado para esta fase.</w:t>
            </w:r>
          </w:p>
        </w:tc>
      </w:tr>
      <w:tr w:rsidR="00675304" w14:paraId="3EAD0D2C" w14:textId="77777777">
        <w:trPr>
          <w:cantSplit/>
        </w:trPr>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05E2DB2" w14:textId="77777777" w:rsidR="00675304" w:rsidRDefault="00000000">
            <w:r>
              <w:rPr>
                <w:sz w:val="20"/>
                <w:szCs w:val="20"/>
              </w:rPr>
              <w:t>Gemini (Google)</w:t>
            </w:r>
          </w:p>
        </w:tc>
        <w:tc>
          <w:tcPr>
            <w:tcW w:w="2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r>
              <w:t>No</w:t>
            </w:r>
          </w:p>
        </w:tc>
        <w:tc>
          <w:tcPr>
            <w:tcW w:w="36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r>
              <w:t>No utilizado para esta fase.</w:t>
            </w:r>
          </w:p>
        </w:tc>
      </w:tr>
      <w:tr w:rsidR="00675304" w14:paraId="1DF4598A" w14:textId="77777777">
        <w:trPr>
          <w:cantSplit/>
        </w:trPr>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F18FE" w14:textId="77777777" w:rsidR="00675304" w:rsidRDefault="00000000">
            <w:r>
              <w:rPr>
                <w:sz w:val="20"/>
                <w:szCs w:val="20"/>
              </w:rPr>
              <w:t>Copilot (Microsoft)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t>No</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t>No utilizado para esta fase.</w:t>
            </w:r>
          </w:p>
        </w:tc>
      </w:tr>
      <w:tr w:rsidR="00675304" w14:paraId="7803E162" w14:textId="77777777">
        <w:trPr>
          <w:cantSplit/>
        </w:trPr>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21BD002" w14:textId="77777777" w:rsidR="00675304" w:rsidRDefault="00000000">
            <w:r>
              <w:rPr>
                <w:sz w:val="20"/>
                <w:szCs w:val="20"/>
              </w:rPr>
              <w:t>Otra (especifica):</w:t>
            </w:r>
          </w:p>
        </w:tc>
        <w:tc>
          <w:tcPr>
            <w:tcW w:w="2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r>
              <w:t>No</w:t>
            </w:r>
          </w:p>
        </w:tc>
        <w:tc>
          <w:tcPr>
            <w:tcW w:w="36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r>
              <w:t>No utilizado para esta fase.</w:t>
            </w:r>
          </w:p>
        </w:tc>
      </w:tr>
    </w:tbl>
    <w:p w14:paraId="47EA5A26" w14:textId="77777777" w:rsidR="00675304" w:rsidRDefault="00675304">
      <w:pPr>
        <w:spacing w:before="160" w:after="160"/>
      </w:pPr>
    </w:p>
    <w:p w14:paraId="6FD6E403" w14:textId="77777777" w:rsidR="00675304" w:rsidRDefault="00675304">
      <w:pPr>
        <w:spacing w:before="100" w:after="100"/>
      </w:pPr>
    </w:p>
    <w:p w14:paraId="21F638E6" w14:textId="77777777" w:rsidR="00675304" w:rsidRDefault="00000000">
      <w:r/>
    </w:p>
    <w:p w14:paraId="7DF196CF" w14:textId="77777777" w:rsidR="00675304" w:rsidRDefault="00000000">
      <w:pPr>
        <w:pStyle w:val="Ttulo1"/>
        <w:pageBreakBefore/>
        <w:spacing w:after="240"/>
      </w:pPr>
      <w:r>
        <w:t>Desarrollo de Fase II</w:t>
      </w:r>
    </w:p>
    <w:p>
      <w:r>
        <w:t>Eduardo Aburto Angulo · 31 de octubre de 2026 · Versión 1.1.0</w:t>
      </w:r>
    </w:p>
    <w:p>
      <w:pPr>
        <w:pStyle w:val="Ttulo1"/>
        <w:keepNext/>
      </w:pPr>
      <w:r>
        <w:t>Conclusión y alcance</w:t>
      </w:r>
    </w:p>
    <w:p>
      <w:r>
        <w:t>Comprobé que la API y Streamlit se comunican dentro de Docker y que el modelo conserva las predicciones históricas. La suite automatizada aprobó 23 pruebas; la regresión HTTP recorrió 452 noticias y obtuvo una diferencia máxima de 2.78 × 10⁻¹⁶ respecto al archivo de referencia, menor que la tolerancia de 10⁻¹². Ambos servicios alcanzaron estado healthy.</w:t>
      </w:r>
    </w:p>
    <w:p>
      <w:r>
        <w:t>Esta conclusión acredita la integración y consistencia técnica del prototipo local. No equivale a una validación financiera, una prueba de carga ni un despliegue cloud completado. Como banquero Sr., mantengo la revisión humana: una alerta negativa no demuestra que migrar un fondo mejore el rendimiento.</w:t>
      </w:r>
    </w:p>
    <w:p>
      <w:pPr>
        <w:pStyle w:val="Ttulo1"/>
        <w:keepNext/>
      </w:pPr>
      <w:r>
        <w:t>Arquitectura e integración</w:t>
      </w:r>
    </w:p>
    <w:p>
      <w:pPr>
        <w:keepNext/>
      </w:pPr>
      <w:r>
        <w:drawing>
          <wp:inline xmlns:a="http://schemas.openxmlformats.org/drawingml/2006/main" xmlns:pic="http://schemas.openxmlformats.org/drawingml/2006/picture">
            <wp:extent cx="5760720" cy="2505423"/>
            <wp:docPr id="6" name="Picture 6"/>
            <wp:cNvGraphicFramePr>
              <a:graphicFrameLocks noChangeAspect="1"/>
            </wp:cNvGraphicFramePr>
            <a:graphic>
              <a:graphicData uri="http://schemas.openxmlformats.org/drawingml/2006/picture">
                <pic:pic>
                  <pic:nvPicPr>
                    <pic:cNvPr id="0" name="arquitectura.png"/>
                    <pic:cNvPicPr/>
                  </pic:nvPicPr>
                  <pic:blipFill>
                    <a:blip r:embed="rId24"/>
                    <a:stretch>
                      <a:fillRect/>
                    </a:stretch>
                  </pic:blipFill>
                  <pic:spPr>
                    <a:xfrm>
                      <a:off x="0" y="0"/>
                      <a:ext cx="5760720" cy="2505423"/>
                    </a:xfrm>
                    <a:prstGeom prst="rect"/>
                  </pic:spPr>
                </pic:pic>
              </a:graphicData>
            </a:graphic>
          </wp:inline>
        </w:drawing>
      </w:r>
    </w:p>
    <w:p>
      <w:r>
        <w:t>Figura 1. Arquitectura de la solución: navegador, Streamlit, FastAPI y modelo conservado.</w:t>
      </w:r>
    </w:p>
    <w:p>
      <w:r>
        <w:t>El navegador conversa con Streamlit; sólo el servidor Streamlit conoce la clave y llama a FastAPI por la red de Compose. Al iniciar la API, antes de aceptar peticiones, se verifica el SHA256 del modelo contra el manifiesto. Esa comprobación ocurre al arranque, no en cada noticia. El archivo conservado se carga únicamente si coincide.</w:t>
      </w:r>
    </w:p>
    <w:p>
      <w:r>
        <w:t>Secuencia de una revisión: (1) el banquero escribe una noticia en inglés; (2) Streamlit envía POST a http://api:8000/v1/predict con X-API-Key; (3) FastAPI valida el esquema, la credencial y la presencia de vocabulario conocido; (4) el modelo ya verificado produce la probabilidad; (5) la API compara con 0.20; (6) la pantalla muestra probabilidad, prioridad y la leyenda de revisión humana. Un error de red se presenta de forma comprensible y no se sustituye por una predicción inventada.</w:t>
      </w:r>
    </w:p>
    <w:tbl>
      <w:tblPr>
        <w:tblW w:type="auto" w:w="0"/>
        <w:tblLayout w:type="fixed"/>
        <w:tblLook w:firstColumn="1" w:firstRow="1" w:lastColumn="0" w:lastRow="0" w:noHBand="0" w:noVBand="1" w:val="04A0"/>
      </w:tblPr>
      <w:tblGrid>
        <w:gridCol w:w="1872"/>
        <w:gridCol w:w="1872"/>
        <w:gridCol w:w="1872"/>
        <w:gridCol w:w="1872"/>
        <w:gridCol w:w="1872"/>
      </w:tblGrid>
      <w:tr>
        <w:trPr>
          <w:cantSplit/>
          <w:tblHeader/>
        </w:trPr>
        <w:tc>
          <w:tcPr>
            <w:tcW w:type="dxa" w:w="1872"/>
            <w:shd w:fill="004481"/>
          </w:tcPr>
          <w:p>
            <w:pPr>
              <w:spacing w:after="80"/>
            </w:pPr>
            <w:r>
              <w:rPr>
                <w:b/>
                <w:color w:val="FFFFFF"/>
                <w:sz w:val="18"/>
              </w:rPr>
              <w:t>Ruta y método</w:t>
            </w:r>
          </w:p>
        </w:tc>
        <w:tc>
          <w:tcPr>
            <w:tcW w:type="dxa" w:w="1872"/>
            <w:shd w:fill="004481"/>
          </w:tcPr>
          <w:p>
            <w:pPr>
              <w:spacing w:after="80"/>
            </w:pPr>
            <w:r>
              <w:rPr>
                <w:b/>
                <w:color w:val="FFFFFF"/>
                <w:sz w:val="18"/>
              </w:rPr>
              <w:t>Autenticación</w:t>
            </w:r>
          </w:p>
        </w:tc>
        <w:tc>
          <w:tcPr>
            <w:tcW w:type="dxa" w:w="1872"/>
            <w:shd w:fill="004481"/>
          </w:tcPr>
          <w:p>
            <w:pPr>
              <w:spacing w:after="80"/>
            </w:pPr>
            <w:r>
              <w:rPr>
                <w:b/>
                <w:color w:val="FFFFFF"/>
                <w:sz w:val="18"/>
              </w:rPr>
              <w:t>Entrada</w:t>
            </w:r>
          </w:p>
        </w:tc>
        <w:tc>
          <w:tcPr>
            <w:tcW w:type="dxa" w:w="1872"/>
            <w:shd w:fill="004481"/>
          </w:tcPr>
          <w:p>
            <w:pPr>
              <w:spacing w:after="80"/>
            </w:pPr>
            <w:r>
              <w:rPr>
                <w:b/>
                <w:color w:val="FFFFFF"/>
                <w:sz w:val="18"/>
              </w:rPr>
              <w:t>Salida</w:t>
            </w:r>
          </w:p>
        </w:tc>
        <w:tc>
          <w:tcPr>
            <w:tcW w:type="dxa" w:w="1872"/>
            <w:shd w:fill="004481"/>
          </w:tcPr>
          <w:p>
            <w:pPr>
              <w:spacing w:after="80"/>
            </w:pPr>
            <w:r>
              <w:rPr>
                <w:b/>
                <w:color w:val="FFFFFF"/>
                <w:sz w:val="18"/>
              </w:rPr>
              <w:t>Errores previstos</w:t>
            </w:r>
          </w:p>
        </w:tc>
      </w:tr>
      <w:tr>
        <w:trPr>
          <w:cantSplit/>
        </w:trPr>
        <w:tc>
          <w:tcPr>
            <w:tcW w:type="dxa" w:w="1872"/>
            <w:shd w:fill="EAF3FA"/>
          </w:tcPr>
          <w:p>
            <w:pPr>
              <w:spacing w:after="80"/>
            </w:pPr>
            <w:r>
              <w:rPr>
                <w:b w:val="0"/>
                <w:color w:val="072146"/>
                <w:sz w:val="18"/>
              </w:rPr>
              <w:t>GET /health</w:t>
            </w:r>
          </w:p>
        </w:tc>
        <w:tc>
          <w:tcPr>
            <w:tcW w:type="dxa" w:w="1872"/>
            <w:shd w:fill="EAF3FA"/>
          </w:tcPr>
          <w:p>
            <w:pPr>
              <w:spacing w:after="80"/>
            </w:pPr>
            <w:r>
              <w:rPr>
                <w:b w:val="0"/>
                <w:color w:val="072146"/>
                <w:sz w:val="18"/>
              </w:rPr>
              <w:t>Pública</w:t>
            </w:r>
          </w:p>
        </w:tc>
        <w:tc>
          <w:tcPr>
            <w:tcW w:type="dxa" w:w="1872"/>
            <w:shd w:fill="EAF3FA"/>
          </w:tcPr>
          <w:p>
            <w:pPr>
              <w:spacing w:after="80"/>
            </w:pPr>
            <w:r>
              <w:rPr>
                <w:b w:val="0"/>
                <w:color w:val="072146"/>
                <w:sz w:val="18"/>
              </w:rPr>
              <w:t>Ninguna</w:t>
            </w:r>
          </w:p>
        </w:tc>
        <w:tc>
          <w:tcPr>
            <w:tcW w:type="dxa" w:w="1872"/>
            <w:shd w:fill="EAF3FA"/>
          </w:tcPr>
          <w:p>
            <w:pPr>
              <w:spacing w:after="80"/>
            </w:pPr>
            <w:r>
              <w:rPr>
                <w:b w:val="0"/>
                <w:color w:val="072146"/>
                <w:sz w:val="18"/>
              </w:rPr>
              <w:t>Estado y disponibilidad del modelo</w:t>
            </w:r>
          </w:p>
        </w:tc>
        <w:tc>
          <w:tcPr>
            <w:tcW w:type="dxa" w:w="1872"/>
            <w:shd w:fill="EAF3FA"/>
          </w:tcPr>
          <w:p>
            <w:pPr>
              <w:spacing w:after="80"/>
            </w:pPr>
            <w:r>
              <w:rPr>
                <w:b w:val="0"/>
                <w:color w:val="072146"/>
                <w:sz w:val="18"/>
              </w:rPr>
              <w:t>503</w:t>
            </w:r>
          </w:p>
        </w:tc>
      </w:tr>
      <w:tr>
        <w:trPr>
          <w:cantSplit/>
        </w:trPr>
        <w:tc>
          <w:tcPr>
            <w:tcW w:type="dxa" w:w="1872"/>
            <w:shd w:fill="EAF3FA"/>
          </w:tcPr>
          <w:p>
            <w:pPr>
              <w:spacing w:after="80"/>
            </w:pPr>
            <w:r>
              <w:rPr>
                <w:b w:val="0"/>
                <w:color w:val="072146"/>
                <w:sz w:val="18"/>
              </w:rPr>
              <w:t>GET /v1/model</w:t>
            </w:r>
          </w:p>
        </w:tc>
        <w:tc>
          <w:tcPr>
            <w:tcW w:type="dxa" w:w="1872"/>
            <w:shd w:fill="EAF3FA"/>
          </w:tcPr>
          <w:p>
            <w:pPr>
              <w:spacing w:after="80"/>
            </w:pPr>
            <w:r>
              <w:rPr>
                <w:b w:val="0"/>
                <w:color w:val="072146"/>
                <w:sz w:val="18"/>
              </w:rPr>
              <w:t>X-API-Key</w:t>
            </w:r>
          </w:p>
        </w:tc>
        <w:tc>
          <w:tcPr>
            <w:tcW w:type="dxa" w:w="1872"/>
            <w:shd w:fill="EAF3FA"/>
          </w:tcPr>
          <w:p>
            <w:pPr>
              <w:spacing w:after="80"/>
            </w:pPr>
            <w:r>
              <w:rPr>
                <w:b w:val="0"/>
                <w:color w:val="072146"/>
                <w:sz w:val="18"/>
              </w:rPr>
              <w:t>Ninguna</w:t>
            </w:r>
          </w:p>
        </w:tc>
        <w:tc>
          <w:tcPr>
            <w:tcW w:type="dxa" w:w="1872"/>
            <w:shd w:fill="EAF3FA"/>
          </w:tcPr>
          <w:p>
            <w:pPr>
              <w:spacing w:after="80"/>
            </w:pPr>
            <w:r>
              <w:rPr>
                <w:b w:val="0"/>
                <w:color w:val="072146"/>
                <w:sz w:val="18"/>
              </w:rPr>
              <w:t>Manifiesto, hash y limitaciones</w:t>
            </w:r>
          </w:p>
        </w:tc>
        <w:tc>
          <w:tcPr>
            <w:tcW w:type="dxa" w:w="1872"/>
            <w:shd w:fill="EAF3FA"/>
          </w:tcPr>
          <w:p>
            <w:pPr>
              <w:spacing w:after="80"/>
            </w:pPr>
            <w:r>
              <w:rPr>
                <w:b w:val="0"/>
                <w:color w:val="072146"/>
                <w:sz w:val="18"/>
              </w:rPr>
              <w:t>401</w:t>
            </w:r>
          </w:p>
        </w:tc>
      </w:tr>
      <w:tr>
        <w:trPr>
          <w:cantSplit/>
        </w:trPr>
        <w:tc>
          <w:tcPr>
            <w:tcW w:type="dxa" w:w="1872"/>
            <w:shd w:fill="EAF3FA"/>
          </w:tcPr>
          <w:p>
            <w:pPr>
              <w:spacing w:after="80"/>
            </w:pPr>
            <w:r>
              <w:rPr>
                <w:b w:val="0"/>
                <w:color w:val="072146"/>
                <w:sz w:val="18"/>
              </w:rPr>
              <w:t>POST /v1/predict</w:t>
            </w:r>
          </w:p>
        </w:tc>
        <w:tc>
          <w:tcPr>
            <w:tcW w:type="dxa" w:w="1872"/>
            <w:shd w:fill="EAF3FA"/>
          </w:tcPr>
          <w:p>
            <w:pPr>
              <w:spacing w:after="80"/>
            </w:pPr>
            <w:r>
              <w:rPr>
                <w:b w:val="0"/>
                <w:color w:val="072146"/>
                <w:sz w:val="18"/>
              </w:rPr>
              <w:t>X-API-Key</w:t>
            </w:r>
          </w:p>
        </w:tc>
        <w:tc>
          <w:tcPr>
            <w:tcW w:type="dxa" w:w="1872"/>
            <w:shd w:fill="EAF3FA"/>
          </w:tcPr>
          <w:p>
            <w:pPr>
              <w:spacing w:after="80"/>
            </w:pPr>
            <w:r>
              <w:rPr>
                <w:b w:val="0"/>
                <w:color w:val="072146"/>
                <w:sz w:val="18"/>
              </w:rPr>
              <w:t>texto; idioma en</w:t>
            </w:r>
          </w:p>
        </w:tc>
        <w:tc>
          <w:tcPr>
            <w:tcW w:type="dxa" w:w="1872"/>
            <w:shd w:fill="EAF3FA"/>
          </w:tcPr>
          <w:p>
            <w:pPr>
              <w:spacing w:after="80"/>
            </w:pPr>
            <w:r>
              <w:rPr>
                <w:b w:val="0"/>
                <w:color w:val="072146"/>
                <w:sz w:val="18"/>
              </w:rPr>
              <w:t>Probabilidad, umbral y aviso</w:t>
            </w:r>
          </w:p>
        </w:tc>
        <w:tc>
          <w:tcPr>
            <w:tcW w:type="dxa" w:w="1872"/>
            <w:shd w:fill="EAF3FA"/>
          </w:tcPr>
          <w:p>
            <w:pPr>
              <w:spacing w:after="80"/>
            </w:pPr>
            <w:r>
              <w:rPr>
                <w:b w:val="0"/>
                <w:color w:val="072146"/>
                <w:sz w:val="18"/>
              </w:rPr>
              <w:t>401, 422, 503</w:t>
            </w:r>
          </w:p>
        </w:tc>
      </w:tr>
      <w:tr>
        <w:trPr>
          <w:cantSplit/>
        </w:trPr>
        <w:tc>
          <w:tcPr>
            <w:tcW w:type="dxa" w:w="1872"/>
            <w:shd w:fill="EAF3FA"/>
          </w:tcPr>
          <w:p>
            <w:pPr>
              <w:spacing w:after="80"/>
            </w:pPr>
            <w:r>
              <w:rPr>
                <w:b w:val="0"/>
                <w:color w:val="072146"/>
                <w:sz w:val="18"/>
              </w:rPr>
              <w:t>GET /v1/clients</w:t>
            </w:r>
          </w:p>
        </w:tc>
        <w:tc>
          <w:tcPr>
            <w:tcW w:type="dxa" w:w="1872"/>
            <w:shd w:fill="EAF3FA"/>
          </w:tcPr>
          <w:p>
            <w:pPr>
              <w:spacing w:after="80"/>
            </w:pPr>
            <w:r>
              <w:rPr>
                <w:b w:val="0"/>
                <w:color w:val="072146"/>
                <w:sz w:val="18"/>
              </w:rPr>
              <w:t>X-API-Key</w:t>
            </w:r>
          </w:p>
        </w:tc>
        <w:tc>
          <w:tcPr>
            <w:tcW w:type="dxa" w:w="1872"/>
            <w:shd w:fill="EAF3FA"/>
          </w:tcPr>
          <w:p>
            <w:pPr>
              <w:spacing w:after="80"/>
            </w:pPr>
            <w:r>
              <w:rPr>
                <w:b w:val="0"/>
                <w:color w:val="072146"/>
                <w:sz w:val="18"/>
              </w:rPr>
              <w:t>Ninguna</w:t>
            </w:r>
          </w:p>
        </w:tc>
        <w:tc>
          <w:tcPr>
            <w:tcW w:type="dxa" w:w="1872"/>
            <w:shd w:fill="EAF3FA"/>
          </w:tcPr>
          <w:p>
            <w:pPr>
              <w:spacing w:after="80"/>
            </w:pPr>
            <w:r>
              <w:rPr>
                <w:b w:val="0"/>
                <w:color w:val="072146"/>
                <w:sz w:val="18"/>
              </w:rPr>
              <w:t>150 clientes ficticios</w:t>
            </w:r>
          </w:p>
        </w:tc>
        <w:tc>
          <w:tcPr>
            <w:tcW w:type="dxa" w:w="1872"/>
            <w:shd w:fill="EAF3FA"/>
          </w:tcPr>
          <w:p>
            <w:pPr>
              <w:spacing w:after="80"/>
            </w:pPr>
            <w:r>
              <w:rPr>
                <w:b w:val="0"/>
                <w:color w:val="072146"/>
                <w:sz w:val="18"/>
              </w:rPr>
              <w:t>401</w:t>
            </w:r>
          </w:p>
        </w:tc>
      </w:tr>
      <w:tr>
        <w:trPr>
          <w:cantSplit/>
        </w:trPr>
        <w:tc>
          <w:tcPr>
            <w:tcW w:type="dxa" w:w="1872"/>
            <w:shd w:fill="EAF3FA"/>
          </w:tcPr>
          <w:p>
            <w:pPr>
              <w:spacing w:after="80"/>
            </w:pPr>
            <w:r>
              <w:rPr>
                <w:b w:val="0"/>
                <w:color w:val="072146"/>
                <w:sz w:val="18"/>
              </w:rPr>
              <w:t>POST /v1/scenario</w:t>
            </w:r>
          </w:p>
        </w:tc>
        <w:tc>
          <w:tcPr>
            <w:tcW w:type="dxa" w:w="1872"/>
            <w:shd w:fill="EAF3FA"/>
          </w:tcPr>
          <w:p>
            <w:pPr>
              <w:spacing w:after="80"/>
            </w:pPr>
            <w:r>
              <w:rPr>
                <w:b w:val="0"/>
                <w:color w:val="072146"/>
                <w:sz w:val="18"/>
              </w:rPr>
              <w:t>X-API-Key</w:t>
            </w:r>
          </w:p>
        </w:tc>
        <w:tc>
          <w:tcPr>
            <w:tcW w:type="dxa" w:w="1872"/>
            <w:shd w:fill="EAF3FA"/>
          </w:tcPr>
          <w:p>
            <w:pPr>
              <w:spacing w:after="80"/>
            </w:pPr>
            <w:r>
              <w:rPr>
                <w:b w:val="0"/>
                <w:color w:val="072146"/>
                <w:sz w:val="18"/>
              </w:rPr>
              <w:t>Cliente, proporción, mejora, meses, gastos, perfil</w:t>
            </w:r>
          </w:p>
        </w:tc>
        <w:tc>
          <w:tcPr>
            <w:tcW w:type="dxa" w:w="1872"/>
            <w:shd w:fill="EAF3FA"/>
          </w:tcPr>
          <w:p>
            <w:pPr>
              <w:spacing w:after="80"/>
            </w:pPr>
            <w:r>
              <w:rPr>
                <w:b w:val="0"/>
                <w:color w:val="072146"/>
                <w:sz w:val="18"/>
              </w:rPr>
              <w:t>Compatibilidad y beneficio supuesto</w:t>
            </w:r>
          </w:p>
        </w:tc>
        <w:tc>
          <w:tcPr>
            <w:tcW w:type="dxa" w:w="1872"/>
            <w:shd w:fill="EAF3FA"/>
          </w:tcPr>
          <w:p>
            <w:pPr>
              <w:spacing w:after="80"/>
            </w:pPr>
            <w:r>
              <w:rPr>
                <w:b w:val="0"/>
                <w:color w:val="072146"/>
                <w:sz w:val="18"/>
              </w:rPr>
              <w:t>401, 404, 422</w:t>
            </w:r>
          </w:p>
        </w:tc>
      </w:tr>
    </w:tbl>
    <w:p>
      <w:r>
        <w:t>La ruta de salud es pública; las cuatro rutas de negocio requieren clave. El contrato completo de campos y restricciones está en documentos/openapi.json. Los errores no convierten la API en un sistema de autorización de operaciones.</w:t>
      </w:r>
    </w:p>
    <w:p>
      <w:pPr>
        <w:pStyle w:val="Ttulo2"/>
        <w:keepNext/>
      </w:pPr>
      <w:r>
        <w:t>Peticiones y respuestas observadas</w:t>
      </w:r>
    </w:p>
    <w:p>
      <w:r>
        <w:t>Ejecuté los cinco casos con FastAPI TestClient y su ciclo de arranque real, sin alterar la lógica. evidencias/ejemplos_api.json conserva las respuestas completas. Los siguientes extractos seleccionan campos de esas respuestas; no se presentan como cuerpos completos. En una llamada HTTP real se añade X-API-Key desde el entorno, sin publicar su valor.</w:t>
      </w:r>
    </w:p>
    <w:p>
      <w:r>
        <w:t>GET /health — HTTP 200.</w:t>
      </w:r>
    </w:p>
    <w:p>
      <w:pPr>
        <w:spacing w:after="20"/>
      </w:pPr>
      <w:r>
        <w:rPr>
          <w:rFonts w:ascii="Courier New" w:hAnsi="Courier New"/>
          <w:sz w:val="16"/>
        </w:rPr>
        <w:t>{</w:t>
      </w:r>
    </w:p>
    <w:p>
      <w:pPr>
        <w:spacing w:after="20"/>
      </w:pPr>
      <w:r>
        <w:rPr>
          <w:rFonts w:ascii="Courier New" w:hAnsi="Courier New"/>
          <w:sz w:val="16"/>
        </w:rPr>
        <w:t xml:space="preserve">  "entrada": null,</w:t>
      </w:r>
    </w:p>
    <w:p>
      <w:pPr>
        <w:spacing w:after="20"/>
      </w:pPr>
      <w:r>
        <w:rPr>
          <w:rFonts w:ascii="Courier New" w:hAnsi="Courier New"/>
          <w:sz w:val="16"/>
        </w:rPr>
        <w:t xml:space="preserve">  "salida_extracto": {</w:t>
      </w:r>
    </w:p>
    <w:p>
      <w:pPr>
        <w:spacing w:after="20"/>
      </w:pPr>
      <w:r>
        <w:rPr>
          <w:rFonts w:ascii="Courier New" w:hAnsi="Courier New"/>
          <w:sz w:val="16"/>
        </w:rPr>
        <w:t xml:space="preserve">    "status": "ok",</w:t>
      </w:r>
    </w:p>
    <w:p>
      <w:pPr>
        <w:spacing w:after="20"/>
      </w:pPr>
      <w:r>
        <w:rPr>
          <w:rFonts w:ascii="Courier New" w:hAnsi="Courier New"/>
          <w:sz w:val="16"/>
        </w:rPr>
        <w:t xml:space="preserve">    "model_ready": true,</w:t>
      </w:r>
    </w:p>
    <w:p>
      <w:pPr>
        <w:spacing w:after="20"/>
      </w:pPr>
      <w:r>
        <w:rPr>
          <w:rFonts w:ascii="Courier New" w:hAnsi="Courier New"/>
          <w:sz w:val="16"/>
        </w:rPr>
        <w:t xml:space="preserve">    "version": "1.0.0"</w:t>
      </w:r>
    </w:p>
    <w:p>
      <w:pPr>
        <w:spacing w:after="20"/>
      </w:pPr>
      <w:r>
        <w:rPr>
          <w:rFonts w:ascii="Courier New" w:hAnsi="Courier New"/>
          <w:sz w:val="16"/>
        </w:rPr>
        <w:t xml:space="preserve">  }</w:t>
      </w:r>
    </w:p>
    <w:p>
      <w:pPr>
        <w:spacing w:after="20"/>
      </w:pPr>
      <w:r>
        <w:rPr>
          <w:rFonts w:ascii="Courier New" w:hAnsi="Courier New"/>
          <w:sz w:val="16"/>
        </w:rPr>
        <w:t>}</w:t>
      </w:r>
    </w:p>
    <w:p>
      <w:r>
        <w:t>GET /v1/model — HTTP 200.</w:t>
      </w:r>
    </w:p>
    <w:p>
      <w:pPr>
        <w:spacing w:after="20"/>
      </w:pPr>
      <w:r>
        <w:rPr>
          <w:rFonts w:ascii="Courier New" w:hAnsi="Courier New"/>
          <w:sz w:val="16"/>
        </w:rPr>
        <w:t>{</w:t>
      </w:r>
    </w:p>
    <w:p>
      <w:pPr>
        <w:spacing w:after="20"/>
      </w:pPr>
      <w:r>
        <w:rPr>
          <w:rFonts w:ascii="Courier New" w:hAnsi="Courier New"/>
          <w:sz w:val="16"/>
        </w:rPr>
        <w:t xml:space="preserve">  "entrada": null,</w:t>
      </w:r>
    </w:p>
    <w:p>
      <w:pPr>
        <w:spacing w:after="20"/>
      </w:pPr>
      <w:r>
        <w:rPr>
          <w:rFonts w:ascii="Courier New" w:hAnsi="Courier New"/>
          <w:sz w:val="16"/>
        </w:rPr>
        <w:t xml:space="preserve">  "salida_extracto": {</w:t>
      </w:r>
    </w:p>
    <w:p>
      <w:pPr>
        <w:spacing w:after="20"/>
      </w:pPr>
      <w:r>
        <w:rPr>
          <w:rFonts w:ascii="Courier New" w:hAnsi="Courier New"/>
          <w:sz w:val="16"/>
        </w:rPr>
        <w:t xml:space="preserve">    "sha256": "f48c7496d5a12bd15d535721e3e83c6ef895b1ae7eaccbe7f4f4c60705bb1916",</w:t>
      </w:r>
    </w:p>
    <w:p>
      <w:pPr>
        <w:spacing w:after="20"/>
      </w:pPr>
      <w:r>
        <w:rPr>
          <w:rFonts w:ascii="Courier New" w:hAnsi="Courier New"/>
          <w:sz w:val="16"/>
        </w:rPr>
        <w:t xml:space="preserve">    "notice": "Priorizar revisión humana; no es orden de inversión ni predicción de rendimiento.",</w:t>
      </w:r>
    </w:p>
    <w:p>
      <w:pPr>
        <w:spacing w:after="20"/>
      </w:pPr>
      <w:r>
        <w:rPr>
          <w:rFonts w:ascii="Courier New" w:hAnsi="Courier New"/>
          <w:sz w:val="16"/>
        </w:rPr>
        <w:t xml:space="preserve">    "joint_target_met": false</w:t>
      </w:r>
    </w:p>
    <w:p>
      <w:pPr>
        <w:spacing w:after="20"/>
      </w:pPr>
      <w:r>
        <w:rPr>
          <w:rFonts w:ascii="Courier New" w:hAnsi="Courier New"/>
          <w:sz w:val="16"/>
        </w:rPr>
        <w:t xml:space="preserve">  }</w:t>
      </w:r>
    </w:p>
    <w:p>
      <w:pPr>
        <w:spacing w:after="20"/>
      </w:pPr>
      <w:r>
        <w:rPr>
          <w:rFonts w:ascii="Courier New" w:hAnsi="Courier New"/>
          <w:sz w:val="16"/>
        </w:rPr>
        <w:t>}</w:t>
      </w:r>
    </w:p>
    <w:p>
      <w:r>
        <w:t>POST /v1/predict — HTTP 200.</w:t>
      </w:r>
    </w:p>
    <w:p>
      <w:pPr>
        <w:spacing w:after="20"/>
      </w:pPr>
      <w:r>
        <w:rPr>
          <w:rFonts w:ascii="Courier New" w:hAnsi="Courier New"/>
          <w:sz w:val="16"/>
        </w:rPr>
        <w:t>{</w:t>
      </w:r>
    </w:p>
    <w:p>
      <w:pPr>
        <w:spacing w:after="20"/>
      </w:pPr>
      <w:r>
        <w:rPr>
          <w:rFonts w:ascii="Courier New" w:hAnsi="Courier New"/>
          <w:sz w:val="16"/>
        </w:rPr>
        <w:t xml:space="preserve">  "entrada": {</w:t>
      </w:r>
    </w:p>
    <w:p>
      <w:pPr>
        <w:spacing w:after="20"/>
      </w:pPr>
      <w:r>
        <w:rPr>
          <w:rFonts w:ascii="Courier New" w:hAnsi="Courier New"/>
          <w:sz w:val="16"/>
        </w:rPr>
        <w:t xml:space="preserve">    "texto": "The company reported a decline in operating profit.",</w:t>
      </w:r>
    </w:p>
    <w:p>
      <w:pPr>
        <w:spacing w:after="20"/>
      </w:pPr>
      <w:r>
        <w:rPr>
          <w:rFonts w:ascii="Courier New" w:hAnsi="Courier New"/>
          <w:sz w:val="16"/>
        </w:rPr>
        <w:t xml:space="preserve">    "idioma": "en"</w:t>
      </w:r>
    </w:p>
    <w:p>
      <w:pPr>
        <w:spacing w:after="20"/>
      </w:pPr>
      <w:r>
        <w:rPr>
          <w:rFonts w:ascii="Courier New" w:hAnsi="Courier New"/>
          <w:sz w:val="16"/>
        </w:rPr>
        <w:t xml:space="preserve">  },</w:t>
      </w:r>
    </w:p>
    <w:p>
      <w:pPr>
        <w:spacing w:after="20"/>
      </w:pPr>
      <w:r>
        <w:rPr>
          <w:rFonts w:ascii="Courier New" w:hAnsi="Courier New"/>
          <w:sz w:val="16"/>
        </w:rPr>
        <w:t xml:space="preserve">  "salida_extracto": {</w:t>
      </w:r>
    </w:p>
    <w:p>
      <w:pPr>
        <w:spacing w:after="20"/>
      </w:pPr>
      <w:r>
        <w:rPr>
          <w:rFonts w:ascii="Courier New" w:hAnsi="Courier New"/>
          <w:sz w:val="16"/>
        </w:rPr>
        <w:t xml:space="preserve">    "probabilidad_negativa": 0.3544057081827505,</w:t>
      </w:r>
    </w:p>
    <w:p>
      <w:pPr>
        <w:spacing w:after="20"/>
      </w:pPr>
      <w:r>
        <w:rPr>
          <w:rFonts w:ascii="Courier New" w:hAnsi="Courier New"/>
          <w:sz w:val="16"/>
        </w:rPr>
        <w:t xml:space="preserve">    "umbral": 0.2,</w:t>
      </w:r>
    </w:p>
    <w:p>
      <w:pPr>
        <w:spacing w:after="20"/>
      </w:pPr>
      <w:r>
        <w:rPr>
          <w:rFonts w:ascii="Courier New" w:hAnsi="Courier New"/>
          <w:sz w:val="16"/>
        </w:rPr>
        <w:t xml:space="preserve">    "priorizar_revision": true,</w:t>
      </w:r>
    </w:p>
    <w:p>
      <w:pPr>
        <w:spacing w:after="20"/>
      </w:pPr>
      <w:r>
        <w:rPr>
          <w:rFonts w:ascii="Courier New" w:hAnsi="Courier New"/>
          <w:sz w:val="16"/>
        </w:rPr>
        <w:t xml:space="preserve">    "idioma_declarado": "en",</w:t>
      </w:r>
    </w:p>
    <w:p>
      <w:pPr>
        <w:spacing w:after="20"/>
      </w:pPr>
      <w:r>
        <w:rPr>
          <w:rFonts w:ascii="Courier New" w:hAnsi="Courier New"/>
          <w:sz w:val="16"/>
        </w:rPr>
        <w:t xml:space="preserve">    "notice": "Priorizar revisión humana; no es orden de inversión ni predicción de rendimiento.",</w:t>
      </w:r>
    </w:p>
    <w:p>
      <w:pPr>
        <w:spacing w:after="20"/>
      </w:pPr>
      <w:r>
        <w:rPr>
          <w:rFonts w:ascii="Courier New" w:hAnsi="Courier New"/>
          <w:sz w:val="16"/>
        </w:rPr>
        <w:t xml:space="preserve">    "model_sha256": "f48c7496d5a12bd15d535721e3e83c6ef895b1ae7eaccbe7f4f4c60705bb1916"</w:t>
      </w:r>
    </w:p>
    <w:p>
      <w:pPr>
        <w:spacing w:after="20"/>
      </w:pPr>
      <w:r>
        <w:rPr>
          <w:rFonts w:ascii="Courier New" w:hAnsi="Courier New"/>
          <w:sz w:val="16"/>
        </w:rPr>
        <w:t xml:space="preserve">  }</w:t>
      </w:r>
    </w:p>
    <w:p>
      <w:pPr>
        <w:spacing w:after="20"/>
      </w:pPr>
      <w:r>
        <w:rPr>
          <w:rFonts w:ascii="Courier New" w:hAnsi="Courier New"/>
          <w:sz w:val="16"/>
        </w:rPr>
        <w:t>}</w:t>
      </w:r>
    </w:p>
    <w:p>
      <w:r>
        <w:t>GET /v1/clients — HTTP 200.</w:t>
      </w:r>
    </w:p>
    <w:p>
      <w:pPr>
        <w:spacing w:after="20"/>
      </w:pPr>
      <w:r>
        <w:rPr>
          <w:rFonts w:ascii="Courier New" w:hAnsi="Courier New"/>
          <w:sz w:val="16"/>
        </w:rPr>
        <w:t>{</w:t>
      </w:r>
    </w:p>
    <w:p>
      <w:pPr>
        <w:spacing w:after="20"/>
      </w:pPr>
      <w:r>
        <w:rPr>
          <w:rFonts w:ascii="Courier New" w:hAnsi="Courier New"/>
          <w:sz w:val="16"/>
        </w:rPr>
        <w:t xml:space="preserve">  "entrada": null,</w:t>
      </w:r>
    </w:p>
    <w:p>
      <w:pPr>
        <w:spacing w:after="20"/>
      </w:pPr>
      <w:r>
        <w:rPr>
          <w:rFonts w:ascii="Courier New" w:hAnsi="Courier New"/>
          <w:sz w:val="16"/>
        </w:rPr>
        <w:t xml:space="preserve">  "salida_extracto": {</w:t>
      </w:r>
    </w:p>
    <w:p>
      <w:pPr>
        <w:spacing w:after="20"/>
      </w:pPr>
      <w:r>
        <w:rPr>
          <w:rFonts w:ascii="Courier New" w:hAnsi="Courier New"/>
          <w:sz w:val="16"/>
        </w:rPr>
        <w:t xml:space="preserve">    "simulados": true,</w:t>
      </w:r>
    </w:p>
    <w:p>
      <w:pPr>
        <w:spacing w:after="20"/>
      </w:pPr>
      <w:r>
        <w:rPr>
          <w:rFonts w:ascii="Courier New" w:hAnsi="Courier New"/>
          <w:sz w:val="16"/>
        </w:rPr>
        <w:t xml:space="preserve">    "clientes": [</w:t>
      </w:r>
    </w:p>
    <w:p>
      <w:pPr>
        <w:spacing w:after="20"/>
      </w:pPr>
      <w:r>
        <w:rPr>
          <w:rFonts w:ascii="Courier New" w:hAnsi="Courier New"/>
          <w:sz w:val="16"/>
        </w:rPr>
        <w:t xml:space="preserve">      {</w:t>
      </w:r>
    </w:p>
    <w:p>
      <w:pPr>
        <w:spacing w:after="20"/>
      </w:pPr>
      <w:r>
        <w:rPr>
          <w:rFonts w:ascii="Courier New" w:hAnsi="Courier New"/>
          <w:sz w:val="16"/>
        </w:rPr>
        <w:t xml:space="preserve">        "cliente_id": "C001",</w:t>
      </w:r>
    </w:p>
    <w:p>
      <w:pPr>
        <w:spacing w:after="20"/>
      </w:pPr>
      <w:r>
        <w:rPr>
          <w:rFonts w:ascii="Courier New" w:hAnsi="Courier New"/>
          <w:sz w:val="16"/>
        </w:rPr>
        <w:t xml:space="preserve">        "nombre": "Killer Croc",</w:t>
      </w:r>
    </w:p>
    <w:p>
      <w:pPr>
        <w:spacing w:after="20"/>
      </w:pPr>
      <w:r>
        <w:rPr>
          <w:rFonts w:ascii="Courier New" w:hAnsi="Courier New"/>
          <w:sz w:val="16"/>
        </w:rPr>
        <w:t xml:space="preserve">        "arquetipo": "Villano",</w:t>
      </w:r>
    </w:p>
    <w:p>
      <w:pPr>
        <w:spacing w:after="20"/>
      </w:pPr>
      <w:r>
        <w:rPr>
          <w:rFonts w:ascii="Courier New" w:hAnsi="Courier New"/>
          <w:sz w:val="16"/>
        </w:rPr>
        <w:t xml:space="preserve">        "perfil_riesgo": "Moderado",</w:t>
      </w:r>
    </w:p>
    <w:p>
      <w:pPr>
        <w:spacing w:after="20"/>
      </w:pPr>
      <w:r>
        <w:rPr>
          <w:rFonts w:ascii="Courier New" w:hAnsi="Courier New"/>
          <w:sz w:val="16"/>
        </w:rPr>
        <w:t xml:space="preserve">        "posicion_mxn": 11858000,</w:t>
      </w:r>
    </w:p>
    <w:p>
      <w:pPr>
        <w:spacing w:after="20"/>
      </w:pPr>
      <w:r>
        <w:rPr>
          <w:rFonts w:ascii="Courier New" w:hAnsi="Courier New"/>
          <w:sz w:val="16"/>
        </w:rPr>
        <w:t xml:space="preserve">        "fondo_actual": "BBVACR",</w:t>
      </w:r>
    </w:p>
    <w:p>
      <w:pPr>
        <w:spacing w:after="20"/>
      </w:pPr>
      <w:r>
        <w:rPr>
          <w:rFonts w:ascii="Courier New" w:hAnsi="Courier New"/>
          <w:sz w:val="16"/>
        </w:rPr>
        <w:t xml:space="preserve">        "serie_actual": "P",</w:t>
      </w:r>
    </w:p>
    <w:p>
      <w:pPr>
        <w:spacing w:after="20"/>
      </w:pPr>
      <w:r>
        <w:rPr>
          <w:rFonts w:ascii="Courier New" w:hAnsi="Courier New"/>
          <w:sz w:val="16"/>
        </w:rPr>
        <w:t xml:space="preserve">        "categoria_actual": "Fondos de Estrategias Pesos",</w:t>
      </w:r>
    </w:p>
    <w:p>
      <w:pPr>
        <w:spacing w:after="20"/>
      </w:pPr>
      <w:r>
        <w:rPr>
          <w:rFonts w:ascii="Courier New" w:hAnsi="Courier New"/>
          <w:sz w:val="16"/>
        </w:rPr>
        <w:t xml:space="preserve">        "rend_1_anio_actual": 11.93,</w:t>
      </w:r>
    </w:p>
    <w:p>
      <w:pPr>
        <w:spacing w:after="20"/>
      </w:pPr>
      <w:r>
        <w:rPr>
          <w:rFonts w:ascii="Courier New" w:hAnsi="Courier New"/>
          <w:sz w:val="16"/>
        </w:rPr>
        <w:t xml:space="preserve">        "clase_activo": "Deuda Corto Plazo",</w:t>
      </w:r>
    </w:p>
    <w:p>
      <w:pPr>
        <w:spacing w:after="20"/>
      </w:pPr>
      <w:r>
        <w:rPr>
          <w:rFonts w:ascii="Courier New" w:hAnsi="Courier New"/>
          <w:sz w:val="16"/>
        </w:rPr>
        <w:t xml:space="preserve">        "meses_sin_revision": 6</w:t>
      </w:r>
    </w:p>
    <w:p>
      <w:pPr>
        <w:spacing w:after="20"/>
      </w:pPr>
      <w:r>
        <w:rPr>
          <w:rFonts w:ascii="Courier New" w:hAnsi="Courier New"/>
          <w:sz w:val="16"/>
        </w:rPr>
        <w:t xml:space="preserve">      }</w:t>
      </w:r>
    </w:p>
    <w:p>
      <w:pPr>
        <w:spacing w:after="20"/>
      </w:pPr>
      <w:r>
        <w:rPr>
          <w:rFonts w:ascii="Courier New" w:hAnsi="Courier New"/>
          <w:sz w:val="16"/>
        </w:rPr>
        <w:t xml:space="preserve">    ]</w:t>
      </w:r>
    </w:p>
    <w:p>
      <w:pPr>
        <w:spacing w:after="20"/>
      </w:pPr>
      <w:r>
        <w:rPr>
          <w:rFonts w:ascii="Courier New" w:hAnsi="Courier New"/>
          <w:sz w:val="16"/>
        </w:rPr>
        <w:t xml:space="preserve">  }</w:t>
      </w:r>
    </w:p>
    <w:p>
      <w:pPr>
        <w:spacing w:after="20"/>
      </w:pPr>
      <w:r>
        <w:rPr>
          <w:rFonts w:ascii="Courier New" w:hAnsi="Courier New"/>
          <w:sz w:val="16"/>
        </w:rPr>
        <w:t>}</w:t>
      </w:r>
    </w:p>
    <w:p>
      <w:r>
        <w:t>POST /v1/scenario — HTTP 200.</w:t>
      </w:r>
    </w:p>
    <w:p>
      <w:pPr>
        <w:spacing w:after="20"/>
      </w:pPr>
      <w:r>
        <w:rPr>
          <w:rFonts w:ascii="Courier New" w:hAnsi="Courier New"/>
          <w:sz w:val="16"/>
        </w:rPr>
        <w:t>{</w:t>
      </w:r>
    </w:p>
    <w:p>
      <w:pPr>
        <w:spacing w:after="20"/>
      </w:pPr>
      <w:r>
        <w:rPr>
          <w:rFonts w:ascii="Courier New" w:hAnsi="Courier New"/>
          <w:sz w:val="16"/>
        </w:rPr>
        <w:t xml:space="preserve">  "entrada": {</w:t>
      </w:r>
    </w:p>
    <w:p>
      <w:pPr>
        <w:spacing w:after="20"/>
      </w:pPr>
      <w:r>
        <w:rPr>
          <w:rFonts w:ascii="Courier New" w:hAnsi="Courier New"/>
          <w:sz w:val="16"/>
        </w:rPr>
        <w:t xml:space="preserve">    "cliente_id": "C001",</w:t>
      </w:r>
    </w:p>
    <w:p>
      <w:pPr>
        <w:spacing w:after="20"/>
      </w:pPr>
      <w:r>
        <w:rPr>
          <w:rFonts w:ascii="Courier New" w:hAnsi="Courier New"/>
          <w:sz w:val="16"/>
        </w:rPr>
        <w:t xml:space="preserve">    "proporcion": 0.35,</w:t>
      </w:r>
    </w:p>
    <w:p>
      <w:pPr>
        <w:spacing w:after="20"/>
      </w:pPr>
      <w:r>
        <w:rPr>
          <w:rFonts w:ascii="Courier New" w:hAnsi="Courier New"/>
          <w:sz w:val="16"/>
        </w:rPr>
        <w:t xml:space="preserve">    "mejora_anual_pp": 3,</w:t>
      </w:r>
    </w:p>
    <w:p>
      <w:pPr>
        <w:spacing w:after="20"/>
      </w:pPr>
      <w:r>
        <w:rPr>
          <w:rFonts w:ascii="Courier New" w:hAnsi="Courier New"/>
          <w:sz w:val="16"/>
        </w:rPr>
        <w:t xml:space="preserve">    "meses": 12,</w:t>
      </w:r>
    </w:p>
    <w:p>
      <w:pPr>
        <w:spacing w:after="20"/>
      </w:pPr>
      <w:r>
        <w:rPr>
          <w:rFonts w:ascii="Courier New" w:hAnsi="Courier New"/>
          <w:sz w:val="16"/>
        </w:rPr>
        <w:t xml:space="preserve">    "gastos_adicionales_anuales_pp": 0,</w:t>
      </w:r>
    </w:p>
    <w:p>
      <w:pPr>
        <w:spacing w:after="20"/>
      </w:pPr>
      <w:r>
        <w:rPr>
          <w:rFonts w:ascii="Courier New" w:hAnsi="Courier New"/>
          <w:sz w:val="16"/>
        </w:rPr>
        <w:t xml:space="preserve">    "perfil_destino": "Moderado"</w:t>
      </w:r>
    </w:p>
    <w:p>
      <w:pPr>
        <w:spacing w:after="20"/>
      </w:pPr>
      <w:r>
        <w:rPr>
          <w:rFonts w:ascii="Courier New" w:hAnsi="Courier New"/>
          <w:sz w:val="16"/>
        </w:rPr>
        <w:t xml:space="preserve">  },</w:t>
      </w:r>
    </w:p>
    <w:p>
      <w:pPr>
        <w:spacing w:after="20"/>
      </w:pPr>
      <w:r>
        <w:rPr>
          <w:rFonts w:ascii="Courier New" w:hAnsi="Courier New"/>
          <w:sz w:val="16"/>
        </w:rPr>
        <w:t xml:space="preserve">  "salida_extracto": {</w:t>
      </w:r>
    </w:p>
    <w:p>
      <w:pPr>
        <w:spacing w:after="20"/>
      </w:pPr>
      <w:r>
        <w:rPr>
          <w:rFonts w:ascii="Courier New" w:hAnsi="Courier New"/>
          <w:sz w:val="16"/>
        </w:rPr>
        <w:t xml:space="preserve">    "simulado": true,</w:t>
      </w:r>
    </w:p>
    <w:p>
      <w:pPr>
        <w:spacing w:after="20"/>
      </w:pPr>
      <w:r>
        <w:rPr>
          <w:rFonts w:ascii="Courier New" w:hAnsi="Courier New"/>
          <w:sz w:val="16"/>
        </w:rPr>
        <w:t xml:space="preserve">    "perfil_compatible": true,</w:t>
      </w:r>
    </w:p>
    <w:p>
      <w:pPr>
        <w:spacing w:after="20"/>
      </w:pPr>
      <w:r>
        <w:rPr>
          <w:rFonts w:ascii="Courier New" w:hAnsi="Courier New"/>
          <w:sz w:val="16"/>
        </w:rPr>
        <w:t xml:space="preserve">    "monto_migrado_mxn": 4150299.9999999995,</w:t>
      </w:r>
    </w:p>
    <w:p>
      <w:pPr>
        <w:spacing w:after="20"/>
      </w:pPr>
      <w:r>
        <w:rPr>
          <w:rFonts w:ascii="Courier New" w:hAnsi="Courier New"/>
          <w:sz w:val="16"/>
        </w:rPr>
        <w:t xml:space="preserve">    "mejora_supuesta_mxn": 124508.99999999999,</w:t>
      </w:r>
    </w:p>
    <w:p>
      <w:pPr>
        <w:spacing w:after="20"/>
      </w:pPr>
      <w:r>
        <w:rPr>
          <w:rFonts w:ascii="Courier New" w:hAnsi="Courier New"/>
          <w:sz w:val="16"/>
        </w:rPr>
        <w:t xml:space="preserve">    "corretaje_supuesto_mxn": 83005.99999999999,</w:t>
      </w:r>
    </w:p>
    <w:p>
      <w:pPr>
        <w:spacing w:after="20"/>
      </w:pPr>
      <w:r>
        <w:rPr>
          <w:rFonts w:ascii="Courier New" w:hAnsi="Courier New"/>
          <w:sz w:val="16"/>
        </w:rPr>
        <w:t xml:space="preserve">    "gastos_adicionales_mxn": 0.0,</w:t>
      </w:r>
    </w:p>
    <w:p>
      <w:pPr>
        <w:spacing w:after="20"/>
      </w:pPr>
      <w:r>
        <w:rPr>
          <w:rFonts w:ascii="Courier New" w:hAnsi="Courier New"/>
          <w:sz w:val="16"/>
        </w:rPr>
        <w:t xml:space="preserve">    "beneficio_incremental_supuesto_mxn": 41503.0,</w:t>
      </w:r>
    </w:p>
    <w:p>
      <w:pPr>
        <w:spacing w:after="20"/>
      </w:pPr>
      <w:r>
        <w:rPr>
          <w:rFonts w:ascii="Courier New" w:hAnsi="Courier New"/>
          <w:sz w:val="16"/>
        </w:rPr>
        <w:t xml:space="preserve">    "elegible_para_revision": true,</w:t>
      </w:r>
    </w:p>
    <w:p>
      <w:pPr>
        <w:spacing w:after="20"/>
      </w:pPr>
      <w:r>
        <w:rPr>
          <w:rFonts w:ascii="Courier New" w:hAnsi="Courier New"/>
          <w:sz w:val="16"/>
        </w:rPr>
        <w:t xml:space="preserve">    "supuesto": "1 % compra + 1 % venta sobre el mismo nocional. Cálculo lineal, sin impuestos ni garantía. Gastos adicionales sólo si no están ya descontados del rendimiento. No equivale al ingreso neto del banco.",</w:t>
      </w:r>
    </w:p>
    <w:p>
      <w:pPr>
        <w:spacing w:after="20"/>
      </w:pPr>
      <w:r>
        <w:rPr>
          <w:rFonts w:ascii="Courier New" w:hAnsi="Courier New"/>
          <w:sz w:val="16"/>
        </w:rPr>
        <w:t xml:space="preserve">    "notice": "Priorizar revisión humana; no es orden de inversión ni predicción de rendimiento."</w:t>
      </w:r>
    </w:p>
    <w:p>
      <w:pPr>
        <w:spacing w:after="20"/>
      </w:pPr>
      <w:r>
        <w:rPr>
          <w:rFonts w:ascii="Courier New" w:hAnsi="Courier New"/>
          <w:sz w:val="16"/>
        </w:rPr>
        <w:t xml:space="preserve">  }</w:t>
      </w:r>
    </w:p>
    <w:p>
      <w:pPr>
        <w:spacing w:after="20"/>
      </w:pPr>
      <w:r>
        <w:rPr>
          <w:rFonts w:ascii="Courier New" w:hAnsi="Courier New"/>
          <w:sz w:val="16"/>
        </w:rPr>
        <w:t>}</w:t>
      </w:r>
    </w:p>
    <w:p>
      <w:pPr>
        <w:pStyle w:val="Ttulo1"/>
        <w:keepNext/>
      </w:pPr>
      <w:r>
        <w:t>Modelo y datos conservados</w:t>
      </w:r>
    </w:p>
    <w:p>
      <w:r>
        <w:t>Uso SVM calibrada con umbral 0.20, procedente de la Actividad 6. El hash SHA256 del archivo es f48c7496d5a12bd15d535721e3e83c6ef895b1ae7eaccbe7f4f4c60705bb1916. La API verifica esa identidad al arrancar. No reentrené ni elegí un nuevo umbral sobre las noticias de prueba.</w:t>
      </w:r>
    </w:p>
    <w:p>
      <w:r>
        <w:t>El conjunto retrospectivo contiene 452 noticias en inglés: 61 negativas y 391 no negativas. El resultado binario positivo es noticia negativa. El vocabulario TF-IDF y el modelo se cargan del artefacto validado; no se ajustan a lo que el usuario escribe. El control de idioma depende de la declaración en; no es un detector de idioma. Si no hay ningún término conocido, la API rechaza el texto.</w:t>
      </w:r>
    </w:p>
    <w:p>
      <w:r>
        <w:t>Los 150 personajes de contexto no entrenan el modelo. Sus posiciones entre 5 y 20 millones MXN y perfiles Conservador, Moderado y Agresivo son simulados. El motor de escenarios calcula hipótesis lineales y las mantiene separadas de la inferencia de noticias.</w:t>
      </w:r>
    </w:p>
    <w:p>
      <w:pPr>
        <w:pStyle w:val="Ttulo1"/>
        <w:keepNext/>
      </w:pPr>
      <w:r>
        <w:t>Entorno y protocolo</w:t>
      </w:r>
    </w:p>
    <w:p>
      <w:r>
        <w:t>La aplicación se probó primero en Python 3.12 y después en Docker Desktop, con contenedores Linux ARM64 en el Mac local. Se conserva la imagen y sus metadatos en evidencias/docker-image-local.json. El Dockerfile instala las versiones directas de requirements.txt; la imagen es la unidad exacta ejecutada. Una reconstrucción futura puede resolver otras dependencias transitivas; por ello se registra también el entorno instalado.</w:t>
      </w:r>
    </w:p>
    <w:p>
      <w:r>
        <w:t>Las pruebas de contrato usan FastAPI TestClient. La prueba adicional scripts/smoke.py utiliza HTTP real. scripts/regression_http.py envía las 452 noticias al puerto publicado del contenedor y compara sus probabilidades. Finalmente, el cliente de Streamlit se ejecuta dentro del contenedor web para consultar api:8000; eso comprueba la resolución de servicio, red y credencial entre componentes.</w:t>
      </w:r>
    </w:p>
    <w:p>
      <w:pPr>
        <w:pStyle w:val="Ttulo1"/>
        <w:keepNext/>
      </w:pPr>
      <w:r>
        <w:t>Casos funcionales y extremos</w:t>
      </w:r>
    </w:p>
    <w:tbl>
      <w:tblPr>
        <w:tblW w:type="auto" w:w="0"/>
        <w:tblLayout w:type="fixed"/>
        <w:tblLook w:firstColumn="1" w:firstRow="1" w:lastColumn="0" w:lastRow="0" w:noHBand="0" w:noVBand="1" w:val="04A0"/>
      </w:tblPr>
      <w:tblGrid>
        <w:gridCol w:w="3120"/>
        <w:gridCol w:w="3120"/>
        <w:gridCol w:w="3120"/>
      </w:tblGrid>
      <w:tr>
        <w:trPr>
          <w:cantSplit/>
          <w:tblHeader/>
        </w:trPr>
        <w:tc>
          <w:tcPr>
            <w:tcW w:type="dxa" w:w="3120"/>
            <w:shd w:fill="004481"/>
          </w:tcPr>
          <w:p>
            <w:pPr>
              <w:spacing w:after="80"/>
            </w:pPr>
            <w:r>
              <w:rPr>
                <w:b/>
                <w:color w:val="FFFFFF"/>
                <w:sz w:val="18"/>
              </w:rPr>
              <w:t>Grupo</w:t>
            </w:r>
          </w:p>
        </w:tc>
        <w:tc>
          <w:tcPr>
            <w:tcW w:type="dxa" w:w="3120"/>
            <w:shd w:fill="004481"/>
          </w:tcPr>
          <w:p>
            <w:pPr>
              <w:spacing w:after="80"/>
            </w:pPr>
            <w:r>
              <w:rPr>
                <w:b/>
                <w:color w:val="FFFFFF"/>
                <w:sz w:val="18"/>
              </w:rPr>
              <w:t>Entrada o condición</w:t>
            </w:r>
          </w:p>
        </w:tc>
        <w:tc>
          <w:tcPr>
            <w:tcW w:type="dxa" w:w="3120"/>
            <w:shd w:fill="004481"/>
          </w:tcPr>
          <w:p>
            <w:pPr>
              <w:spacing w:after="80"/>
            </w:pPr>
            <w:r>
              <w:rPr>
                <w:b/>
                <w:color w:val="FFFFFF"/>
                <w:sz w:val="18"/>
              </w:rPr>
              <w:t>Resultado esperado y observado</w:t>
            </w:r>
          </w:p>
        </w:tc>
      </w:tr>
      <w:tr>
        <w:trPr>
          <w:cantSplit/>
        </w:trPr>
        <w:tc>
          <w:tcPr>
            <w:tcW w:type="dxa" w:w="3120"/>
            <w:shd w:fill="EAF3FA"/>
          </w:tcPr>
          <w:p>
            <w:pPr>
              <w:spacing w:after="80"/>
            </w:pPr>
            <w:r>
              <w:rPr>
                <w:b w:val="0"/>
                <w:color w:val="072146"/>
                <w:sz w:val="18"/>
              </w:rPr>
              <w:t>Disponibilidad</w:t>
            </w:r>
          </w:p>
        </w:tc>
        <w:tc>
          <w:tcPr>
            <w:tcW w:type="dxa" w:w="3120"/>
            <w:shd w:fill="EAF3FA"/>
          </w:tcPr>
          <w:p>
            <w:pPr>
              <w:spacing w:after="80"/>
            </w:pPr>
            <w:r>
              <w:rPr>
                <w:b w:val="0"/>
                <w:color w:val="072146"/>
                <w:sz w:val="18"/>
              </w:rPr>
              <w:t>Modelo cargado y /health</w:t>
            </w:r>
          </w:p>
        </w:tc>
        <w:tc>
          <w:tcPr>
            <w:tcW w:type="dxa" w:w="3120"/>
            <w:shd w:fill="EAF3FA"/>
          </w:tcPr>
          <w:p>
            <w:pPr>
              <w:spacing w:after="80"/>
            </w:pPr>
            <w:r>
              <w:rPr>
                <w:b w:val="0"/>
                <w:color w:val="072146"/>
                <w:sz w:val="18"/>
              </w:rPr>
              <w:t>HTTP 200 y model_ready verdadero</w:t>
            </w:r>
          </w:p>
        </w:tc>
      </w:tr>
      <w:tr>
        <w:trPr>
          <w:cantSplit/>
        </w:trPr>
        <w:tc>
          <w:tcPr>
            <w:tcW w:type="dxa" w:w="3120"/>
            <w:shd w:fill="EAF3FA"/>
          </w:tcPr>
          <w:p>
            <w:pPr>
              <w:spacing w:after="80"/>
            </w:pPr>
            <w:r>
              <w:rPr>
                <w:b w:val="0"/>
                <w:color w:val="072146"/>
                <w:sz w:val="18"/>
              </w:rPr>
              <w:t>Contrato</w:t>
            </w:r>
          </w:p>
        </w:tc>
        <w:tc>
          <w:tcPr>
            <w:tcW w:type="dxa" w:w="3120"/>
            <w:shd w:fill="EAF3FA"/>
          </w:tcPr>
          <w:p>
            <w:pPr>
              <w:spacing w:after="80"/>
            </w:pPr>
            <w:r>
              <w:rPr>
                <w:b w:val="0"/>
                <w:color w:val="072146"/>
                <w:sz w:val="18"/>
              </w:rPr>
              <w:t>OpenAPI y manifiesto</w:t>
            </w:r>
          </w:p>
        </w:tc>
        <w:tc>
          <w:tcPr>
            <w:tcW w:type="dxa" w:w="3120"/>
            <w:shd w:fill="EAF3FA"/>
          </w:tcPr>
          <w:p>
            <w:pPr>
              <w:spacing w:after="80"/>
            </w:pPr>
            <w:r>
              <w:rPr>
                <w:b w:val="0"/>
                <w:color w:val="072146"/>
                <w:sz w:val="18"/>
              </w:rPr>
              <w:t>Rutas disponibles, umbral e identidad conservados</w:t>
            </w:r>
          </w:p>
        </w:tc>
      </w:tr>
      <w:tr>
        <w:trPr>
          <w:cantSplit/>
        </w:trPr>
        <w:tc>
          <w:tcPr>
            <w:tcW w:type="dxa" w:w="3120"/>
            <w:shd w:fill="EAF3FA"/>
          </w:tcPr>
          <w:p>
            <w:pPr>
              <w:spacing w:after="80"/>
            </w:pPr>
            <w:r>
              <w:rPr>
                <w:b w:val="0"/>
                <w:color w:val="072146"/>
                <w:sz w:val="18"/>
              </w:rPr>
              <w:t>Autenticación</w:t>
            </w:r>
          </w:p>
        </w:tc>
        <w:tc>
          <w:tcPr>
            <w:tcW w:type="dxa" w:w="3120"/>
            <w:shd w:fill="EAF3FA"/>
          </w:tcPr>
          <w:p>
            <w:pPr>
              <w:spacing w:after="80"/>
            </w:pPr>
            <w:r>
              <w:rPr>
                <w:b w:val="0"/>
                <w:color w:val="072146"/>
                <w:sz w:val="18"/>
              </w:rPr>
              <w:t>Clave ausente o incorrecta</w:t>
            </w:r>
          </w:p>
        </w:tc>
        <w:tc>
          <w:tcPr>
            <w:tcW w:type="dxa" w:w="3120"/>
            <w:shd w:fill="EAF3FA"/>
          </w:tcPr>
          <w:p>
            <w:pPr>
              <w:spacing w:after="80"/>
            </w:pPr>
            <w:r>
              <w:rPr>
                <w:b w:val="0"/>
                <w:color w:val="072146"/>
                <w:sz w:val="18"/>
              </w:rPr>
              <w:t>HTTP 401</w:t>
            </w:r>
          </w:p>
        </w:tc>
      </w:tr>
      <w:tr>
        <w:trPr>
          <w:cantSplit/>
        </w:trPr>
        <w:tc>
          <w:tcPr>
            <w:tcW w:type="dxa" w:w="3120"/>
            <w:shd w:fill="EAF3FA"/>
          </w:tcPr>
          <w:p>
            <w:pPr>
              <w:spacing w:after="80"/>
            </w:pPr>
            <w:r>
              <w:rPr>
                <w:b w:val="0"/>
                <w:color w:val="072146"/>
                <w:sz w:val="18"/>
              </w:rPr>
              <w:t>Texto</w:t>
            </w:r>
          </w:p>
        </w:tc>
        <w:tc>
          <w:tcPr>
            <w:tcW w:type="dxa" w:w="3120"/>
            <w:shd w:fill="EAF3FA"/>
          </w:tcPr>
          <w:p>
            <w:pPr>
              <w:spacing w:after="80"/>
            </w:pPr>
            <w:r>
              <w:rPr>
                <w:b w:val="0"/>
                <w:color w:val="072146"/>
                <w:sz w:val="18"/>
              </w:rPr>
              <w:t>Vacío, espacios, números, nulo o más de 4000 caracteres</w:t>
            </w:r>
          </w:p>
        </w:tc>
        <w:tc>
          <w:tcPr>
            <w:tcW w:type="dxa" w:w="3120"/>
            <w:shd w:fill="EAF3FA"/>
          </w:tcPr>
          <w:p>
            <w:pPr>
              <w:spacing w:after="80"/>
            </w:pPr>
            <w:r>
              <w:rPr>
                <w:b w:val="0"/>
                <w:color w:val="072146"/>
                <w:sz w:val="18"/>
              </w:rPr>
              <w:t>HTTP 422</w:t>
            </w:r>
          </w:p>
        </w:tc>
      </w:tr>
      <w:tr>
        <w:trPr>
          <w:cantSplit/>
        </w:trPr>
        <w:tc>
          <w:tcPr>
            <w:tcW w:type="dxa" w:w="3120"/>
            <w:shd w:fill="EAF3FA"/>
          </w:tcPr>
          <w:p>
            <w:pPr>
              <w:spacing w:after="80"/>
            </w:pPr>
            <w:r>
              <w:rPr>
                <w:b w:val="0"/>
                <w:color w:val="072146"/>
                <w:sz w:val="18"/>
              </w:rPr>
              <w:t>Esquema</w:t>
            </w:r>
          </w:p>
        </w:tc>
        <w:tc>
          <w:tcPr>
            <w:tcW w:type="dxa" w:w="3120"/>
            <w:shd w:fill="EAF3FA"/>
          </w:tcPr>
          <w:p>
            <w:pPr>
              <w:spacing w:after="80"/>
            </w:pPr>
            <w:r>
              <w:rPr>
                <w:b w:val="0"/>
                <w:color w:val="072146"/>
                <w:sz w:val="18"/>
              </w:rPr>
              <w:t>Idioma es o campo desconocido</w:t>
            </w:r>
          </w:p>
        </w:tc>
        <w:tc>
          <w:tcPr>
            <w:tcW w:type="dxa" w:w="3120"/>
            <w:shd w:fill="EAF3FA"/>
          </w:tcPr>
          <w:p>
            <w:pPr>
              <w:spacing w:after="80"/>
            </w:pPr>
            <w:r>
              <w:rPr>
                <w:b w:val="0"/>
                <w:color w:val="072146"/>
                <w:sz w:val="18"/>
              </w:rPr>
              <w:t>HTTP 422</w:t>
            </w:r>
          </w:p>
        </w:tc>
      </w:tr>
      <w:tr>
        <w:trPr>
          <w:cantSplit/>
        </w:trPr>
        <w:tc>
          <w:tcPr>
            <w:tcW w:type="dxa" w:w="3120"/>
            <w:shd w:fill="EAF3FA"/>
          </w:tcPr>
          <w:p>
            <w:pPr>
              <w:spacing w:after="80"/>
            </w:pPr>
            <w:r>
              <w:rPr>
                <w:b w:val="0"/>
                <w:color w:val="072146"/>
                <w:sz w:val="18"/>
              </w:rPr>
              <w:t>Vocabulario</w:t>
            </w:r>
          </w:p>
        </w:tc>
        <w:tc>
          <w:tcPr>
            <w:tcW w:type="dxa" w:w="3120"/>
            <w:shd w:fill="EAF3FA"/>
          </w:tcPr>
          <w:p>
            <w:pPr>
              <w:spacing w:after="80"/>
            </w:pPr>
            <w:r>
              <w:rPr>
                <w:b w:val="0"/>
                <w:color w:val="072146"/>
                <w:sz w:val="18"/>
              </w:rPr>
              <w:t>Texto sin términos conocidos</w:t>
            </w:r>
          </w:p>
        </w:tc>
        <w:tc>
          <w:tcPr>
            <w:tcW w:type="dxa" w:w="3120"/>
            <w:shd w:fill="EAF3FA"/>
          </w:tcPr>
          <w:p>
            <w:pPr>
              <w:spacing w:after="80"/>
            </w:pPr>
            <w:r>
              <w:rPr>
                <w:b w:val="0"/>
                <w:color w:val="072146"/>
                <w:sz w:val="18"/>
              </w:rPr>
              <w:t>HTTP 422, sin predicción fiable</w:t>
            </w:r>
          </w:p>
        </w:tc>
      </w:tr>
      <w:tr>
        <w:trPr>
          <w:cantSplit/>
        </w:trPr>
        <w:tc>
          <w:tcPr>
            <w:tcW w:type="dxa" w:w="3120"/>
            <w:shd w:fill="EAF3FA"/>
          </w:tcPr>
          <w:p>
            <w:pPr>
              <w:spacing w:after="80"/>
            </w:pPr>
            <w:r>
              <w:rPr>
                <w:b w:val="0"/>
                <w:color w:val="072146"/>
                <w:sz w:val="18"/>
              </w:rPr>
              <w:t>Regresión</w:t>
            </w:r>
          </w:p>
        </w:tc>
        <w:tc>
          <w:tcPr>
            <w:tcW w:type="dxa" w:w="3120"/>
            <w:shd w:fill="EAF3FA"/>
          </w:tcPr>
          <w:p>
            <w:pPr>
              <w:spacing w:after="80"/>
            </w:pPr>
            <w:r>
              <w:rPr>
                <w:b w:val="0"/>
                <w:color w:val="072146"/>
                <w:sz w:val="18"/>
              </w:rPr>
              <w:t>Las 452 noticias congeladas</w:t>
            </w:r>
          </w:p>
        </w:tc>
        <w:tc>
          <w:tcPr>
            <w:tcW w:type="dxa" w:w="3120"/>
            <w:shd w:fill="EAF3FA"/>
          </w:tcPr>
          <w:p>
            <w:pPr>
              <w:spacing w:after="80"/>
            </w:pPr>
            <w:r>
              <w:rPr>
                <w:b w:val="0"/>
                <w:color w:val="072146"/>
                <w:sz w:val="18"/>
              </w:rPr>
              <w:t>Probabilidades dentro de tolerancia 10⁻¹²</w:t>
            </w:r>
          </w:p>
        </w:tc>
      </w:tr>
      <w:tr>
        <w:trPr>
          <w:cantSplit/>
        </w:trPr>
        <w:tc>
          <w:tcPr>
            <w:tcW w:type="dxa" w:w="3120"/>
            <w:shd w:fill="EAF3FA"/>
          </w:tcPr>
          <w:p>
            <w:pPr>
              <w:spacing w:after="80"/>
            </w:pPr>
            <w:r>
              <w:rPr>
                <w:b w:val="0"/>
                <w:color w:val="072146"/>
                <w:sz w:val="18"/>
              </w:rPr>
              <w:t>Contexto</w:t>
            </w:r>
          </w:p>
        </w:tc>
        <w:tc>
          <w:tcPr>
            <w:tcW w:type="dxa" w:w="3120"/>
            <w:shd w:fill="EAF3FA"/>
          </w:tcPr>
          <w:p>
            <w:pPr>
              <w:spacing w:after="80"/>
            </w:pPr>
            <w:r>
              <w:rPr>
                <w:b w:val="0"/>
                <w:color w:val="072146"/>
                <w:sz w:val="18"/>
              </w:rPr>
              <w:t>Consulta de clientes</w:t>
            </w:r>
          </w:p>
        </w:tc>
        <w:tc>
          <w:tcPr>
            <w:tcW w:type="dxa" w:w="3120"/>
            <w:shd w:fill="EAF3FA"/>
          </w:tcPr>
          <w:p>
            <w:pPr>
              <w:spacing w:after="80"/>
            </w:pPr>
            <w:r>
              <w:rPr>
                <w:b w:val="0"/>
                <w:color w:val="072146"/>
                <w:sz w:val="18"/>
              </w:rPr>
              <w:t>150 ficticios, posiciones dentro de los límites</w:t>
            </w:r>
          </w:p>
        </w:tc>
      </w:tr>
      <w:tr>
        <w:trPr>
          <w:cantSplit/>
        </w:trPr>
        <w:tc>
          <w:tcPr>
            <w:tcW w:type="dxa" w:w="3120"/>
            <w:shd w:fill="EAF3FA"/>
          </w:tcPr>
          <w:p>
            <w:pPr>
              <w:spacing w:after="80"/>
            </w:pPr>
            <w:r>
              <w:rPr>
                <w:b w:val="0"/>
                <w:color w:val="072146"/>
                <w:sz w:val="18"/>
              </w:rPr>
              <w:t>Escenario</w:t>
            </w:r>
          </w:p>
        </w:tc>
        <w:tc>
          <w:tcPr>
            <w:tcW w:type="dxa" w:w="3120"/>
            <w:shd w:fill="EAF3FA"/>
          </w:tcPr>
          <w:p>
            <w:pPr>
              <w:spacing w:after="80"/>
            </w:pPr>
            <w:r>
              <w:rPr>
                <w:b w:val="0"/>
                <w:color w:val="072146"/>
                <w:sz w:val="18"/>
              </w:rPr>
              <w:t>Perfil compatible y beneficio neto positivo</w:t>
            </w:r>
          </w:p>
        </w:tc>
        <w:tc>
          <w:tcPr>
            <w:tcW w:type="dxa" w:w="3120"/>
            <w:shd w:fill="EAF3FA"/>
          </w:tcPr>
          <w:p>
            <w:pPr>
              <w:spacing w:after="80"/>
            </w:pPr>
            <w:r>
              <w:rPr>
                <w:b w:val="0"/>
                <w:color w:val="072146"/>
                <w:sz w:val="18"/>
              </w:rPr>
              <w:t>Elegible sólo para revisión humana</w:t>
            </w:r>
          </w:p>
        </w:tc>
      </w:tr>
      <w:tr>
        <w:trPr>
          <w:cantSplit/>
        </w:trPr>
        <w:tc>
          <w:tcPr>
            <w:tcW w:type="dxa" w:w="3120"/>
            <w:shd w:fill="EAF3FA"/>
          </w:tcPr>
          <w:p>
            <w:pPr>
              <w:spacing w:after="80"/>
            </w:pPr>
            <w:r>
              <w:rPr>
                <w:b w:val="0"/>
                <w:color w:val="072146"/>
                <w:sz w:val="18"/>
              </w:rPr>
              <w:t>Protección de perfil</w:t>
            </w:r>
          </w:p>
        </w:tc>
        <w:tc>
          <w:tcPr>
            <w:tcW w:type="dxa" w:w="3120"/>
            <w:shd w:fill="EAF3FA"/>
          </w:tcPr>
          <w:p>
            <w:pPr>
              <w:spacing w:after="80"/>
            </w:pPr>
            <w:r>
              <w:rPr>
                <w:b w:val="0"/>
                <w:color w:val="072146"/>
                <w:sz w:val="18"/>
              </w:rPr>
              <w:t>Perfil diferente</w:t>
            </w:r>
          </w:p>
        </w:tc>
        <w:tc>
          <w:tcPr>
            <w:tcW w:type="dxa" w:w="3120"/>
            <w:shd w:fill="EAF3FA"/>
          </w:tcPr>
          <w:p>
            <w:pPr>
              <w:spacing w:after="80"/>
            </w:pPr>
            <w:r>
              <w:rPr>
                <w:b w:val="0"/>
                <w:color w:val="072146"/>
                <w:sz w:val="18"/>
              </w:rPr>
              <w:t>No elegible</w:t>
            </w:r>
          </w:p>
        </w:tc>
      </w:tr>
      <w:tr>
        <w:trPr>
          <w:cantSplit/>
        </w:trPr>
        <w:tc>
          <w:tcPr>
            <w:tcW w:type="dxa" w:w="3120"/>
            <w:shd w:fill="EAF3FA"/>
          </w:tcPr>
          <w:p>
            <w:pPr>
              <w:spacing w:after="80"/>
            </w:pPr>
            <w:r>
              <w:rPr>
                <w:b w:val="0"/>
                <w:color w:val="072146"/>
                <w:sz w:val="18"/>
              </w:rPr>
              <w:t>Costos</w:t>
            </w:r>
          </w:p>
        </w:tc>
        <w:tc>
          <w:tcPr>
            <w:tcW w:type="dxa" w:w="3120"/>
            <w:shd w:fill="EAF3FA"/>
          </w:tcPr>
          <w:p>
            <w:pPr>
              <w:spacing w:after="80"/>
            </w:pPr>
            <w:r>
              <w:rPr>
                <w:b w:val="0"/>
                <w:color w:val="072146"/>
                <w:sz w:val="18"/>
              </w:rPr>
              <w:t>Beneficio insuficiente tras gastos</w:t>
            </w:r>
          </w:p>
        </w:tc>
        <w:tc>
          <w:tcPr>
            <w:tcW w:type="dxa" w:w="3120"/>
            <w:shd w:fill="EAF3FA"/>
          </w:tcPr>
          <w:p>
            <w:pPr>
              <w:spacing w:after="80"/>
            </w:pPr>
            <w:r>
              <w:rPr>
                <w:b w:val="0"/>
                <w:color w:val="072146"/>
                <w:sz w:val="18"/>
              </w:rPr>
              <w:t>No elegible</w:t>
            </w:r>
          </w:p>
        </w:tc>
      </w:tr>
      <w:tr>
        <w:trPr>
          <w:cantSplit/>
        </w:trPr>
        <w:tc>
          <w:tcPr>
            <w:tcW w:type="dxa" w:w="3120"/>
            <w:shd w:fill="EAF3FA"/>
          </w:tcPr>
          <w:p>
            <w:pPr>
              <w:spacing w:after="80"/>
            </w:pPr>
            <w:r>
              <w:rPr>
                <w:b w:val="0"/>
                <w:color w:val="072146"/>
                <w:sz w:val="18"/>
              </w:rPr>
              <w:t>Límites numéricos</w:t>
            </w:r>
          </w:p>
        </w:tc>
        <w:tc>
          <w:tcPr>
            <w:tcW w:type="dxa" w:w="3120"/>
            <w:shd w:fill="EAF3FA"/>
          </w:tcPr>
          <w:p>
            <w:pPr>
              <w:spacing w:after="80"/>
            </w:pPr>
            <w:r>
              <w:rPr>
                <w:b w:val="0"/>
                <w:color w:val="072146"/>
                <w:sz w:val="18"/>
              </w:rPr>
              <w:t>Proporción cero o mayor que uno, meses cero o fraccionarios, gastos negativos</w:t>
            </w:r>
          </w:p>
        </w:tc>
        <w:tc>
          <w:tcPr>
            <w:tcW w:type="dxa" w:w="3120"/>
            <w:shd w:fill="EAF3FA"/>
          </w:tcPr>
          <w:p>
            <w:pPr>
              <w:spacing w:after="80"/>
            </w:pPr>
            <w:r>
              <w:rPr>
                <w:b w:val="0"/>
                <w:color w:val="072146"/>
                <w:sz w:val="18"/>
              </w:rPr>
              <w:t>HTTP 422</w:t>
            </w:r>
          </w:p>
        </w:tc>
      </w:tr>
      <w:tr>
        <w:trPr>
          <w:cantSplit/>
        </w:trPr>
        <w:tc>
          <w:tcPr>
            <w:tcW w:type="dxa" w:w="3120"/>
            <w:shd w:fill="EAF3FA"/>
          </w:tcPr>
          <w:p>
            <w:pPr>
              <w:spacing w:after="80"/>
            </w:pPr>
            <w:r>
              <w:rPr>
                <w:b w:val="0"/>
                <w:color w:val="072146"/>
                <w:sz w:val="18"/>
              </w:rPr>
              <w:t>Identidad</w:t>
            </w:r>
          </w:p>
        </w:tc>
        <w:tc>
          <w:tcPr>
            <w:tcW w:type="dxa" w:w="3120"/>
            <w:shd w:fill="EAF3FA"/>
          </w:tcPr>
          <w:p>
            <w:pPr>
              <w:spacing w:after="80"/>
            </w:pPr>
            <w:r>
              <w:rPr>
                <w:b w:val="0"/>
                <w:color w:val="072146"/>
                <w:sz w:val="18"/>
              </w:rPr>
              <w:t>Cliente simulado inexistente</w:t>
            </w:r>
          </w:p>
        </w:tc>
        <w:tc>
          <w:tcPr>
            <w:tcW w:type="dxa" w:w="3120"/>
            <w:shd w:fill="EAF3FA"/>
          </w:tcPr>
          <w:p>
            <w:pPr>
              <w:spacing w:after="80"/>
            </w:pPr>
            <w:r>
              <w:rPr>
                <w:b w:val="0"/>
                <w:color w:val="072146"/>
                <w:sz w:val="18"/>
              </w:rPr>
              <w:t>HTTP 404</w:t>
            </w:r>
          </w:p>
        </w:tc>
      </w:tr>
      <w:tr>
        <w:trPr>
          <w:cantSplit/>
        </w:trPr>
        <w:tc>
          <w:tcPr>
            <w:tcW w:type="dxa" w:w="3120"/>
            <w:shd w:fill="EAF3FA"/>
          </w:tcPr>
          <w:p>
            <w:pPr>
              <w:spacing w:after="80"/>
            </w:pPr>
            <w:r>
              <w:rPr>
                <w:b w:val="0"/>
                <w:color w:val="072146"/>
                <w:sz w:val="18"/>
              </w:rPr>
              <w:t>Configuración</w:t>
            </w:r>
          </w:p>
        </w:tc>
        <w:tc>
          <w:tcPr>
            <w:tcW w:type="dxa" w:w="3120"/>
            <w:shd w:fill="EAF3FA"/>
          </w:tcPr>
          <w:p>
            <w:pPr>
              <w:spacing w:after="80"/>
            </w:pPr>
            <w:r>
              <w:rPr>
                <w:b w:val="0"/>
                <w:color w:val="072146"/>
                <w:sz w:val="18"/>
              </w:rPr>
              <w:t>Arranque sin clave suficiente</w:t>
            </w:r>
          </w:p>
        </w:tc>
        <w:tc>
          <w:tcPr>
            <w:tcW w:type="dxa" w:w="3120"/>
            <w:shd w:fill="EAF3FA"/>
          </w:tcPr>
          <w:p>
            <w:pPr>
              <w:spacing w:after="80"/>
            </w:pPr>
            <w:r>
              <w:rPr>
                <w:b w:val="0"/>
                <w:color w:val="072146"/>
                <w:sz w:val="18"/>
              </w:rPr>
              <w:t>Arranque rechazado</w:t>
            </w:r>
          </w:p>
        </w:tc>
      </w:tr>
      <w:tr>
        <w:trPr>
          <w:cantSplit/>
        </w:trPr>
        <w:tc>
          <w:tcPr>
            <w:tcW w:type="dxa" w:w="3120"/>
            <w:shd w:fill="EAF3FA"/>
          </w:tcPr>
          <w:p>
            <w:pPr>
              <w:spacing w:after="80"/>
            </w:pPr>
            <w:r>
              <w:rPr>
                <w:b w:val="0"/>
                <w:color w:val="072146"/>
                <w:sz w:val="18"/>
              </w:rPr>
              <w:t>Fallo de red</w:t>
            </w:r>
          </w:p>
        </w:tc>
        <w:tc>
          <w:tcPr>
            <w:tcW w:type="dxa" w:w="3120"/>
            <w:shd w:fill="EAF3FA"/>
          </w:tcPr>
          <w:p>
            <w:pPr>
              <w:spacing w:after="80"/>
            </w:pPr>
            <w:r>
              <w:rPr>
                <w:b w:val="0"/>
                <w:color w:val="072146"/>
                <w:sz w:val="18"/>
              </w:rPr>
              <w:t>Backend no disponible</w:t>
            </w:r>
          </w:p>
        </w:tc>
        <w:tc>
          <w:tcPr>
            <w:tcW w:type="dxa" w:w="3120"/>
            <w:shd w:fill="EAF3FA"/>
          </w:tcPr>
          <w:p>
            <w:pPr>
              <w:spacing w:after="80"/>
            </w:pPr>
            <w:r>
              <w:rPr>
                <w:b w:val="0"/>
                <w:color w:val="072146"/>
                <w:sz w:val="18"/>
              </w:rPr>
              <w:t>Mensaje comprensible en Streamlit</w:t>
            </w:r>
          </w:p>
        </w:tc>
      </w:tr>
    </w:tbl>
    <w:p>
      <w:r>
        <w:t>La ejecución local aprobó 23 pruebas. Son 23 casos de pytest, no 452 casos adicionales de pytest: una de las pruebas recorre todo el test histórico. El informe JUnit conserva el detalle. Se observó una advertencia de deprecación de Starlette sobre TestClient y httpx; no produjo un fallo, pero se registra como deuda de actualización antes de futuras versiones.</w:t>
      </w:r>
    </w:p>
    <w:p>
      <w:r>
        <w:t>Durante la inspección del navegador detecté que una expresión condicional de Streamlit mostraba la descripción interna de un objeto. La sustituí por un bloque if/else, reconstruí la imagen y repetí la interacción. La probabilidad y la alerta permanecieron correctas y desapareció el texto técnico innecesario.</w:t>
      </w:r>
    </w:p>
    <w:p>
      <w:pPr>
        <w:pStyle w:val="Ttulo1"/>
        <w:keepNext/>
      </w:pPr>
      <w:r>
        <w:t>Resultados del modelo dentro de Docker</w:t>
      </w:r>
    </w:p>
    <w:tbl>
      <w:tblPr>
        <w:tblW w:type="auto" w:w="0"/>
        <w:tblLayout w:type="fixed"/>
        <w:tblLook w:firstColumn="1" w:firstRow="1" w:lastColumn="0" w:lastRow="0" w:noHBand="0" w:noVBand="1" w:val="04A0"/>
      </w:tblPr>
      <w:tblGrid>
        <w:gridCol w:w="4680"/>
        <w:gridCol w:w="4680"/>
      </w:tblGrid>
      <w:tr>
        <w:trPr>
          <w:cantSplit/>
          <w:tblHeader/>
        </w:trPr>
        <w:tc>
          <w:tcPr>
            <w:tcW w:type="dxa" w:w="4680"/>
            <w:shd w:fill="004481"/>
          </w:tcPr>
          <w:p>
            <w:pPr>
              <w:spacing w:after="80"/>
            </w:pPr>
            <w:r>
              <w:rPr>
                <w:b/>
                <w:color w:val="FFFFFF"/>
                <w:sz w:val="18"/>
              </w:rPr>
              <w:t>Métrica</w:t>
            </w:r>
          </w:p>
        </w:tc>
        <w:tc>
          <w:tcPr>
            <w:tcW w:type="dxa" w:w="4680"/>
            <w:shd w:fill="004481"/>
          </w:tcPr>
          <w:p>
            <w:pPr>
              <w:spacing w:after="80"/>
            </w:pPr>
            <w:r>
              <w:rPr>
                <w:b/>
                <w:color w:val="FFFFFF"/>
                <w:sz w:val="18"/>
              </w:rPr>
              <w:t>Resultado</w:t>
            </w:r>
          </w:p>
        </w:tc>
      </w:tr>
      <w:tr>
        <w:trPr>
          <w:cantSplit/>
        </w:trPr>
        <w:tc>
          <w:tcPr>
            <w:tcW w:type="dxa" w:w="4680"/>
            <w:shd w:fill="EAF3FA"/>
          </w:tcPr>
          <w:p>
            <w:pPr>
              <w:spacing w:after="80"/>
            </w:pPr>
            <w:r>
              <w:rPr>
                <w:b w:val="0"/>
                <w:color w:val="072146"/>
                <w:sz w:val="18"/>
              </w:rPr>
              <w:t>Verdaderos negativos</w:t>
            </w:r>
          </w:p>
        </w:tc>
        <w:tc>
          <w:tcPr>
            <w:tcW w:type="dxa" w:w="4680"/>
            <w:shd w:fill="EAF3FA"/>
          </w:tcPr>
          <w:p>
            <w:pPr>
              <w:spacing w:after="80"/>
            </w:pPr>
            <w:r>
              <w:rPr>
                <w:b w:val="0"/>
                <w:color w:val="072146"/>
                <w:sz w:val="18"/>
              </w:rPr>
              <w:t>366</w:t>
            </w:r>
          </w:p>
        </w:tc>
      </w:tr>
      <w:tr>
        <w:trPr>
          <w:cantSplit/>
        </w:trPr>
        <w:tc>
          <w:tcPr>
            <w:tcW w:type="dxa" w:w="4680"/>
            <w:shd w:fill="EAF3FA"/>
          </w:tcPr>
          <w:p>
            <w:pPr>
              <w:spacing w:after="80"/>
            </w:pPr>
            <w:r>
              <w:rPr>
                <w:b w:val="0"/>
                <w:color w:val="072146"/>
                <w:sz w:val="18"/>
              </w:rPr>
              <w:t>Falsos positivos</w:t>
            </w:r>
          </w:p>
        </w:tc>
        <w:tc>
          <w:tcPr>
            <w:tcW w:type="dxa" w:w="4680"/>
            <w:shd w:fill="EAF3FA"/>
          </w:tcPr>
          <w:p>
            <w:pPr>
              <w:spacing w:after="80"/>
            </w:pPr>
            <w:r>
              <w:rPr>
                <w:b w:val="0"/>
                <w:color w:val="072146"/>
                <w:sz w:val="18"/>
              </w:rPr>
              <w:t>25</w:t>
            </w:r>
          </w:p>
        </w:tc>
      </w:tr>
      <w:tr>
        <w:trPr>
          <w:cantSplit/>
        </w:trPr>
        <w:tc>
          <w:tcPr>
            <w:tcW w:type="dxa" w:w="4680"/>
            <w:shd w:fill="EAF3FA"/>
          </w:tcPr>
          <w:p>
            <w:pPr>
              <w:spacing w:after="80"/>
            </w:pPr>
            <w:r>
              <w:rPr>
                <w:b w:val="0"/>
                <w:color w:val="072146"/>
                <w:sz w:val="18"/>
              </w:rPr>
              <w:t>Falsos negativos</w:t>
            </w:r>
          </w:p>
        </w:tc>
        <w:tc>
          <w:tcPr>
            <w:tcW w:type="dxa" w:w="4680"/>
            <w:shd w:fill="EAF3FA"/>
          </w:tcPr>
          <w:p>
            <w:pPr>
              <w:spacing w:after="80"/>
            </w:pPr>
            <w:r>
              <w:rPr>
                <w:b w:val="0"/>
                <w:color w:val="072146"/>
                <w:sz w:val="18"/>
              </w:rPr>
              <w:t>10</w:t>
            </w:r>
          </w:p>
        </w:tc>
      </w:tr>
      <w:tr>
        <w:trPr>
          <w:cantSplit/>
        </w:trPr>
        <w:tc>
          <w:tcPr>
            <w:tcW w:type="dxa" w:w="4680"/>
            <w:shd w:fill="EAF3FA"/>
          </w:tcPr>
          <w:p>
            <w:pPr>
              <w:spacing w:after="80"/>
            </w:pPr>
            <w:r>
              <w:rPr>
                <w:b w:val="0"/>
                <w:color w:val="072146"/>
                <w:sz w:val="18"/>
              </w:rPr>
              <w:t>Verdaderos positivos</w:t>
            </w:r>
          </w:p>
        </w:tc>
        <w:tc>
          <w:tcPr>
            <w:tcW w:type="dxa" w:w="4680"/>
            <w:shd w:fill="EAF3FA"/>
          </w:tcPr>
          <w:p>
            <w:pPr>
              <w:spacing w:after="80"/>
            </w:pPr>
            <w:r>
              <w:rPr>
                <w:b w:val="0"/>
                <w:color w:val="072146"/>
                <w:sz w:val="18"/>
              </w:rPr>
              <w:t>51</w:t>
            </w:r>
          </w:p>
        </w:tc>
      </w:tr>
      <w:tr>
        <w:trPr>
          <w:cantSplit/>
        </w:trPr>
        <w:tc>
          <w:tcPr>
            <w:tcW w:type="dxa" w:w="4680"/>
            <w:shd w:fill="EAF3FA"/>
          </w:tcPr>
          <w:p>
            <w:pPr>
              <w:spacing w:after="80"/>
            </w:pPr>
            <w:r>
              <w:rPr>
                <w:b w:val="0"/>
                <w:color w:val="072146"/>
                <w:sz w:val="18"/>
              </w:rPr>
              <w:t>Accuracy</w:t>
            </w:r>
          </w:p>
        </w:tc>
        <w:tc>
          <w:tcPr>
            <w:tcW w:type="dxa" w:w="4680"/>
            <w:shd w:fill="EAF3FA"/>
          </w:tcPr>
          <w:p>
            <w:pPr>
              <w:spacing w:after="80"/>
            </w:pPr>
            <w:r>
              <w:rPr>
                <w:b w:val="0"/>
                <w:color w:val="072146"/>
                <w:sz w:val="18"/>
              </w:rPr>
              <w:t>0.9226</w:t>
            </w:r>
          </w:p>
        </w:tc>
      </w:tr>
      <w:tr>
        <w:trPr>
          <w:cantSplit/>
        </w:trPr>
        <w:tc>
          <w:tcPr>
            <w:tcW w:type="dxa" w:w="4680"/>
            <w:shd w:fill="EAF3FA"/>
          </w:tcPr>
          <w:p>
            <w:pPr>
              <w:spacing w:after="80"/>
            </w:pPr>
            <w:r>
              <w:rPr>
                <w:b w:val="0"/>
                <w:color w:val="072146"/>
                <w:sz w:val="18"/>
              </w:rPr>
              <w:t>Precisión</w:t>
            </w:r>
          </w:p>
        </w:tc>
        <w:tc>
          <w:tcPr>
            <w:tcW w:type="dxa" w:w="4680"/>
            <w:shd w:fill="EAF3FA"/>
          </w:tcPr>
          <w:p>
            <w:pPr>
              <w:spacing w:after="80"/>
            </w:pPr>
            <w:r>
              <w:rPr>
                <w:b w:val="0"/>
                <w:color w:val="072146"/>
                <w:sz w:val="18"/>
              </w:rPr>
              <w:t>0.6711</w:t>
            </w:r>
          </w:p>
        </w:tc>
      </w:tr>
      <w:tr>
        <w:trPr>
          <w:cantSplit/>
        </w:trPr>
        <w:tc>
          <w:tcPr>
            <w:tcW w:type="dxa" w:w="4680"/>
            <w:shd w:fill="EAF3FA"/>
          </w:tcPr>
          <w:p>
            <w:pPr>
              <w:spacing w:after="80"/>
            </w:pPr>
            <w:r>
              <w:rPr>
                <w:b w:val="0"/>
                <w:color w:val="072146"/>
                <w:sz w:val="18"/>
              </w:rPr>
              <w:t>Recall</w:t>
            </w:r>
          </w:p>
        </w:tc>
        <w:tc>
          <w:tcPr>
            <w:tcW w:type="dxa" w:w="4680"/>
            <w:shd w:fill="EAF3FA"/>
          </w:tcPr>
          <w:p>
            <w:pPr>
              <w:spacing w:after="80"/>
            </w:pPr>
            <w:r>
              <w:rPr>
                <w:b w:val="0"/>
                <w:color w:val="072146"/>
                <w:sz w:val="18"/>
              </w:rPr>
              <w:t>0.8361</w:t>
            </w:r>
          </w:p>
        </w:tc>
      </w:tr>
      <w:tr>
        <w:trPr>
          <w:cantSplit/>
        </w:trPr>
        <w:tc>
          <w:tcPr>
            <w:tcW w:type="dxa" w:w="4680"/>
            <w:shd w:fill="EAF3FA"/>
          </w:tcPr>
          <w:p>
            <w:pPr>
              <w:spacing w:after="80"/>
            </w:pPr>
            <w:r>
              <w:rPr>
                <w:b w:val="0"/>
                <w:color w:val="072146"/>
                <w:sz w:val="18"/>
              </w:rPr>
              <w:t>F1</w:t>
            </w:r>
          </w:p>
        </w:tc>
        <w:tc>
          <w:tcPr>
            <w:tcW w:type="dxa" w:w="4680"/>
            <w:shd w:fill="EAF3FA"/>
          </w:tcPr>
          <w:p>
            <w:pPr>
              <w:spacing w:after="80"/>
            </w:pPr>
            <w:r>
              <w:rPr>
                <w:b w:val="0"/>
                <w:color w:val="072146"/>
                <w:sz w:val="18"/>
              </w:rPr>
              <w:t>0.7445</w:t>
            </w:r>
          </w:p>
        </w:tc>
      </w:tr>
      <w:tr>
        <w:trPr>
          <w:cantSplit/>
        </w:trPr>
        <w:tc>
          <w:tcPr>
            <w:tcW w:type="dxa" w:w="4680"/>
            <w:shd w:fill="EAF3FA"/>
          </w:tcPr>
          <w:p>
            <w:pPr>
              <w:spacing w:after="80"/>
            </w:pPr>
            <w:r>
              <w:rPr>
                <w:b w:val="0"/>
                <w:color w:val="072146"/>
                <w:sz w:val="18"/>
              </w:rPr>
              <w:t>ROC AUC</w:t>
            </w:r>
          </w:p>
        </w:tc>
        <w:tc>
          <w:tcPr>
            <w:tcW w:type="dxa" w:w="4680"/>
            <w:shd w:fill="EAF3FA"/>
          </w:tcPr>
          <w:p>
            <w:pPr>
              <w:spacing w:after="80"/>
            </w:pPr>
            <w:r>
              <w:rPr>
                <w:b w:val="0"/>
                <w:color w:val="072146"/>
                <w:sz w:val="18"/>
              </w:rPr>
              <w:t>0.9548</w:t>
            </w:r>
          </w:p>
        </w:tc>
      </w:tr>
    </w:tbl>
    <w:p>
      <w:r>
        <w:t>Se generan 76 alertas: 51 noticias negativas recuperadas y 25 falsas alertas. Persisten 10 omisiones. La meta conjunta de recall y precisión de Actividad 6 no se alcanza. Empaquetar el modelo en Docker no elimina esa limitación ni demuestra generalización a noticias mexicanas.</w:t>
      </w:r>
    </w:p>
    <w:p>
      <w:r>
        <w:t>La regresión HTTP inicial tardó aproximadamente 1.32 segundos para las 452 solicitudes secuenciales en este equipo. Es una observación de comprobación, no un SLA, percentil de latencia, prueba concurrente ni comparación válida de proveedores cloud.</w:t>
      </w:r>
    </w:p>
    <w:p>
      <w:pPr>
        <w:pStyle w:val="Ttulo1"/>
        <w:keepNext/>
      </w:pPr>
      <w:r>
        <w:t>Análisis del comportamiento del modelo</w:t>
      </w:r>
    </w:p>
    <w:p>
      <w:pPr>
        <w:keepNext/>
      </w:pPr>
      <w:r>
        <w:drawing>
          <wp:inline xmlns:a="http://schemas.openxmlformats.org/drawingml/2006/main" xmlns:pic="http://schemas.openxmlformats.org/drawingml/2006/picture">
            <wp:extent cx="5760720" cy="2592324"/>
            <wp:docPr id="7" name="Picture 7"/>
            <wp:cNvGraphicFramePr>
              <a:graphicFrameLocks noChangeAspect="1"/>
            </wp:cNvGraphicFramePr>
            <a:graphic>
              <a:graphicData uri="http://schemas.openxmlformats.org/drawingml/2006/picture">
                <pic:pic>
                  <pic:nvPicPr>
                    <pic:cNvPr id="0" name="distribucion_probabilidades.png"/>
                    <pic:cNvPicPr/>
                  </pic:nvPicPr>
                  <pic:blipFill>
                    <a:blip r:embed="rId25"/>
                    <a:stretch>
                      <a:fillRect/>
                    </a:stretch>
                  </pic:blipFill>
                  <pic:spPr>
                    <a:xfrm>
                      <a:off x="0" y="0"/>
                      <a:ext cx="5760720" cy="2592324"/>
                    </a:xfrm>
                    <a:prstGeom prst="rect"/>
                  </pic:spPr>
                </pic:pic>
              </a:graphicData>
            </a:graphic>
          </wp:inline>
        </w:drawing>
      </w:r>
    </w:p>
    <w:p>
      <w:r>
        <w:t>Figura 2. Distribución retrospectiva de probabilidades en las 452 noticias conservadas.</w:t>
      </w:r>
    </w:p>
    <w:p>
      <w:r>
        <w:t>Defino cerca del umbral como la banda descriptiva de 0.19 a 0.21, inclusive: contiene 5 noticias. No es un intervalo de confianza. En la frontera, una variación pequeña de puntuación puede cambiar la prioridad de lectura sin que cambie el riesgo económico del cliente. Por ello no uso la alerta como instrucción de inversión. El histograma y los conteos se regeneran con scripts/analyze_behavior.py y quedan respaldados por evidencias/comportamiento_modelo.json, que identifica el CSV mediante SHA256.</w:t>
      </w:r>
    </w:p>
    <w:tbl>
      <w:tblPr>
        <w:tblW w:type="auto" w:w="0"/>
        <w:tblLayout w:type="fixed"/>
        <w:tblLook w:firstColumn="1" w:firstRow="1" w:lastColumn="0" w:lastRow="0" w:noHBand="0" w:noVBand="1" w:val="04A0"/>
      </w:tblPr>
      <w:tblGrid>
        <w:gridCol w:w="1872"/>
        <w:gridCol w:w="1872"/>
        <w:gridCol w:w="1872"/>
        <w:gridCol w:w="1872"/>
        <w:gridCol w:w="1872"/>
      </w:tblGrid>
      <w:tr>
        <w:trPr>
          <w:cantSplit/>
          <w:tblHeader/>
        </w:trPr>
        <w:tc>
          <w:tcPr>
            <w:tcW w:type="dxa" w:w="1872"/>
            <w:shd w:fill="004481"/>
          </w:tcPr>
          <w:p>
            <w:pPr>
              <w:spacing w:after="80"/>
            </w:pPr>
            <w:r>
              <w:rPr>
                <w:b/>
                <w:color w:val="FFFFFF"/>
                <w:sz w:val="18"/>
              </w:rPr>
              <w:t>Umbral exploratorio</w:t>
            </w:r>
          </w:p>
        </w:tc>
        <w:tc>
          <w:tcPr>
            <w:tcW w:type="dxa" w:w="1872"/>
            <w:shd w:fill="004481"/>
          </w:tcPr>
          <w:p>
            <w:pPr>
              <w:spacing w:after="80"/>
            </w:pPr>
            <w:r>
              <w:rPr>
                <w:b/>
                <w:color w:val="FFFFFF"/>
                <w:sz w:val="18"/>
              </w:rPr>
              <w:t>Alertas</w:t>
            </w:r>
          </w:p>
        </w:tc>
        <w:tc>
          <w:tcPr>
            <w:tcW w:type="dxa" w:w="1872"/>
            <w:shd w:fill="004481"/>
          </w:tcPr>
          <w:p>
            <w:pPr>
              <w:spacing w:after="80"/>
            </w:pPr>
            <w:r>
              <w:rPr>
                <w:b/>
                <w:color w:val="FFFFFF"/>
                <w:sz w:val="18"/>
              </w:rPr>
              <w:t>Cambios frente a 0.20</w:t>
            </w:r>
          </w:p>
        </w:tc>
        <w:tc>
          <w:tcPr>
            <w:tcW w:type="dxa" w:w="1872"/>
            <w:shd w:fill="004481"/>
          </w:tcPr>
          <w:p>
            <w:pPr>
              <w:spacing w:after="80"/>
            </w:pPr>
            <w:r>
              <w:rPr>
                <w:b/>
                <w:color w:val="FFFFFF"/>
                <w:sz w:val="18"/>
              </w:rPr>
              <w:t>FP</w:t>
            </w:r>
          </w:p>
        </w:tc>
        <w:tc>
          <w:tcPr>
            <w:tcW w:type="dxa" w:w="1872"/>
            <w:shd w:fill="004481"/>
          </w:tcPr>
          <w:p>
            <w:pPr>
              <w:spacing w:after="80"/>
            </w:pPr>
            <w:r>
              <w:rPr>
                <w:b/>
                <w:color w:val="FFFFFF"/>
                <w:sz w:val="18"/>
              </w:rPr>
              <w:t>FN</w:t>
            </w:r>
          </w:p>
        </w:tc>
      </w:tr>
      <w:tr>
        <w:trPr>
          <w:cantSplit/>
        </w:trPr>
        <w:tc>
          <w:tcPr>
            <w:tcW w:type="dxa" w:w="1872"/>
            <w:shd w:fill="EAF3FA"/>
          </w:tcPr>
          <w:p>
            <w:pPr>
              <w:spacing w:after="80"/>
            </w:pPr>
            <w:r>
              <w:rPr>
                <w:b w:val="0"/>
                <w:color w:val="072146"/>
                <w:sz w:val="18"/>
              </w:rPr>
              <w:t>0.19</w:t>
            </w:r>
          </w:p>
        </w:tc>
        <w:tc>
          <w:tcPr>
            <w:tcW w:type="dxa" w:w="1872"/>
            <w:shd w:fill="EAF3FA"/>
          </w:tcPr>
          <w:p>
            <w:pPr>
              <w:spacing w:after="80"/>
            </w:pPr>
            <w:r>
              <w:rPr>
                <w:b w:val="0"/>
                <w:color w:val="072146"/>
                <w:sz w:val="18"/>
              </w:rPr>
              <w:t>78</w:t>
            </w:r>
          </w:p>
        </w:tc>
        <w:tc>
          <w:tcPr>
            <w:tcW w:type="dxa" w:w="1872"/>
            <w:shd w:fill="EAF3FA"/>
          </w:tcPr>
          <w:p>
            <w:pPr>
              <w:spacing w:after="80"/>
            </w:pPr>
            <w:r>
              <w:rPr>
                <w:b w:val="0"/>
                <w:color w:val="072146"/>
                <w:sz w:val="18"/>
              </w:rPr>
              <w:t>2</w:t>
            </w:r>
          </w:p>
        </w:tc>
        <w:tc>
          <w:tcPr>
            <w:tcW w:type="dxa" w:w="1872"/>
            <w:shd w:fill="EAF3FA"/>
          </w:tcPr>
          <w:p>
            <w:pPr>
              <w:spacing w:after="80"/>
            </w:pPr>
            <w:r>
              <w:rPr>
                <w:b w:val="0"/>
                <w:color w:val="072146"/>
                <w:sz w:val="18"/>
              </w:rPr>
              <w:t>27</w:t>
            </w:r>
          </w:p>
        </w:tc>
        <w:tc>
          <w:tcPr>
            <w:tcW w:type="dxa" w:w="1872"/>
            <w:shd w:fill="EAF3FA"/>
          </w:tcPr>
          <w:p>
            <w:pPr>
              <w:spacing w:after="80"/>
            </w:pPr>
            <w:r>
              <w:rPr>
                <w:b w:val="0"/>
                <w:color w:val="072146"/>
                <w:sz w:val="18"/>
              </w:rPr>
              <w:t>10</w:t>
            </w:r>
          </w:p>
        </w:tc>
      </w:tr>
      <w:tr>
        <w:trPr>
          <w:cantSplit/>
        </w:trPr>
        <w:tc>
          <w:tcPr>
            <w:tcW w:type="dxa" w:w="1872"/>
            <w:shd w:fill="EAF3FA"/>
          </w:tcPr>
          <w:p>
            <w:pPr>
              <w:spacing w:after="80"/>
            </w:pPr>
            <w:r>
              <w:rPr>
                <w:b w:val="0"/>
                <w:color w:val="072146"/>
                <w:sz w:val="18"/>
              </w:rPr>
              <w:t>0.20 operativo</w:t>
            </w:r>
          </w:p>
        </w:tc>
        <w:tc>
          <w:tcPr>
            <w:tcW w:type="dxa" w:w="1872"/>
            <w:shd w:fill="EAF3FA"/>
          </w:tcPr>
          <w:p>
            <w:pPr>
              <w:spacing w:after="80"/>
            </w:pPr>
            <w:r>
              <w:rPr>
                <w:b w:val="0"/>
                <w:color w:val="072146"/>
                <w:sz w:val="18"/>
              </w:rPr>
              <w:t>76</w:t>
            </w:r>
          </w:p>
        </w:tc>
        <w:tc>
          <w:tcPr>
            <w:tcW w:type="dxa" w:w="1872"/>
            <w:shd w:fill="EAF3FA"/>
          </w:tcPr>
          <w:p>
            <w:pPr>
              <w:spacing w:after="80"/>
            </w:pPr>
            <w:r>
              <w:rPr>
                <w:b w:val="0"/>
                <w:color w:val="072146"/>
                <w:sz w:val="18"/>
              </w:rPr>
              <w:t>0</w:t>
            </w:r>
          </w:p>
        </w:tc>
        <w:tc>
          <w:tcPr>
            <w:tcW w:type="dxa" w:w="1872"/>
            <w:shd w:fill="EAF3FA"/>
          </w:tcPr>
          <w:p>
            <w:pPr>
              <w:spacing w:after="80"/>
            </w:pPr>
            <w:r>
              <w:rPr>
                <w:b w:val="0"/>
                <w:color w:val="072146"/>
                <w:sz w:val="18"/>
              </w:rPr>
              <w:t>25</w:t>
            </w:r>
          </w:p>
        </w:tc>
        <w:tc>
          <w:tcPr>
            <w:tcW w:type="dxa" w:w="1872"/>
            <w:shd w:fill="EAF3FA"/>
          </w:tcPr>
          <w:p>
            <w:pPr>
              <w:spacing w:after="80"/>
            </w:pPr>
            <w:r>
              <w:rPr>
                <w:b w:val="0"/>
                <w:color w:val="072146"/>
                <w:sz w:val="18"/>
              </w:rPr>
              <w:t>10</w:t>
            </w:r>
          </w:p>
        </w:tc>
      </w:tr>
      <w:tr>
        <w:trPr>
          <w:cantSplit/>
        </w:trPr>
        <w:tc>
          <w:tcPr>
            <w:tcW w:type="dxa" w:w="1872"/>
            <w:shd w:fill="EAF3FA"/>
          </w:tcPr>
          <w:p>
            <w:pPr>
              <w:spacing w:after="80"/>
            </w:pPr>
            <w:r>
              <w:rPr>
                <w:b w:val="0"/>
                <w:color w:val="072146"/>
                <w:sz w:val="18"/>
              </w:rPr>
              <w:t>0.21</w:t>
            </w:r>
          </w:p>
        </w:tc>
        <w:tc>
          <w:tcPr>
            <w:tcW w:type="dxa" w:w="1872"/>
            <w:shd w:fill="EAF3FA"/>
          </w:tcPr>
          <w:p>
            <w:pPr>
              <w:spacing w:after="80"/>
            </w:pPr>
            <w:r>
              <w:rPr>
                <w:b w:val="0"/>
                <w:color w:val="072146"/>
                <w:sz w:val="18"/>
              </w:rPr>
              <w:t>73</w:t>
            </w:r>
          </w:p>
        </w:tc>
        <w:tc>
          <w:tcPr>
            <w:tcW w:type="dxa" w:w="1872"/>
            <w:shd w:fill="EAF3FA"/>
          </w:tcPr>
          <w:p>
            <w:pPr>
              <w:spacing w:after="80"/>
            </w:pPr>
            <w:r>
              <w:rPr>
                <w:b w:val="0"/>
                <w:color w:val="072146"/>
                <w:sz w:val="18"/>
              </w:rPr>
              <w:t>3</w:t>
            </w:r>
          </w:p>
        </w:tc>
        <w:tc>
          <w:tcPr>
            <w:tcW w:type="dxa" w:w="1872"/>
            <w:shd w:fill="EAF3FA"/>
          </w:tcPr>
          <w:p>
            <w:pPr>
              <w:spacing w:after="80"/>
            </w:pPr>
            <w:r>
              <w:rPr>
                <w:b w:val="0"/>
                <w:color w:val="072146"/>
                <w:sz w:val="18"/>
              </w:rPr>
              <w:t>22</w:t>
            </w:r>
          </w:p>
        </w:tc>
        <w:tc>
          <w:tcPr>
            <w:tcW w:type="dxa" w:w="1872"/>
            <w:shd w:fill="EAF3FA"/>
          </w:tcPr>
          <w:p>
            <w:pPr>
              <w:spacing w:after="80"/>
            </w:pPr>
            <w:r>
              <w:rPr>
                <w:b w:val="0"/>
                <w:color w:val="072146"/>
                <w:sz w:val="18"/>
              </w:rPr>
              <w:t>10</w:t>
            </w:r>
          </w:p>
        </w:tc>
      </w:tr>
    </w:tbl>
    <w:p>
      <w:r>
        <w:t>Bajar a 0.19 agrega dos falsas alertas; subir a 0.21 retira tres falsas alertas en este conjunto. Ninguna de las dos alternativas recupera los diez falsos negativos. Es un diagnóstico retrospectivo, no una selección válida de un nuevo umbral: mantengo 0.20 y reservo cualquier decisión futura para validación independiente.</w:t>
      </w:r>
    </w:p>
    <w:p>
      <w:pPr>
        <w:pStyle w:val="Ttulo2"/>
        <w:keepNext/>
      </w:pPr>
      <w:r>
        <w:t>Lectura de errores concretos</w:t>
      </w:r>
    </w:p>
    <w:p>
      <w:r>
        <w:t>Seleccioné los primeros tres errores de cada tipo en el orden del CSV, sin presentarlos como una muestra aleatoria ni una explicación causal del modelo. Los textos originales completos están en el JSON de evidencia; aquí resumo su contenido (Malo et al., 2014).</w:t>
      </w:r>
    </w:p>
    <w:tbl>
      <w:tblPr>
        <w:tblW w:type="auto" w:w="0"/>
        <w:tblLayout w:type="fixed"/>
        <w:tblLook w:firstColumn="1" w:firstRow="1" w:lastColumn="0" w:lastRow="0" w:noHBand="0" w:noVBand="1" w:val="04A0"/>
      </w:tblPr>
      <w:tblGrid>
        <w:gridCol w:w="3120"/>
        <w:gridCol w:w="3120"/>
        <w:gridCol w:w="3120"/>
      </w:tblGrid>
      <w:tr>
        <w:trPr>
          <w:cantSplit/>
          <w:tblHeader/>
        </w:trPr>
        <w:tc>
          <w:tcPr>
            <w:tcW w:type="dxa" w:w="3120"/>
            <w:shd w:fill="004481"/>
          </w:tcPr>
          <w:p>
            <w:pPr>
              <w:spacing w:after="80"/>
            </w:pPr>
            <w:r>
              <w:rPr>
                <w:b/>
                <w:color w:val="FFFFFF"/>
                <w:sz w:val="18"/>
              </w:rPr>
              <w:t>Caso</w:t>
            </w:r>
          </w:p>
        </w:tc>
        <w:tc>
          <w:tcPr>
            <w:tcW w:type="dxa" w:w="3120"/>
            <w:shd w:fill="004481"/>
          </w:tcPr>
          <w:p>
            <w:pPr>
              <w:spacing w:after="80"/>
            </w:pPr>
            <w:r>
              <w:rPr>
                <w:b/>
                <w:color w:val="FFFFFF"/>
                <w:sz w:val="18"/>
              </w:rPr>
              <w:t>Probabilidad</w:t>
            </w:r>
          </w:p>
        </w:tc>
        <w:tc>
          <w:tcPr>
            <w:tcW w:type="dxa" w:w="3120"/>
            <w:shd w:fill="004481"/>
          </w:tcPr>
          <w:p>
            <w:pPr>
              <w:spacing w:after="80"/>
            </w:pPr>
            <w:r>
              <w:rPr>
                <w:b/>
                <w:color w:val="FFFFFF"/>
                <w:sz w:val="18"/>
              </w:rPr>
              <w:t>Lectura del texto y consecuencia operativa</w:t>
            </w:r>
          </w:p>
        </w:tc>
      </w:tr>
      <w:tr>
        <w:trPr>
          <w:cantSplit/>
        </w:trPr>
        <w:tc>
          <w:tcPr>
            <w:tcW w:type="dxa" w:w="3120"/>
            <w:shd w:fill="EAF3FA"/>
          </w:tcPr>
          <w:p>
            <w:pPr>
              <w:spacing w:after="80"/>
            </w:pPr>
            <w:r>
              <w:rPr>
                <w:b w:val="0"/>
                <w:color w:val="072146"/>
                <w:sz w:val="18"/>
              </w:rPr>
              <w:t>FN FPB0374</w:t>
            </w:r>
          </w:p>
        </w:tc>
        <w:tc>
          <w:tcPr>
            <w:tcW w:type="dxa" w:w="3120"/>
            <w:shd w:fill="EAF3FA"/>
          </w:tcPr>
          <w:p>
            <w:pPr>
              <w:spacing w:after="80"/>
            </w:pPr>
            <w:r>
              <w:rPr>
                <w:b w:val="0"/>
                <w:color w:val="072146"/>
                <w:sz w:val="18"/>
              </w:rPr>
              <w:t>0.0481</w:t>
            </w:r>
          </w:p>
        </w:tc>
        <w:tc>
          <w:tcPr>
            <w:tcW w:type="dxa" w:w="3120"/>
            <w:shd w:fill="EAF3FA"/>
          </w:tcPr>
          <w:p>
            <w:pPr>
              <w:spacing w:after="80"/>
            </w:pPr>
            <w:r>
              <w:rPr>
                <w:b w:val="0"/>
                <w:color w:val="072146"/>
                <w:sz w:val="18"/>
              </w:rPr>
              <w:t>Descenso de inventarios de pulpa en Norteamérica. El corpus lo etiqueta negativo; el significado económico depende del contexto sectorial. La ausencia de alerta no descarta un cambio relevante.</w:t>
            </w:r>
          </w:p>
        </w:tc>
      </w:tr>
      <w:tr>
        <w:trPr>
          <w:cantSplit/>
        </w:trPr>
        <w:tc>
          <w:tcPr>
            <w:tcW w:type="dxa" w:w="3120"/>
            <w:shd w:fill="EAF3FA"/>
          </w:tcPr>
          <w:p>
            <w:pPr>
              <w:spacing w:after="80"/>
            </w:pPr>
            <w:r>
              <w:rPr>
                <w:b w:val="0"/>
                <w:color w:val="072146"/>
                <w:sz w:val="18"/>
              </w:rPr>
              <w:t>FN FPB0382</w:t>
            </w:r>
          </w:p>
        </w:tc>
        <w:tc>
          <w:tcPr>
            <w:tcW w:type="dxa" w:w="3120"/>
            <w:shd w:fill="EAF3FA"/>
          </w:tcPr>
          <w:p>
            <w:pPr>
              <w:spacing w:after="80"/>
            </w:pPr>
            <w:r>
              <w:rPr>
                <w:b w:val="0"/>
                <w:color w:val="072146"/>
                <w:sz w:val="18"/>
              </w:rPr>
              <w:t>0.0422</w:t>
            </w:r>
          </w:p>
        </w:tc>
        <w:tc>
          <w:tcPr>
            <w:tcW w:type="dxa" w:w="3120"/>
            <w:shd w:fill="EAF3FA"/>
          </w:tcPr>
          <w:p>
            <w:pPr>
              <w:spacing w:after="80"/>
            </w:pPr>
            <w:r>
              <w:rPr>
                <w:b w:val="0"/>
                <w:color w:val="072146"/>
                <w:sz w:val="18"/>
              </w:rPr>
              <w:t>Flujo operativo en mínimo de ocho años. Omite un deterioro financiero explícito que yo sí revisaría al preparar una reunión.</w:t>
            </w:r>
          </w:p>
        </w:tc>
      </w:tr>
      <w:tr>
        <w:trPr>
          <w:cantSplit/>
        </w:trPr>
        <w:tc>
          <w:tcPr>
            <w:tcW w:type="dxa" w:w="3120"/>
            <w:shd w:fill="EAF3FA"/>
          </w:tcPr>
          <w:p>
            <w:pPr>
              <w:spacing w:after="80"/>
            </w:pPr>
            <w:r>
              <w:rPr>
                <w:b w:val="0"/>
                <w:color w:val="072146"/>
                <w:sz w:val="18"/>
              </w:rPr>
              <w:t>FN FPB2012</w:t>
            </w:r>
          </w:p>
        </w:tc>
        <w:tc>
          <w:tcPr>
            <w:tcW w:type="dxa" w:w="3120"/>
            <w:shd w:fill="EAF3FA"/>
          </w:tcPr>
          <w:p>
            <w:pPr>
              <w:spacing w:after="80"/>
            </w:pPr>
            <w:r>
              <w:rPr>
                <w:b w:val="0"/>
                <w:color w:val="072146"/>
                <w:sz w:val="18"/>
              </w:rPr>
              <w:t>0.0456</w:t>
            </w:r>
          </w:p>
        </w:tc>
        <w:tc>
          <w:tcPr>
            <w:tcW w:type="dxa" w:w="3120"/>
            <w:shd w:fill="EAF3FA"/>
          </w:tcPr>
          <w:p>
            <w:pPr>
              <w:spacing w:after="80"/>
            </w:pPr>
            <w:r>
              <w:rPr>
                <w:b w:val="0"/>
                <w:color w:val="072146"/>
                <w:sz w:val="18"/>
              </w:rPr>
              <w:t>Incertidumbres que afectan la perspectiva de largo plazo. La formulación breve no activa la alerta; necesito contexto adicional.</w:t>
            </w:r>
          </w:p>
        </w:tc>
      </w:tr>
      <w:tr>
        <w:trPr>
          <w:cantSplit/>
        </w:trPr>
        <w:tc>
          <w:tcPr>
            <w:tcW w:type="dxa" w:w="3120"/>
            <w:shd w:fill="EAF3FA"/>
          </w:tcPr>
          <w:p>
            <w:pPr>
              <w:spacing w:after="80"/>
            </w:pPr>
            <w:r>
              <w:rPr>
                <w:b w:val="0"/>
                <w:color w:val="072146"/>
                <w:sz w:val="18"/>
              </w:rPr>
              <w:t>FP FPB0056</w:t>
            </w:r>
          </w:p>
        </w:tc>
        <w:tc>
          <w:tcPr>
            <w:tcW w:type="dxa" w:w="3120"/>
            <w:shd w:fill="EAF3FA"/>
          </w:tcPr>
          <w:p>
            <w:pPr>
              <w:spacing w:after="80"/>
            </w:pPr>
            <w:r>
              <w:rPr>
                <w:b w:val="0"/>
                <w:color w:val="072146"/>
                <w:sz w:val="18"/>
              </w:rPr>
              <w:t>0.2150</w:t>
            </w:r>
          </w:p>
        </w:tc>
        <w:tc>
          <w:tcPr>
            <w:tcW w:type="dxa" w:w="3120"/>
            <w:shd w:fill="EAF3FA"/>
          </w:tcPr>
          <w:p>
            <w:pPr>
              <w:spacing w:after="80"/>
            </w:pPr>
            <w:r>
              <w:rPr>
                <w:b w:val="0"/>
                <w:color w:val="072146"/>
                <w:sz w:val="18"/>
              </w:rPr>
              <w:t>Expectativa de crecimiento de ventas y retorno a beneficios. La alerta contradice la etiqueta positiva y genera trabajo de revisión innecesario.</w:t>
            </w:r>
          </w:p>
        </w:tc>
      </w:tr>
      <w:tr>
        <w:trPr>
          <w:cantSplit/>
        </w:trPr>
        <w:tc>
          <w:tcPr>
            <w:tcW w:type="dxa" w:w="3120"/>
            <w:shd w:fill="EAF3FA"/>
          </w:tcPr>
          <w:p>
            <w:pPr>
              <w:spacing w:after="80"/>
            </w:pPr>
            <w:r>
              <w:rPr>
                <w:b w:val="0"/>
                <w:color w:val="072146"/>
                <w:sz w:val="18"/>
              </w:rPr>
              <w:t>FP FPB0203</w:t>
            </w:r>
          </w:p>
        </w:tc>
        <w:tc>
          <w:tcPr>
            <w:tcW w:type="dxa" w:w="3120"/>
            <w:shd w:fill="EAF3FA"/>
          </w:tcPr>
          <w:p>
            <w:pPr>
              <w:spacing w:after="80"/>
            </w:pPr>
            <w:r>
              <w:rPr>
                <w:b w:val="0"/>
                <w:color w:val="072146"/>
                <w:sz w:val="18"/>
              </w:rPr>
              <w:t>0.2392</w:t>
            </w:r>
          </w:p>
        </w:tc>
        <w:tc>
          <w:tcPr>
            <w:tcW w:type="dxa" w:w="3120"/>
            <w:shd w:fill="EAF3FA"/>
          </w:tcPr>
          <w:p>
            <w:pPr>
              <w:spacing w:after="80"/>
            </w:pPr>
            <w:r>
              <w:rPr>
                <w:b w:val="0"/>
                <w:color w:val="072146"/>
                <w:sz w:val="18"/>
              </w:rPr>
              <w:t>Aumento de utilidad neta de 15 %. La clasificación negativa no equivale a deterioro del emisor.</w:t>
            </w:r>
          </w:p>
        </w:tc>
      </w:tr>
      <w:tr>
        <w:trPr>
          <w:cantSplit/>
        </w:trPr>
        <w:tc>
          <w:tcPr>
            <w:tcW w:type="dxa" w:w="3120"/>
            <w:shd w:fill="EAF3FA"/>
          </w:tcPr>
          <w:p>
            <w:pPr>
              <w:spacing w:after="80"/>
            </w:pPr>
            <w:r>
              <w:rPr>
                <w:b w:val="0"/>
                <w:color w:val="072146"/>
                <w:sz w:val="18"/>
              </w:rPr>
              <w:t>FP FPB0331</w:t>
            </w:r>
          </w:p>
        </w:tc>
        <w:tc>
          <w:tcPr>
            <w:tcW w:type="dxa" w:w="3120"/>
            <w:shd w:fill="EAF3FA"/>
          </w:tcPr>
          <w:p>
            <w:pPr>
              <w:spacing w:after="80"/>
            </w:pPr>
            <w:r>
              <w:rPr>
                <w:b w:val="0"/>
                <w:color w:val="072146"/>
                <w:sz w:val="18"/>
              </w:rPr>
              <w:t>0.3571</w:t>
            </w:r>
          </w:p>
        </w:tc>
        <w:tc>
          <w:tcPr>
            <w:tcW w:type="dxa" w:w="3120"/>
            <w:shd w:fill="EAF3FA"/>
          </w:tcPr>
          <w:p>
            <w:pPr>
              <w:spacing w:after="80"/>
            </w:pPr>
            <w:r>
              <w:rPr>
                <w:b w:val="0"/>
                <w:color w:val="072146"/>
                <w:sz w:val="18"/>
              </w:rPr>
              <w:t>Reducción de la pérdida frente al año previo. Sigue mencionando una pérdida, pero el corpus valora la mejora; el contexto comparativo importa.</w:t>
            </w:r>
          </w:p>
        </w:tc>
      </w:tr>
    </w:tbl>
    <w:p>
      <w:r>
        <w:t>Estas lecturas describen el contenido observado; no demuestran qué palabras causaron cada decisión. El análisis no sustituye una explicación formal del estimador.</w:t>
      </w:r>
    </w:p>
    <w:p>
      <w:pPr>
        <w:pStyle w:val="Ttulo2"/>
        <w:keepNext/>
      </w:pPr>
      <w:r>
        <w:t>Rechazo y tiempos de respuesta</w:t>
      </w:r>
    </w:p>
    <w:p>
      <w:r>
        <w:t>Cuando ninguno de los vocabularios TF-IDF de los tres calibradores reconoce términos, la API devuelve HTTP 422 en lugar de una probabilidad. Evito así presentar una salida sin soporte léxico como si fuera evidencia para el banquero. El rechazo exige lectura humana; no significa que la noticia sea neutral. Tampoco valida el idioma: declarar en sigue siendo responsabilidad del usuario.</w:t>
      </w:r>
    </w:p>
    <w:p>
      <w:r>
        <w:t>La evidencia original de Docker registra 1.321524792 segundos para 452 solicitudes secuenciales: 2.923727 ms por solicitud como promedio amortizado del recorrido. Incluye el trabajo del cliente y del bucle; no se guardaron duraciones individuales y no puedo atribuir percentiles ni un máximo por petición. No es un SLA ni una prueba de carga.</w:t>
      </w:r>
    </w:p>
    <w:p>
      <w:r>
        <w:t>Como banquero Sr., confío en esta capa para ordenar una lectura inicial, siempre que la noticia esté dentro del alcance en inglés. No confío en la ausencia de alerta para descartar deterioro ni en una alerta para justificar una migración. Los diez falsos negativos y las veinticinco falsas alertas explican por qué conservo supervisión humana y por qué la meta conjunta sigue sin alcanzarse.</w:t>
      </w:r>
    </w:p>
    <w:p>
      <w:pPr>
        <w:pStyle w:val="Ttulo1"/>
        <w:keepNext/>
      </w:pPr>
      <w:r>
        <w:t>Escenario económico y controles</w:t>
      </w:r>
    </w:p>
    <w:p>
      <w:r>
        <w:t>Para C001, con posición de $11,858,000, migrar 35 % supone $4,150,300. Una mejora anual hipotética de 3 puntos a 12 meses representa $124,509; el corretaje supuesto del 2 % asciende a $83,006 y deja $41,503 antes de impuestos y otros gastos. El ejemplo sólo puede marcarse elegible para revisión si el destino conserva el perfil Moderado y el beneficio neto supuesto es positivo.</w:t>
      </w:r>
    </w:p>
    <w:p>
      <w:r>
        <w:t>El 1 % por compra y 1 % por venta no se presenta como tarifa general de BBVA. El índice de fondos heredado tiene corte al 22 de octubre de 2026; hay que confirmar cada serie, periodicidad y vigencia en el original. Las comisiones de fondos no equivalen al ingreso neto del banco. Si el rendimiento introducido ya es neto, no descuento de nuevo el mismo gasto.</w:t>
      </w:r>
    </w:p>
    <w:p>
      <w:pPr>
        <w:pStyle w:val="Ttulo1"/>
        <w:keepNext/>
      </w:pPr>
      <w:r>
        <w:t>Evidencia y criterios de aceptación</w:t>
      </w:r>
    </w:p>
    <w:tbl>
      <w:tblPr>
        <w:tblW w:type="auto" w:w="0"/>
        <w:tblLayout w:type="fixed"/>
        <w:tblLook w:firstColumn="1" w:firstRow="1" w:lastColumn="0" w:lastRow="0" w:noHBand="0" w:noVBand="1" w:val="04A0"/>
      </w:tblPr>
      <w:tblGrid>
        <w:gridCol w:w="4680"/>
        <w:gridCol w:w="4680"/>
      </w:tblGrid>
      <w:tr>
        <w:trPr>
          <w:cantSplit/>
          <w:tblHeader/>
        </w:trPr>
        <w:tc>
          <w:tcPr>
            <w:tcW w:type="dxa" w:w="4680"/>
            <w:shd w:fill="004481"/>
          </w:tcPr>
          <w:p>
            <w:pPr>
              <w:spacing w:after="80"/>
            </w:pPr>
            <w:r>
              <w:rPr>
                <w:b/>
                <w:color w:val="FFFFFF"/>
                <w:sz w:val="18"/>
              </w:rPr>
              <w:t>Criterio de la rúbrica</w:t>
            </w:r>
          </w:p>
        </w:tc>
        <w:tc>
          <w:tcPr>
            <w:tcW w:type="dxa" w:w="4680"/>
            <w:shd w:fill="004481"/>
          </w:tcPr>
          <w:p>
            <w:pPr>
              <w:spacing w:after="80"/>
            </w:pPr>
            <w:r>
              <w:rPr>
                <w:b/>
                <w:color w:val="FFFFFF"/>
                <w:sz w:val="18"/>
              </w:rPr>
              <w:t>Evidencia verificable</w:t>
            </w:r>
          </w:p>
        </w:tc>
      </w:tr>
      <w:tr>
        <w:trPr>
          <w:cantSplit/>
        </w:trPr>
        <w:tc>
          <w:tcPr>
            <w:tcW w:type="dxa" w:w="4680"/>
            <w:shd w:fill="EAF3FA"/>
          </w:tcPr>
          <w:p>
            <w:pPr>
              <w:spacing w:after="80"/>
            </w:pPr>
            <w:r>
              <w:rPr>
                <w:b w:val="0"/>
                <w:color w:val="072146"/>
                <w:sz w:val="18"/>
              </w:rPr>
              <w:t>Docker y ejecución local, 25 %</w:t>
            </w:r>
          </w:p>
        </w:tc>
        <w:tc>
          <w:tcPr>
            <w:tcW w:type="dxa" w:w="4680"/>
            <w:shd w:fill="EAF3FA"/>
          </w:tcPr>
          <w:p>
            <w:pPr>
              <w:spacing w:after="80"/>
            </w:pPr>
            <w:r>
              <w:rPr>
                <w:b w:val="0"/>
                <w:color w:val="072146"/>
                <w:sz w:val="18"/>
              </w:rPr>
              <w:t>Dockerfile, compose.yaml, estado healthy, ID y arquitectura de imagen</w:t>
            </w:r>
          </w:p>
        </w:tc>
      </w:tr>
      <w:tr>
        <w:trPr>
          <w:cantSplit/>
        </w:trPr>
        <w:tc>
          <w:tcPr>
            <w:tcW w:type="dxa" w:w="4680"/>
            <w:shd w:fill="EAF3FA"/>
          </w:tcPr>
          <w:p>
            <w:pPr>
              <w:spacing w:after="80"/>
            </w:pPr>
            <w:r>
              <w:rPr>
                <w:b w:val="0"/>
                <w:color w:val="072146"/>
                <w:sz w:val="18"/>
              </w:rPr>
              <w:t>Integración API y frontend, 25 %</w:t>
            </w:r>
          </w:p>
        </w:tc>
        <w:tc>
          <w:tcPr>
            <w:tcW w:type="dxa" w:w="4680"/>
            <w:shd w:fill="EAF3FA"/>
          </w:tcPr>
          <w:p>
            <w:pPr>
              <w:spacing w:after="80"/>
            </w:pPr>
            <w:r>
              <w:rPr>
                <w:b w:val="0"/>
                <w:color w:val="072146"/>
                <w:sz w:val="18"/>
              </w:rPr>
              <w:t>backend/main.py, frontend/client.py, smoke HTTP y respuesta entre contenedores</w:t>
            </w:r>
          </w:p>
        </w:tc>
      </w:tr>
      <w:tr>
        <w:trPr>
          <w:cantSplit/>
        </w:trPr>
        <w:tc>
          <w:tcPr>
            <w:tcW w:type="dxa" w:w="4680"/>
            <w:shd w:fill="EAF3FA"/>
          </w:tcPr>
          <w:p>
            <w:pPr>
              <w:spacing w:after="80"/>
            </w:pPr>
            <w:r>
              <w:rPr>
                <w:b w:val="0"/>
                <w:color w:val="072146"/>
                <w:sz w:val="18"/>
              </w:rPr>
              <w:t>Pruebas y casos extremos, 25 %</w:t>
            </w:r>
          </w:p>
        </w:tc>
        <w:tc>
          <w:tcPr>
            <w:tcW w:type="dxa" w:w="4680"/>
            <w:shd w:fill="EAF3FA"/>
          </w:tcPr>
          <w:p>
            <w:pPr>
              <w:spacing w:after="80"/>
            </w:pPr>
            <w:r>
              <w:rPr>
                <w:b w:val="0"/>
                <w:color w:val="072146"/>
                <w:sz w:val="18"/>
              </w:rPr>
              <w:t>pruebas/, JUnit, regresión HTTP de 452 noticias y resultados de este documento</w:t>
            </w:r>
          </w:p>
        </w:tc>
      </w:tr>
      <w:tr>
        <w:trPr>
          <w:cantSplit/>
        </w:trPr>
        <w:tc>
          <w:tcPr>
            <w:tcW w:type="dxa" w:w="4680"/>
            <w:shd w:fill="EAF3FA"/>
          </w:tcPr>
          <w:p>
            <w:pPr>
              <w:spacing w:after="80"/>
            </w:pPr>
            <w:r>
              <w:rPr>
                <w:b w:val="0"/>
                <w:color w:val="072146"/>
                <w:sz w:val="18"/>
              </w:rPr>
              <w:t>Documentación y repositorio, 25 %</w:t>
            </w:r>
          </w:p>
        </w:tc>
        <w:tc>
          <w:tcPr>
            <w:tcW w:type="dxa" w:w="4680"/>
            <w:shd w:fill="EAF3FA"/>
          </w:tcPr>
          <w:p>
            <w:pPr>
              <w:spacing w:after="80"/>
            </w:pPr>
            <w:r>
              <w:rPr>
                <w:b w:val="0"/>
                <w:color w:val="072146"/>
                <w:sz w:val="18"/>
              </w:rPr>
              <w:t>README, manual, configuración, fuentes y registro de cambios</w:t>
            </w:r>
          </w:p>
        </w:tc>
      </w:tr>
    </w:tbl>
    <w:p>
      <w:r>
        <w:t>Los archivos de evidencia están en evidencias/. Las capturas muestran la aplicación local; los JSON y JUnit permiten revisar el resultado sin depender de una imagen. El workflow de GitHub está configurado para repetir pruebas y construcción y conservar artefactos; el estado de una ejecución cloud/CI debe comprobarse en Actions y no se infiere de la validación local.</w:t>
      </w:r>
    </w:p>
    <w:p>
      <w:r>
        <w:t>La repetición completó las 23 pruebas en Ubuntu limpio. Después de registrar el fallo por ausencia de systemd, continué en un contenedor de laboratorio con daemon Docker propio y almacenamiento vfs, sin montar el socket ni carpetas del host. Ese contenedor externo necesita privilegios sólo para Docker anidado; no cambia el usuario ni los controles de los servicios de la aplicación. Se construyó la imagen, ambos servicios alcanzaron healthy, las 452 llamadas reprodujeron las predicciones y el cliente Streamlit consultó la API por nombre de servicio. Este modo es una comprobación de laboratorio y no una recomendación de despliegue productivo. Las bitácoras y los tiempos están en evidencias/replicabilidad.json; la regresión está en evidencias/regresion_ubuntu_limpio.json.</w:t>
      </w:r>
    </w:p>
    <w:p>
      <w:pPr>
        <w:pStyle w:val="Ttulo1"/>
        <w:keepNext/>
      </w:pPr>
      <w:r>
        <w:t>Riesgos residuales y siguiente paso</w:t>
      </w:r>
    </w:p>
    <w:p>
      <w:r>
        <w:t>Antes de un uso real necesito validación temporal externa, licencia apta para el uso previsto, datos mexicanos y métricas por segmento. También necesito autenticación por usuario, secretos gestionados, TLS si se expone la aplicación, control de tasa y pruebas concurrentes. El hash protege la identidad del archivo, pero no vuelve seguro cargar artefactos joblib de terceros desconocidos.</w:t>
      </w:r>
    </w:p>
    <w:p>
      <w:r>
        <w:t>La imagen permite una demostración local reproducible y la arquitectura está preparada para desplegarse. Mi decisión es conservarla como prototipo académico con revisión humana; no autorizo con ella operaciones, rotación de fondos para generar comisiones ni promesas de mejores rendimientos.</w:t>
      </w:r>
    </w:p>
    <w:p>
      <w:pPr>
        <w:pStyle w:val="Ttulo1"/>
        <w:keepNext/>
      </w:pPr>
      <w:r>
        <w:t>Referencias y asistencia</w:t>
      </w:r>
    </w:p>
    <w:p>
      <w:r>
        <w:t>Modelo y evaluación: https://github.com/eduardoaburtoa/actividad6-evaluacion-portafolios</w:t>
      </w:r>
    </w:p>
    <w:p>
      <w:r>
        <w:t>Financial PhraseBank: Malo et al. (2014), corpus conservado bajo CC BY-NC-SA 3.0; licencia en modelos/LICENSE_DATASET.txt.</w:t>
      </w:r>
    </w:p>
    <w:p>
      <w:r>
        <w:t>Normativa de fondos: https://www.bbva.mx/personas/productos/inversion/normativa-de-fondos.html</w:t>
      </w:r>
    </w:p>
    <w:p>
      <w:r>
        <w:t>Rúbrica de Proyecto Fase II y temas 15 y 16 proporcionados por Universidad Tecmilenio. Programación, revisión y documentación con apoyo de ChatGPT/Codex; las métricas corresponden a ejecuciones, no a estimaciones generadas por el asistente.</w:t>
      </w:r>
    </w:p>
    <w:p>
      <w:pPr>
        <w:pStyle w:val="Ttulo1"/>
        <w:keepNext/>
      </w:pPr>
      <w:r>
        <w:t>Conclusiones</w:t>
      </w:r>
    </w:p>
    <w:p>
      <w:r>
        <w:t>Conservo el ánimo de llevar la IA al trabajo cotidiano del banquero con evidencia verificable. La integración funciona y las predicciones se conservan, pero los errores observados exigen lectura humana. Mi siguiente paso es medir generalización y utilidad en un piloto controlado; no usar estas cifras retrospectivas para prometer rendimiento. El alcance de validación responde a la rúbrica y al material de despliegue del curso (Universidad Tecmilenio, 2026a, 2026b, 2026c).</w:t>
      </w:r>
    </w:p>
    <w:p>
      <w:r>
        <w:t>Docker separa servicios y controla el arranque (Docker, Inc., s. f.-a); FastAPI documenta el contrato (FastAPI, s. f.) y Streamlit organiza la interacción (Streamlit, s. f.). El procedimiento cloud permanece preparado y depende de identidad y secretos adecuados (Google Cloud, s. f.-c, s. f.-d). Antes de cualquier recomendación revisaría costos reales y vigencia por serie en BBVA México (s. f.).</w:t>
      </w:r>
    </w:p>
    <w:p>
      <w:pPr>
        <w:pStyle w:val="Ttulo1"/>
        <w:keepNext/>
      </w:pPr>
      <w:r>
        <w:t>Cobertura textual de la rúbrica</w:t>
      </w:r>
    </w:p>
    <w:p>
      <w:r>
        <w:t>Los cuatro criterios tienen ponderación de 25 % (Universidad Tecmilenio, 2026c). Las páginas corresponden al PDF de esta revisión; Google Docs puede repaginar según su configuración.</w:t>
      </w:r>
    </w:p>
    <w:tbl>
      <w:tblPr>
        <w:tblW w:type="auto" w:w="0"/>
        <w:tblLayout w:type="fixed"/>
        <w:tblLook w:firstColumn="1" w:firstRow="1" w:lastColumn="0" w:lastRow="0" w:noHBand="0" w:noVBand="1" w:val="04A0"/>
      </w:tblPr>
      <w:tblGrid>
        <w:gridCol w:w="3120"/>
        <w:gridCol w:w="3120"/>
        <w:gridCol w:w="3120"/>
      </w:tblGrid>
      <w:tr>
        <w:trPr>
          <w:cantSplit/>
          <w:tblHeader/>
        </w:trPr>
        <w:tc>
          <w:tcPr>
            <w:tcW w:type="dxa" w:w="3120"/>
            <w:shd w:fill="004481"/>
          </w:tcPr>
          <w:p>
            <w:pPr>
              <w:spacing w:after="80"/>
            </w:pPr>
            <w:r>
              <w:rPr>
                <w:b/>
                <w:color w:val="FFFFFF"/>
                <w:sz w:val="18"/>
              </w:rPr>
              <w:t>Criterio</w:t>
            </w:r>
          </w:p>
        </w:tc>
        <w:tc>
          <w:tcPr>
            <w:tcW w:type="dxa" w:w="3120"/>
            <w:shd w:fill="004481"/>
          </w:tcPr>
          <w:p>
            <w:pPr>
              <w:spacing w:after="80"/>
            </w:pPr>
            <w:r>
              <w:rPr>
                <w:b/>
                <w:color w:val="FFFFFF"/>
                <w:sz w:val="18"/>
              </w:rPr>
              <w:t>Sección verificable</w:t>
            </w:r>
          </w:p>
        </w:tc>
        <w:tc>
          <w:tcPr>
            <w:tcW w:type="dxa" w:w="3120"/>
            <w:shd w:fill="004481"/>
          </w:tcPr>
          <w:p>
            <w:pPr>
              <w:spacing w:after="80"/>
            </w:pPr>
            <w:r>
              <w:rPr>
                <w:b/>
                <w:color w:val="FFFFFF"/>
                <w:sz w:val="18"/>
              </w:rPr>
              <w:t>Página del PDF</w:t>
            </w:r>
          </w:p>
        </w:tc>
      </w:tr>
      <w:tr>
        <w:trPr>
          <w:cantSplit/>
        </w:trPr>
        <w:tc>
          <w:tcPr>
            <w:tcW w:type="dxa" w:w="3120"/>
            <w:shd w:fill="EAF3FA"/>
          </w:tcPr>
          <w:p>
            <w:pPr>
              <w:spacing w:after="80"/>
            </w:pPr>
            <w:r>
              <w:rPr>
                <w:b w:val="0"/>
                <w:color w:val="072146"/>
                <w:sz w:val="18"/>
              </w:rPr>
              <w:t>Contenerización y despliegue local</w:t>
            </w:r>
          </w:p>
        </w:tc>
        <w:tc>
          <w:tcPr>
            <w:tcW w:type="dxa" w:w="3120"/>
            <w:shd w:fill="EAF3FA"/>
          </w:tcPr>
          <w:p>
            <w:pPr>
              <w:spacing w:after="80"/>
            </w:pPr>
            <w:r>
              <w:rPr>
                <w:b w:val="0"/>
                <w:color w:val="072146"/>
                <w:sz w:val="18"/>
              </w:rPr>
              <w:t>Entorno y protocolo; evidencia Docker</w:t>
            </w:r>
          </w:p>
        </w:tc>
        <w:tc>
          <w:tcPr>
            <w:tcW w:type="dxa" w:w="3120"/>
            <w:shd w:fill="EAF3FA"/>
          </w:tcPr>
          <w:p>
            <w:pPr>
              <w:spacing w:after="80"/>
            </w:pPr>
            <w:r>
              <w:rPr>
                <w:b w:val="0"/>
                <w:color w:val="072146"/>
                <w:sz w:val="18"/>
              </w:rPr>
              <w:t>6</w:t>
            </w:r>
          </w:p>
        </w:tc>
      </w:tr>
      <w:tr>
        <w:trPr>
          <w:cantSplit/>
        </w:trPr>
        <w:tc>
          <w:tcPr>
            <w:tcW w:type="dxa" w:w="3120"/>
            <w:shd w:fill="EAF3FA"/>
          </w:tcPr>
          <w:p>
            <w:pPr>
              <w:spacing w:after="80"/>
            </w:pPr>
            <w:r>
              <w:rPr>
                <w:b w:val="0"/>
                <w:color w:val="072146"/>
                <w:sz w:val="18"/>
              </w:rPr>
              <w:t>Integración técnica (API, frontend/backend)</w:t>
            </w:r>
          </w:p>
        </w:tc>
        <w:tc>
          <w:tcPr>
            <w:tcW w:type="dxa" w:w="3120"/>
            <w:shd w:fill="EAF3FA"/>
          </w:tcPr>
          <w:p>
            <w:pPr>
              <w:spacing w:after="80"/>
            </w:pPr>
            <w:r>
              <w:rPr>
                <w:b w:val="0"/>
                <w:color w:val="072146"/>
                <w:sz w:val="18"/>
              </w:rPr>
              <w:t>Arquitectura e integración</w:t>
            </w:r>
          </w:p>
        </w:tc>
        <w:tc>
          <w:tcPr>
            <w:tcW w:type="dxa" w:w="3120"/>
            <w:shd w:fill="EAF3FA"/>
          </w:tcPr>
          <w:p>
            <w:pPr>
              <w:spacing w:after="80"/>
            </w:pPr>
            <w:r>
              <w:rPr>
                <w:b w:val="0"/>
                <w:color w:val="072146"/>
                <w:sz w:val="18"/>
              </w:rPr>
              <w:t>3–5</w:t>
            </w:r>
          </w:p>
        </w:tc>
      </w:tr>
      <w:tr>
        <w:trPr>
          <w:cantSplit/>
        </w:trPr>
        <w:tc>
          <w:tcPr>
            <w:tcW w:type="dxa" w:w="3120"/>
            <w:shd w:fill="EAF3FA"/>
          </w:tcPr>
          <w:p>
            <w:pPr>
              <w:spacing w:after="80"/>
            </w:pPr>
            <w:r>
              <w:rPr>
                <w:b w:val="0"/>
                <w:color w:val="072146"/>
                <w:sz w:val="18"/>
              </w:rPr>
              <w:t>Pruebas y validación del modelo</w:t>
            </w:r>
          </w:p>
        </w:tc>
        <w:tc>
          <w:tcPr>
            <w:tcW w:type="dxa" w:w="3120"/>
            <w:shd w:fill="EAF3FA"/>
          </w:tcPr>
          <w:p>
            <w:pPr>
              <w:spacing w:after="80"/>
            </w:pPr>
            <w:r>
              <w:rPr>
                <w:b w:val="0"/>
                <w:color w:val="072146"/>
                <w:sz w:val="18"/>
              </w:rPr>
              <w:t>Casos extremos; resultados y análisis del comportamiento</w:t>
            </w:r>
          </w:p>
        </w:tc>
        <w:tc>
          <w:tcPr>
            <w:tcW w:type="dxa" w:w="3120"/>
            <w:shd w:fill="EAF3FA"/>
          </w:tcPr>
          <w:p>
            <w:pPr>
              <w:spacing w:after="80"/>
            </w:pPr>
            <w:r>
              <w:rPr>
                <w:b w:val="0"/>
                <w:color w:val="072146"/>
                <w:sz w:val="18"/>
              </w:rPr>
              <w:t>6–9</w:t>
            </w:r>
          </w:p>
        </w:tc>
      </w:tr>
      <w:tr>
        <w:trPr>
          <w:cantSplit/>
        </w:trPr>
        <w:tc>
          <w:tcPr>
            <w:tcW w:type="dxa" w:w="3120"/>
            <w:shd w:fill="EAF3FA"/>
          </w:tcPr>
          <w:p>
            <w:pPr>
              <w:spacing w:after="80"/>
            </w:pPr>
            <w:r>
              <w:rPr>
                <w:b w:val="0"/>
                <w:color w:val="072146"/>
                <w:sz w:val="18"/>
              </w:rPr>
              <w:t>Documentación y repositorio</w:t>
            </w:r>
          </w:p>
        </w:tc>
        <w:tc>
          <w:tcPr>
            <w:tcW w:type="dxa" w:w="3120"/>
            <w:shd w:fill="EAF3FA"/>
          </w:tcPr>
          <w:p>
            <w:pPr>
              <w:spacing w:after="80"/>
            </w:pPr>
            <w:r>
              <w:rPr>
                <w:b w:val="0"/>
                <w:color w:val="072146"/>
                <w:sz w:val="18"/>
              </w:rPr>
              <w:t>Evidencia y criterios; conclusiones y referencias</w:t>
            </w:r>
          </w:p>
        </w:tc>
        <w:tc>
          <w:tcPr>
            <w:tcW w:type="dxa" w:w="3120"/>
            <w:shd w:fill="EAF3FA"/>
          </w:tcPr>
          <w:p>
            <w:pPr>
              <w:spacing w:after="80"/>
            </w:pPr>
            <w:r>
              <w:rPr>
                <w:b w:val="0"/>
                <w:color w:val="072146"/>
                <w:sz w:val="18"/>
              </w:rPr>
              <w:t>9–11</w:t>
            </w:r>
          </w:p>
        </w:tc>
      </w:tr>
    </w:tbl>
    <w:p>
      <w:pPr>
        <w:pStyle w:val="Ttulo1"/>
        <w:keepNext/>
      </w:pPr>
      <w:r>
        <w:t>Referencias</w:t>
      </w:r>
    </w:p>
    <w:p>
      <w:r>
        <w:t>Aburto Angulo, E. (2026). Fase I Business case del motor de señales de rotación de fondos de inversión con IA [Trabajo académico, Universidad Tecmilenio]. Cifras conservadas del caso de negocio y de las instrucciones de continuidad del autor.</w:t>
      </w:r>
    </w:p>
    <w:p>
      <w:r>
        <w:t>BBVA México. (s. f.). Normativa de fondos. https://www.bbva.mx/personas/productos/inversion/normativa-de-fondos.html</w:t>
      </w:r>
    </w:p>
    <w:p>
      <w:r>
        <w:t>Docker, Inc. (s. f.-a). Control startup and shutdown order in Compose. https://docs.docker.com/compose/how-tos/startup-order/</w:t>
      </w:r>
    </w:p>
    <w:p>
      <w:r>
        <w:t>Docker, Inc. (s. f.-b). Install Docker Engine on Ubuntu. https://docs.docker.com/engine/install/ubuntu/</w:t>
      </w:r>
    </w:p>
    <w:p>
      <w:r>
        <w:t>FastAPI. (s. f.). Extending OpenAPI. https://fastapi.tiangolo.com/how-to/extending-openapi/</w:t>
      </w:r>
    </w:p>
    <w:p>
      <w:r>
        <w:t>Google Cloud. (s. f.-a). General-purpose machine family pricing. https://cloud.google.com/products/compute/pricing/general-purpose</w:t>
      </w:r>
    </w:p>
    <w:p>
      <w:r>
        <w:t>Google Cloud. (s. f.-b). Cloud Run pricing. https://cloud.google.com/run/pricing</w:t>
      </w:r>
    </w:p>
    <w:p>
      <w:r>
        <w:t>Google Cloud. (s. f.-c). Authenticating service-to-service. https://docs.cloud.google.com/run/docs/authenticating/service-to-service</w:t>
      </w:r>
    </w:p>
    <w:p>
      <w:r>
        <w:t>Google Cloud. (s. f.-d). Configure secrets for services. https://docs.cloud.google.com/run/docs/configuring/services/secrets</w:t>
      </w:r>
    </w:p>
    <w:p>
      <w:r>
        <w:t>Hugging Face. (s. f.). Spaces overview. https://huggingface.co/docs/hub/en/spaces-overview</w:t>
      </w:r>
    </w:p>
    <w:p>
      <w:r>
        <w:t>Malo, P., Sinha, A., Korhonen, P., Wallenius, J., &amp; Takala, P. (2014). Good debt or bad debt: Detecting semantic orientations in economic texts. Journal of the Association for Information Science and Technology, 65(4), 782–796. https://doi.org/10.1002/asi.23062</w:t>
      </w:r>
    </w:p>
    <w:p>
      <w:r>
        <w:t>Render. (s. f.). Deploy for free. https://render.com/docs/free</w:t>
      </w:r>
    </w:p>
    <w:p>
      <w:r>
        <w:t>Streamlit. (s. f.). Streamlit Community Cloud. https://docs.streamlit.io/deploy/streamlit-community-cloud</w:t>
      </w:r>
    </w:p>
    <w:p>
      <w:r>
        <w:t>Universidad Tecmilenio. (2026a). Tema 15 [Material del curso Gestión de Proyectos de Inteligencia Artificial].</w:t>
      </w:r>
    </w:p>
    <w:p>
      <w:r>
        <w:t>Universidad Tecmilenio. (2026b). Tema 16 [Material del curso Gestión de Proyectos de Inteligencia Artificial].</w:t>
      </w:r>
    </w:p>
    <w:p>
      <w:r>
        <w:t>Universidad Tecmilenio. (2026c). Rúbrica del Proyecto Fase II [Instrumento de evaluación].</w:t>
      </w:r>
    </w:p>
    <w:p>
      <w:r>
        <w:t>Este documento fue estructurado precisamente para cubrir esos 4 apartados de forma explícita y verificable.</w:t>
      </w:r>
    </w:p>
    <w:sectPr w:rsidR="00675304">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095AA1" w14:textId="77777777" w:rsidR="00D911FA" w:rsidRDefault="00D911FA">
      <w:r>
        <w:separator/>
      </w:r>
    </w:p>
  </w:endnote>
  <w:endnote w:type="continuationSeparator" w:id="0">
    <w:p w14:paraId="700FE201" w14:textId="77777777" w:rsidR="00D911FA" w:rsidRDefault="00D911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7EDF59" w14:textId="70C32E02" w:rsidR="00675304" w:rsidRDefault="00000000">
    <w:pPr>
      <w:tabs>
        <w:tab w:val="right" w:pos="9026"/>
      </w:tabs>
      <w:spacing w:before="100"/>
    </w:pPr>
    <w:r>
      <w:rPr>
        <w:color w:val="888888"/>
        <w:sz w:val="18"/>
        <w:szCs w:val="18"/>
      </w:rPr>
      <w:t>Eduardo Aburto Angulo</w:t>
    </w:r>
    <w:r>
      <w:rPr>
        <w:color w:val="888888"/>
        <w:sz w:val="18"/>
        <w:szCs w:val="18"/>
      </w:rPr>
      <w:tab/>
      <w:t xml:space="preserve">Página </w:t>
    </w:r>
    <w:r>
      <w:fldChar w:fldCharType="begin"/>
    </w:r>
    <w:r>
      <w:instrText>PAGE</w:instrText>
    </w:r>
    <w:r>
      <w:fldChar w:fldCharType="separate"/>
    </w:r>
    <w:r w:rsidR="00D41928">
      <w:rPr>
        <w:noProof/>
      </w:rPr>
      <w:t>2</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A2AEEE" w14:textId="77777777" w:rsidR="00D911FA" w:rsidRDefault="00D911FA">
      <w:r>
        <w:separator/>
      </w:r>
    </w:p>
  </w:footnote>
  <w:footnote w:type="continuationSeparator" w:id="0">
    <w:p w14:paraId="5B3E2294" w14:textId="77777777" w:rsidR="00D911FA" w:rsidRDefault="00D911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19D78B" w14:textId="6FAC3BA5" w:rsidR="00675304" w:rsidRDefault="00000000">
    <w:pPr>
      <w:tabs>
        <w:tab w:val="right" w:pos="9026"/>
      </w:tabs>
      <w:spacing w:after="100"/>
    </w:pPr>
    <w:r w:rsidRPr="00A92D38">
      <w:rPr>
        <w:b/>
        <w:bCs/>
        <w:color w:val="072146"/>
        <w:sz w:val="18"/>
        <w:szCs w:val="18"/>
      </w:rPr>
      <w:t>Universidad Tecmilenio</w:t>
    </w:r>
    <w:r>
      <w:rPr>
        <w:color w:val="888888"/>
        <w:sz w:val="18"/>
        <w:szCs w:val="18"/>
      </w:rPr>
      <w:tab/>
    </w:r>
    <w:r w:rsidR="00170C53">
      <w:rPr>
        <w:color w:val="888888"/>
        <w:sz w:val="18"/>
        <w:szCs w:val="18"/>
      </w:rPr>
      <w:t>Gestión de Proyectos de Inteligencia Artificial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1">
    <w:multiLevelType w:val="hybridMultilevel"/>
    <w:lvl w:ilvl="0">
      <w:start w:val="1"/>
      <w:numFmt w:val="bullet"/>
      <w:lvlText w:val="•"/>
      <w:lvlJc w:val="left"/>
      <w:pPr>
        <w:ind w:left="720" w:hanging="360"/>
      </w:pPr>
      <w:rPr>
        <w:rFonts w:ascii="Symbol" w:hAnsi="Symbol" w:hint="default"/>
      </w:rPr>
    </w:lvl>
  </w:abstractNum>
  <w:abstractNum w:abstractNumId="0" w15:restartNumberingAfterBreak="0">
    <w:nsid w:val="1746155F"/>
    <w:multiLevelType w:val="hybridMultilevel"/>
    <w:tmpl w:val="73202F26"/>
    <w:lvl w:ilvl="0" w:tplc="197E49BC">
      <w:start w:val="1"/>
      <w:numFmt w:val="bullet"/>
      <w:lvlText w:val="●"/>
      <w:lvlJc w:val="left"/>
      <w:pPr>
        <w:ind w:left="720" w:hanging="360"/>
      </w:pPr>
    </w:lvl>
    <w:lvl w:ilvl="1" w:tplc="12E428E6">
      <w:start w:val="1"/>
      <w:numFmt w:val="bullet"/>
      <w:lvlText w:val="○"/>
      <w:lvlJc w:val="left"/>
      <w:pPr>
        <w:ind w:left="1440" w:hanging="360"/>
      </w:pPr>
    </w:lvl>
    <w:lvl w:ilvl="2" w:tplc="472482EC">
      <w:start w:val="1"/>
      <w:numFmt w:val="bullet"/>
      <w:lvlText w:val="■"/>
      <w:lvlJc w:val="left"/>
      <w:pPr>
        <w:ind w:left="2160" w:hanging="360"/>
      </w:pPr>
    </w:lvl>
    <w:lvl w:ilvl="3" w:tplc="F91406AE">
      <w:start w:val="1"/>
      <w:numFmt w:val="bullet"/>
      <w:lvlText w:val="●"/>
      <w:lvlJc w:val="left"/>
      <w:pPr>
        <w:ind w:left="2880" w:hanging="360"/>
      </w:pPr>
    </w:lvl>
    <w:lvl w:ilvl="4" w:tplc="8C9241B6">
      <w:start w:val="1"/>
      <w:numFmt w:val="bullet"/>
      <w:lvlText w:val="○"/>
      <w:lvlJc w:val="left"/>
      <w:pPr>
        <w:ind w:left="3600" w:hanging="360"/>
      </w:pPr>
    </w:lvl>
    <w:lvl w:ilvl="5" w:tplc="725EE7EA">
      <w:start w:val="1"/>
      <w:numFmt w:val="bullet"/>
      <w:lvlText w:val="■"/>
      <w:lvlJc w:val="left"/>
      <w:pPr>
        <w:ind w:left="4320" w:hanging="360"/>
      </w:pPr>
    </w:lvl>
    <w:lvl w:ilvl="6" w:tplc="B1B019F2">
      <w:start w:val="1"/>
      <w:numFmt w:val="bullet"/>
      <w:lvlText w:val="●"/>
      <w:lvlJc w:val="left"/>
      <w:pPr>
        <w:ind w:left="5040" w:hanging="360"/>
      </w:pPr>
    </w:lvl>
    <w:lvl w:ilvl="7" w:tplc="989043DA">
      <w:start w:val="1"/>
      <w:numFmt w:val="bullet"/>
      <w:lvlText w:val="●"/>
      <w:lvlJc w:val="left"/>
      <w:pPr>
        <w:ind w:left="5760" w:hanging="360"/>
      </w:pPr>
    </w:lvl>
    <w:lvl w:ilvl="8" w:tplc="531CBB38">
      <w:start w:val="1"/>
      <w:numFmt w:val="bullet"/>
      <w:lvlText w:val="●"/>
      <w:lvlJc w:val="left"/>
      <w:pPr>
        <w:ind w:left="6480" w:hanging="360"/>
      </w:pPr>
    </w:lvl>
  </w:abstractNum>
  <w:num w:numId="1" w16cid:durableId="835266364">
    <w:abstractNumId w:val="0"/>
    <w:lvlOverride w:ilvl="0">
      <w:startOverride w:val="1"/>
    </w:lvlOverride>
  </w:num>
  <w:num w:numId="2">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7"/>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5304"/>
    <w:rsid w:val="00004E18"/>
    <w:rsid w:val="00170C53"/>
    <w:rsid w:val="00174245"/>
    <w:rsid w:val="00675304"/>
    <w:rsid w:val="008A5112"/>
    <w:rsid w:val="00A92D38"/>
    <w:rsid w:val="00D41928"/>
    <w:rsid w:val="00D911F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44262FB8"/>
  <w15:docId w15:val="{53546029-3E6A-E746-BE39-A3F4112EA3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1C1C1C"/>
        <w:sz w:val="24"/>
        <w:szCs w:val="24"/>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sz w:val="21"/>
    </w:rPr>
  </w:style>
  <w:style w:type="paragraph" w:styleId="Ttulo1">
    <w:name w:val="heading 1"/>
    <w:uiPriority w:val="9"/>
    <w:qFormat/>
    <w:pPr>
      <w:spacing w:before="240" w:after="120"/>
      <w:outlineLvl w:val="0"/>
    </w:pPr>
    <w:rPr>
      <w:b/>
      <w:bCs/>
      <w:color w:val="1A5276"/>
      <w:sz w:val="32"/>
      <w:szCs w:val="32"/>
    </w:rPr>
  </w:style>
  <w:style w:type="paragraph" w:styleId="Ttulo2">
    <w:name w:val="heading 2"/>
    <w:uiPriority w:val="9"/>
    <w:unhideWhenUsed/>
    <w:qFormat/>
    <w:pPr>
      <w:spacing w:before="180" w:after="100"/>
      <w:outlineLvl w:val="1"/>
    </w:pPr>
    <w:rPr>
      <w:b/>
      <w:bCs/>
      <w:color w:val="1464A5"/>
      <w:sz w:val="28"/>
      <w:szCs w:val="28"/>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A92D38"/>
    <w:pPr>
      <w:tabs>
        <w:tab w:val="center" w:pos="4419"/>
        <w:tab w:val="right" w:pos="8838"/>
      </w:tabs>
    </w:pPr>
  </w:style>
  <w:style w:type="character" w:customStyle="1" w:styleId="EncabezadoCar">
    <w:name w:val="Encabezado Car"/>
    <w:basedOn w:val="Fuentedeprrafopredeter"/>
    <w:link w:val="Encabezado"/>
    <w:uiPriority w:val="99"/>
    <w:rsid w:val="00A92D38"/>
  </w:style>
  <w:style w:type="paragraph" w:styleId="Piedepgina">
    <w:name w:val="footer"/>
    <w:basedOn w:val="Normal"/>
    <w:link w:val="PiedepginaCar"/>
    <w:uiPriority w:val="99"/>
    <w:unhideWhenUsed/>
    <w:rsid w:val="00A92D38"/>
    <w:pPr>
      <w:tabs>
        <w:tab w:val="center" w:pos="4419"/>
        <w:tab w:val="right" w:pos="8838"/>
      </w:tabs>
    </w:pPr>
  </w:style>
  <w:style w:type="character" w:customStyle="1" w:styleId="PiedepginaCar">
    <w:name w:val="Pie de página Car"/>
    <w:basedOn w:val="Fuentedeprrafopredeter"/>
    <w:link w:val="Piedepgina"/>
    <w:uiPriority w:val="99"/>
    <w:rsid w:val="00A92D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004481"/>
      </a:accent3>
      <a:accent4>
        <a:srgbClr val="0F9ED5"/>
      </a:accent4>
      <a:accent5>
        <a:srgbClr val="A02B93"/>
      </a:accent5>
      <a:accent6>
        <a:srgbClr val="49A5E6"/>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4</Pages>
  <Words>261</Words>
  <Characters>1455</Characters>
  <Application>Microsoft Office Word</Application>
  <DocSecurity>0</DocSecurity>
  <Lines>80</Lines>
  <Paragraphs>53</Paragraphs>
  <ScaleCrop>false</ScaleCrop>
  <Company/>
  <LinksUpToDate>false</LinksUpToDate>
  <CharactersWithSpaces>1663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Luis Ariel Vázquez Piña</cp:lastModifiedBy>
  <cp:revision>3</cp:revision>
  <dcterms:created xsi:type="dcterms:W3CDTF">2026-09-11T04:39:00Z</dcterms:created>
  <dcterms:modified xsi:type="dcterms:W3CDTF">2026-09-11T04:39:00Z</dcterms:modified>
</cp:coreProperties>
</file>