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r>
    </w:p>
    <w:p w14:paraId="3DAF1174" w14:textId="77777777" w:rsidR="00675304" w:rsidRDefault="00675304">
      <w:pP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ACTIVIDAD 4</w:t>
      </w:r>
    </w:p>
    <w:p w14:paraId="6C01C6B0" w14:textId="77777777" w:rsidR="00675304" w:rsidRDefault="00675304">
      <w:pPr>
        <w:spacing w:before="60" w:after="60"/>
      </w:pPr>
    </w:p>
    <w:p w14:paraId="1B3037BD" w14:textId="77777777" w:rsidR="00675304" w:rsidRDefault="00000000">
      <w:pPr>
        <w:spacing w:before="60" w:after="60"/>
        <w:jc w:val="center"/>
      </w:pPr>
      <w:r>
        <w:rPr>
          <w:b w:val="0"/>
          <w:color w:val="555555"/>
          <w:sz w:val="25"/>
        </w:rPr>
        <w:t>Asistente de preparación de revisiones de portafolio</w:t>
        <w:br/>
        <w:t>Análisis comparativo de modelos preentrenados de Hugging Face</w:t>
      </w:r>
    </w:p>
    <w:p>
      <w:pPr>
        <w:spacing w:before="280" w:after="40"/>
        <w:jc w:val="center"/>
      </w:pPr>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rPr>
          <w:tblHeade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pPr>
              <w:keepNext/>
            </w:pPr>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77777777" w:rsidR="00675304" w:rsidRDefault="00000000">
            <w:r>
              <w:rPr>
                <w:i/>
                <w:iCs/>
                <w:color w:val="888888"/>
                <w:sz w:val="22"/>
                <w:szCs w:val="22"/>
              </w:rPr>
              <w:t>Actividad 4 — Módulo 2 / Semana 5 (Temas 9 y 10)</w:t>
            </w:r>
          </w:p>
        </w:tc>
      </w:tr>
      <w:tr w:rsidR="00675304" w14:paraId="7215E7D2"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77777777" w:rsidR="00675304" w:rsidRDefault="00000000">
            <w:r>
              <w:rPr>
                <w:i/>
                <w:iCs/>
                <w:color w:val="888888"/>
                <w:sz w:val="22"/>
                <w:szCs w:val="22"/>
              </w:rPr>
              <w:t>11 - 10 - 2026</w:t>
            </w:r>
          </w:p>
        </w:tc>
      </w:tr>
    </w:tbl>
    <w:p w14:paraId="650E43B7" w14:textId="77777777" w:rsidR="00675304" w:rsidRDefault="00675304">
      <w:pPr>
        <w:spacing w:before="200" w:after="200"/>
      </w:pPr>
    </w:p>
    <w:p w14:paraId="6F48BECF" w14:textId="77777777" w:rsidR="00675304" w:rsidRDefault="00000000">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spacing w:after="240"/>
      </w:pPr>
      <w:r>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rPr>
          <w:tblHeader/>
          <w:cantSplit/>
        </w:trPr>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pPr>
              <w:keepNext/>
            </w:pPr>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77777777" w:rsidR="00675304" w:rsidRDefault="00000000">
            <w:pPr>
              <w:jc w:val="center"/>
            </w:pPr>
            <w:r w:rsidRPr="00A92D38">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77777777" w:rsidR="00675304" w:rsidRDefault="00000000">
            <w:r>
              <w:rPr>
                <w:sz w:val="18"/>
                <w:szCs w:val="20"/>
              </w:rPr>
              <w:t>Revisión técnica del paquete, verificación de las fichas y licencias, recuperación de métricas del notebook ejecutado, correcciones del reporte y preparación del repositorio. Las cifras de desempeño proceden de la corrida aportada, no de estimaciones de IA.</w:t>
            </w:r>
          </w:p>
        </w:tc>
      </w:tr>
      <w:tr w:rsidR="00675304" w14:paraId="2110E64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000000">
            <w:r>
              <w:rPr>
                <w:sz w:val="18"/>
                <w:szCs w:val="20"/>
              </w:rPr>
              <w:t>Apoyo previo en el corpus sintético, código y primer reporte. El material se revisó y corrigió; las afirmaciones y resultados se contrastan con la evidencia de ejecución.</w:t>
            </w:r>
          </w:p>
        </w:tc>
      </w:tr>
      <w:tr w:rsidR="00675304" w14:paraId="3EAD0D2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77777777" w:rsidR="00675304" w:rsidRDefault="00000000">
            <w:r>
              <w:rPr>
                <w:sz w:val="18"/>
                <w:szCs w:val="20"/>
              </w:rPr>
              <w:t>Apoyo previo visible en Colab para corregir saltos de línea del código. La verificación final no se basa únicamente en su respuesta.</w:t>
            </w:r>
          </w:p>
        </w:tc>
      </w:tr>
      <w:tr w:rsidR="00675304" w14:paraId="1DF4598A"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77777777" w:rsidR="00675304" w:rsidRDefault="00000000">
            <w:pPr>
              <w:jc w:val="center"/>
            </w:pPr>
            <w:r>
              <w:rPr>
                <w:sz w:val="18"/>
                <w:szCs w:val="20"/>
              </w:rPr>
              <w:t>No confirmado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77777777" w:rsidR="00675304" w:rsidRDefault="00000000">
            <w:r>
              <w:rPr>
                <w:sz w:val="18"/>
                <w:szCs w:val="20"/>
              </w:rPr>
              <w:t>La versión anterior declaraba su uso. No hay evidencia adicional para atribuirle la verificación final de licencias.</w:t>
            </w:r>
          </w:p>
        </w:tc>
      </w:tr>
      <w:tr w:rsidR="00675304" w14:paraId="7803E1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77777777" w:rsidR="00675304" w:rsidRDefault="00000000">
            <w:r>
              <w:rPr>
                <w:sz w:val="18"/>
                <w:szCs w:val="20"/>
              </w:rPr>
              <w:t>Google Colab con GPU T4 para ejecutar los cuatro modelos preentrenados, y los propios modelos de Hugging Face que son el objeto de estudio de la actividad: pysentimiento/robertuito-sentiment-analysis, finiteautomata/beto-sentiment-analysis, cardiffnlp/twitter-xlm-roberta-base-sentiment y nlptown/bert-base-multilingual-uncased-sentiment. Se declaran por transparencia; su comparación es el contenido mismo del reporte.</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p>
    <w:p w14:paraId="7DF196CF" w14:textId="77777777" w:rsidR="00675304" w:rsidRDefault="00000000">
      <w:pPr>
        <w:pStyle w:val="Ttulo1"/>
        <w:spacing w:after="240"/>
      </w:pPr>
      <w:r>
        <w:t>Desarrollo de Contenido</w:t>
      </w:r>
    </w:p>
    <w:p w14:paraId="38337970" w14:textId="77777777" w:rsidR="00675304" w:rsidRDefault="00675304">
      <w:pPr>
        <w:pBdr>
          <w:bottom w:val="single" w:sz="8" w:space="1" w:color="1464A5"/>
        </w:pBdr>
        <w:spacing w:after="120"/>
      </w:pPr>
    </w:p>
    <w:p>
      <w:pPr>
        <w:pStyle w:val="Ttulo1"/>
      </w:pPr>
      <w:r>
        <w:t>Resumen ejecutivo</w:t>
      </w:r>
    </w:p>
    <w:p>
      <w:pPr>
        <w:spacing w:after="120"/>
      </w:pPr>
      <w:r>
        <w:rPr>
          <w:b w:val="0"/>
          <w:i w:val="0"/>
          <w:sz w:val="22"/>
        </w:rPr>
        <w:t>Comparé cuatro modelos de Hugging Face para apoyar la preparación de revisiones de portafolio. XLM-R Twitter obtuvo el mejor F1 macro, 0.5544, pero no alcanzó los controles de calidad definidos. Mi decisión es conservarlo como base experimental y mantener la revisión humana del 100 % de las notas. Ningún modelo queda aprobado para proponer rotaciones automáticamente.</w:t>
      </w:r>
    </w:p>
    <w:p>
      <w:pPr>
        <w:spacing w:after="120"/>
      </w:pPr>
      <w:r>
        <w:rPr>
          <w:b w:val="0"/>
          <w:i w:val="0"/>
          <w:sz w:val="22"/>
        </w:rPr>
        <w:t>La evidencia corresponde a una corrida completa en Google Colab con GPU Tesla T4 sobre 400 notas sintéticas en español. Se conservan el código y las salidas de texto del notebook ejecutado. Las tablas se recuperaron de sus salidas; las correcciones documentales y de reproducibilidad no se presentan como una nueva medición.</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082"/>
        <w:gridCol w:w="4876"/>
      </w:tblGrid>
      <w:tr>
        <w:trPr>
          <w:tblHeader/>
          <w:cantSplit/>
        </w:trPr>
        <w:tc>
          <w:tcPr>
            <w:tcW w:type="dxa" w:w="4082"/>
            <w:shd w:val="clear" w:color="auto" w:fill="072146"/>
          </w:tcPr>
          <w:p>
            <w:pPr>
              <w:keepNext/>
            </w:pPr>
            <w:r/>
            <w:r>
              <w:rPr>
                <w:b/>
                <w:color w:val="FFFFFF"/>
                <w:sz w:val="19"/>
              </w:rPr>
              <w:t>Indicador clave</w:t>
            </w:r>
          </w:p>
        </w:tc>
        <w:tc>
          <w:tcPr>
            <w:tcW w:type="dxa" w:w="4876"/>
            <w:shd w:val="clear" w:color="auto" w:fill="072146"/>
          </w:tcPr>
          <w:p>
            <w:r/>
            <w:r>
              <w:rPr>
                <w:b/>
                <w:color w:val="FFFFFF"/>
                <w:sz w:val="19"/>
              </w:rPr>
              <w:t>Resultado</w:t>
            </w:r>
          </w:p>
        </w:tc>
      </w:tr>
      <w:tr>
        <w:trPr>
          <w:cantSplit/>
        </w:trPr>
        <w:tc>
          <w:tcPr>
            <w:tcW w:type="dxa" w:w="4082"/>
          </w:tcPr>
          <w:p>
            <w:r/>
            <w:r>
              <w:rPr>
                <w:b/>
                <w:sz w:val="19"/>
              </w:rPr>
              <w:t>Modelos evaluados</w:t>
            </w:r>
          </w:p>
        </w:tc>
        <w:tc>
          <w:tcPr>
            <w:tcW w:type="dxa" w:w="4876"/>
          </w:tcPr>
          <w:p>
            <w:r/>
            <w:r>
              <w:rPr>
                <w:sz w:val="19"/>
              </w:rPr>
              <w:t>4 (dos especializados en español, dos multilingües)</w:t>
            </w:r>
          </w:p>
        </w:tc>
      </w:tr>
      <w:tr>
        <w:trPr>
          <w:cantSplit/>
        </w:trPr>
        <w:tc>
          <w:tcPr>
            <w:tcW w:type="dxa" w:w="4082"/>
          </w:tcPr>
          <w:p>
            <w:r/>
            <w:r>
              <w:rPr>
                <w:b/>
                <w:sz w:val="19"/>
              </w:rPr>
              <w:t>Corpus de evaluación</w:t>
            </w:r>
          </w:p>
        </w:tc>
        <w:tc>
          <w:tcPr>
            <w:tcW w:type="dxa" w:w="4876"/>
          </w:tcPr>
          <w:p>
            <w:r/>
            <w:r>
              <w:rPr>
                <w:sz w:val="19"/>
              </w:rPr>
              <w:t>400 notas de mercado en español, 3 clases</w:t>
            </w:r>
          </w:p>
        </w:tc>
      </w:tr>
      <w:tr>
        <w:trPr>
          <w:cantSplit/>
        </w:trPr>
        <w:tc>
          <w:tcPr>
            <w:tcW w:type="dxa" w:w="4082"/>
          </w:tcPr>
          <w:p>
            <w:r/>
            <w:r>
              <w:rPr>
                <w:b/>
                <w:sz w:val="19"/>
              </w:rPr>
              <w:t>Modelo recomendado</w:t>
            </w:r>
          </w:p>
        </w:tc>
        <w:tc>
          <w:tcPr>
            <w:tcW w:type="dxa" w:w="4876"/>
          </w:tcPr>
          <w:p>
            <w:r/>
            <w:r>
              <w:rPr>
                <w:sz w:val="19"/>
              </w:rPr>
              <w:t>XLM-R Twitter, solo base experimental</w:t>
            </w:r>
          </w:p>
        </w:tc>
      </w:tr>
      <w:tr>
        <w:trPr>
          <w:cantSplit/>
        </w:trPr>
        <w:tc>
          <w:tcPr>
            <w:tcW w:type="dxa" w:w="4082"/>
          </w:tcPr>
          <w:p>
            <w:r/>
            <w:r>
              <w:rPr>
                <w:b/>
                <w:sz w:val="19"/>
              </w:rPr>
              <w:t>F1-score macro del recomendado</w:t>
            </w:r>
          </w:p>
        </w:tc>
        <w:tc>
          <w:tcPr>
            <w:tcW w:type="dxa" w:w="4876"/>
          </w:tcPr>
          <w:p>
            <w:r/>
            <w:r>
              <w:rPr>
                <w:sz w:val="19"/>
              </w:rPr>
              <w:t>0.5544</w:t>
            </w:r>
          </w:p>
        </w:tc>
      </w:tr>
      <w:tr>
        <w:trPr>
          <w:cantSplit/>
        </w:trPr>
        <w:tc>
          <w:tcPr>
            <w:tcW w:type="dxa" w:w="4082"/>
          </w:tcPr>
          <w:p>
            <w:r/>
            <w:r>
              <w:rPr>
                <w:b/>
                <w:sz w:val="19"/>
              </w:rPr>
              <w:t>Latencia por nota (lote, GPU T4)</w:t>
            </w:r>
          </w:p>
        </w:tc>
        <w:tc>
          <w:tcPr>
            <w:tcW w:type="dxa" w:w="4876"/>
          </w:tcPr>
          <w:p>
            <w:r/>
            <w:r>
              <w:rPr>
                <w:sz w:val="19"/>
              </w:rPr>
              <w:t>3.02 ms/nota</w:t>
            </w:r>
          </w:p>
        </w:tc>
      </w:tr>
      <w:tr>
        <w:trPr>
          <w:cantSplit/>
        </w:trPr>
        <w:tc>
          <w:tcPr>
            <w:tcW w:type="dxa" w:w="4082"/>
          </w:tcPr>
          <w:p>
            <w:r/>
            <w:r>
              <w:rPr>
                <w:b/>
                <w:sz w:val="19"/>
              </w:rPr>
              <w:t>Umbral de confianza propuesto</w:t>
            </w:r>
          </w:p>
        </w:tc>
        <w:tc>
          <w:tcPr>
            <w:tcW w:type="dxa" w:w="4876"/>
          </w:tcPr>
          <w:p>
            <w:r/>
            <w:r>
              <w:rPr>
                <w:sz w:val="19"/>
              </w:rPr>
              <w:t>Ninguno cumple los controles</w:t>
            </w:r>
          </w:p>
        </w:tc>
      </w:tr>
      <w:tr>
        <w:trPr>
          <w:cantSplit/>
        </w:trPr>
        <w:tc>
          <w:tcPr>
            <w:tcW w:type="dxa" w:w="4082"/>
          </w:tcPr>
          <w:p>
            <w:r/>
            <w:r>
              <w:rPr>
                <w:b/>
                <w:sz w:val="19"/>
              </w:rPr>
              <w:t>Cobertura automática a ese umbral</w:t>
            </w:r>
          </w:p>
        </w:tc>
        <w:tc>
          <w:tcPr>
            <w:tcW w:type="dxa" w:w="4876"/>
          </w:tcPr>
          <w:p>
            <w:r/>
            <w:r>
              <w:rPr>
                <w:sz w:val="19"/>
              </w:rPr>
              <w:t>0 % habilitada; revisión humana total</w:t>
            </w:r>
          </w:p>
        </w:tc>
      </w:tr>
      <w:tr>
        <w:trPr>
          <w:cantSplit/>
        </w:trPr>
        <w:tc>
          <w:tcPr>
            <w:tcW w:type="dxa" w:w="4082"/>
          </w:tcPr>
          <w:p>
            <w:r/>
            <w:r>
              <w:rPr>
                <w:b/>
                <w:sz w:val="19"/>
              </w:rPr>
              <w:t>Costo de inferencia estimado</w:t>
            </w:r>
          </w:p>
        </w:tc>
        <w:tc>
          <w:tcPr>
            <w:tcW w:type="dxa" w:w="4876"/>
          </w:tcPr>
          <w:p>
            <w:r/>
            <w:r>
              <w:rPr>
                <w:sz w:val="19"/>
              </w:rPr>
              <w:t>Sin costo productivo medido; una T4 usada</w:t>
            </w:r>
          </w:p>
        </w:tc>
      </w:tr>
    </w:tbl>
    <w:p>
      <w:pPr>
        <w:spacing w:after="200"/>
        <w:jc w:val="center"/>
      </w:pPr>
      <w:r>
        <w:rPr>
          <w:i/>
          <w:sz w:val="18"/>
        </w:rPr>
        <w:t>Tabla 1. Indicadores clave del análisis comparativo.</w:t>
      </w:r>
    </w:p>
    <w:p>
      <w:pPr>
        <w:spacing w:after="120"/>
      </w:pPr>
      <w:r>
        <w:rPr>
          <w:b w:val="0"/>
          <w:sz w:val="22"/>
        </w:rPr>
        <w:t>Lectura de negocio. Mi prioridad es mejorar el rendimiento neto del cliente conservando su perfil, horizonte y liquidez. El corretaje y las comisiones son consecuencia de una asesoría idónea, nunca el objetivo de la señal. Para 250 notas diarias, XLM-R requeriría unos 0.76 segundos de inferencia por lotes bajo las condiciones medidas, sin carga ni servicios adicionales. La limitación principal es su exactitud del 55 %, no la velocidad.</w:t>
      </w:r>
      <w:r>
        <w:rPr>
          <w:b w:val="0"/>
          <w:i w:val="0"/>
          <w:sz w:val="22"/>
        </w:rPr>
      </w:r>
    </w:p>
    <w:p>
      <w:pPr>
        <w:spacing w:after="120"/>
      </w:pPr>
      <w:r>
        <w:rPr>
          <w:b w:val="0"/>
          <w:sz w:val="22"/>
        </w:rPr>
        <w:t>El 1 % por venta y 1 % por compra es un supuesto didáctico del caso, no una tarifa general verificada de BBVA. Las fichas públicas separan gastos del fondo y cargos del cliente. No considero todo el fee como ingreso del banco ni vuelvo a descontar gastos ya reflejados en un rendimiento neto.</w:t>
      </w:r>
      <w:r>
        <w:rPr>
          <w:b w:val="0"/>
          <w:i w:val="0"/>
          <w:sz w:val="22"/>
        </w:rPr>
      </w:r>
    </w:p>
    <w:p>
      <w:pPr>
        <w:spacing w:after="120"/>
      </w:pPr>
      <w:r>
        <w:rPr>
          <w:b w:val="0"/>
          <w:i/>
          <w:sz w:val="19"/>
        </w:rPr>
        <w:t>Trazabilidad. results/ contiene las tablas, gráficos y condiciones recuperadas del notebook aportado. No se adjuntaron sus predicciones individuales ni las revisiones exactas de los modelos; lo declaro y preparo su exportación en la versión corregida.</w:t>
      </w:r>
    </w:p>
    <w:p>
      <w:pPr>
        <w:pStyle w:val="Ttulo1"/>
        <w:keepNext/>
      </w:pPr>
      <w:r>
        <w:t>1. Descripción del caso de uso</w:t>
      </w:r>
    </w:p>
    <w:p>
      <w:pPr>
        <w:spacing w:after="120"/>
      </w:pPr>
      <w:r>
        <w:rPr>
          <w:b w:val="0"/>
          <w:i w:val="0"/>
          <w:sz w:val="22"/>
        </w:rPr>
        <w:t>Mi enfoque es el de un Banquero Patrimonial Sr. de BBVA México. El ejercicio representa una cartera simulada de 150 clientes con posiciones entre cinco y veinte millones de pesos. El asistente está pensado para banqueros patrimoniales, privados y corredores de bolsa; no representa un servicio autorizado del banco.</w:t>
      </w:r>
    </w:p>
    <w:p>
      <w:pPr>
        <w:spacing w:after="120"/>
      </w:pPr>
      <w:r>
        <w:rPr>
          <w:i w:val="0"/>
          <w:sz w:val="22"/>
        </w:rPr>
        <w:t>Todos los días llegan a la mesa notas de análisis, comunicados y titulares de prensa financiera. Esa información es la que debería disparar la revisión de una cartera, pero en la práctica llega de forma desigual: el asesor que alcanzó a leer la nota del martes reacciona, y el que estaba en cita no. La misma oportunidad llega a unos clientes y a otros no, y no por una decisión de asesoría sino por la agenda del asesor.</w:t>
      </w:r>
    </w:p>
    <w:p>
      <w:pPr>
        <w:spacing w:after="120"/>
      </w:pPr>
      <w:r>
        <w:rPr>
          <w:b w:val="0"/>
          <w:sz w:val="22"/>
        </w:rPr>
        <w:t>La tarea de IA pertenece al procesamiento de lenguaje natural: clasificar notas en POSITIVO, NEUTRAL o NEGATIVO y contrastarlas con etiquetas didácticas de impacto. Los modelos reciben únicamente el texto; no conocen posiciones, perfil ni clase de activo como entrada separada. Por eso medimos una aproximación de sentimiento al impacto financiero, no pronosticamos rentabilidad. La idoneidad y el beneficio neto requieren una capa adicional de revisión.</w:t>
      </w:r>
      <w:r>
        <w:rPr>
          <w:b w:val="0"/>
          <w:i w:val="0"/>
          <w:sz w:val="22"/>
        </w:rPr>
      </w:r>
    </w:p>
    <w:p>
      <w:pPr>
        <w:spacing w:after="120"/>
      </w:pPr>
      <w:r>
        <w:rPr>
          <w:b w:val="0"/>
          <w:sz w:val="22"/>
        </w:rPr>
        <w:t>Por qué probar modelos preentrenados. Las negaciones y contrastes pueden alterar la lectura de una frase. Sin embargo, «no cambió la tasa» no tiene un efecto universal: depende de las expectativas y del activo. Las etiquetas del corpus son hipótesis didácticas. Sus 400 textos únicos provienen de 60 plantillas con variantes; no son 400 escenarios financieros independientes.</w:t>
      </w:r>
      <w:r>
        <w:rPr>
          <w:b w:val="0"/>
          <w:i w:val="0"/>
          <w:sz w:val="22"/>
        </w:rPr>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61"/>
        <w:gridCol w:w="5896"/>
      </w:tblGrid>
      <w:tr>
        <w:trPr>
          <w:tblHeader/>
          <w:cantSplit/>
        </w:trPr>
        <w:tc>
          <w:tcPr>
            <w:tcW w:type="dxa" w:w="3061"/>
            <w:shd w:val="clear" w:color="auto" w:fill="072146"/>
          </w:tcPr>
          <w:p>
            <w:pPr>
              <w:keepNext/>
            </w:pPr>
            <w:r/>
            <w:r>
              <w:rPr>
                <w:b/>
                <w:color w:val="FFFFFF"/>
                <w:sz w:val="18"/>
              </w:rPr>
              <w:t>Dimensión del caso</w:t>
            </w:r>
          </w:p>
        </w:tc>
        <w:tc>
          <w:tcPr>
            <w:tcW w:type="dxa" w:w="5896"/>
            <w:shd w:val="clear" w:color="auto" w:fill="072146"/>
          </w:tcPr>
          <w:p>
            <w:r/>
            <w:r>
              <w:rPr>
                <w:b/>
                <w:color w:val="FFFFFF"/>
                <w:sz w:val="18"/>
              </w:rPr>
              <w:t>Valor</w:t>
            </w:r>
          </w:p>
        </w:tc>
      </w:tr>
      <w:tr>
        <w:trPr>
          <w:cantSplit/>
        </w:trPr>
        <w:tc>
          <w:tcPr>
            <w:tcW w:type="dxa" w:w="3061"/>
          </w:tcPr>
          <w:p>
            <w:r/>
            <w:r>
              <w:rPr>
                <w:b/>
                <w:sz w:val="18"/>
              </w:rPr>
              <w:t>Rama de inteligencia artificial</w:t>
            </w:r>
          </w:p>
        </w:tc>
        <w:tc>
          <w:tcPr>
            <w:tcW w:type="dxa" w:w="5896"/>
          </w:tcPr>
          <w:p>
            <w:r/>
            <w:r>
              <w:rPr>
                <w:sz w:val="18"/>
              </w:rPr>
              <w:t>Procesamiento de lenguaje natural (clasificación de secuencias)</w:t>
            </w:r>
          </w:p>
        </w:tc>
      </w:tr>
      <w:tr>
        <w:trPr>
          <w:cantSplit/>
        </w:trPr>
        <w:tc>
          <w:tcPr>
            <w:tcW w:type="dxa" w:w="3061"/>
          </w:tcPr>
          <w:p>
            <w:r/>
            <w:r>
              <w:rPr>
                <w:b/>
                <w:sz w:val="18"/>
              </w:rPr>
              <w:t>Idioma</w:t>
            </w:r>
          </w:p>
        </w:tc>
        <w:tc>
          <w:tcPr>
            <w:tcW w:type="dxa" w:w="5896"/>
          </w:tcPr>
          <w:p>
            <w:r/>
            <w:r>
              <w:rPr>
                <w:sz w:val="18"/>
              </w:rPr>
              <w:t>Español de México, registro financiero formal</w:t>
            </w:r>
          </w:p>
        </w:tc>
      </w:tr>
      <w:tr>
        <w:trPr>
          <w:cantSplit/>
        </w:trPr>
        <w:tc>
          <w:tcPr>
            <w:tcW w:type="dxa" w:w="3061"/>
          </w:tcPr>
          <w:p>
            <w:r/>
            <w:r>
              <w:rPr>
                <w:b/>
                <w:sz w:val="18"/>
              </w:rPr>
              <w:t>Clases</w:t>
            </w:r>
          </w:p>
        </w:tc>
        <w:tc>
          <w:tcPr>
            <w:tcW w:type="dxa" w:w="5896"/>
          </w:tcPr>
          <w:p>
            <w:r/>
            <w:r>
              <w:rPr>
                <w:sz w:val="18"/>
              </w:rPr>
              <w:t>POSITIVO · NEUTRAL · NEGATIVO (etiquetas didácticas de impacto)</w:t>
            </w:r>
          </w:p>
        </w:tc>
      </w:tr>
      <w:tr>
        <w:trPr>
          <w:cantSplit/>
        </w:trPr>
        <w:tc>
          <w:tcPr>
            <w:tcW w:type="dxa" w:w="3061"/>
          </w:tcPr>
          <w:p>
            <w:r/>
            <w:r>
              <w:rPr>
                <w:b/>
                <w:sz w:val="18"/>
              </w:rPr>
              <w:t>Volumen operativo estimado</w:t>
            </w:r>
          </w:p>
        </w:tc>
        <w:tc>
          <w:tcPr>
            <w:tcW w:type="dxa" w:w="5896"/>
          </w:tcPr>
          <w:p>
            <w:r/>
            <w:r>
              <w:rPr>
                <w:sz w:val="18"/>
              </w:rPr>
              <w:t>≈ 250 notas diarias · 24 asesores · 3,600 clientes</w:t>
            </w:r>
          </w:p>
        </w:tc>
      </w:tr>
      <w:tr>
        <w:trPr>
          <w:cantSplit/>
        </w:trPr>
        <w:tc>
          <w:tcPr>
            <w:tcW w:type="dxa" w:w="3061"/>
          </w:tcPr>
          <w:p>
            <w:r/>
            <w:r>
              <w:rPr>
                <w:b/>
                <w:sz w:val="18"/>
              </w:rPr>
              <w:t>Latencia tolerable</w:t>
            </w:r>
          </w:p>
        </w:tc>
        <w:tc>
          <w:tcPr>
            <w:tcW w:type="dxa" w:w="5896"/>
          </w:tcPr>
          <w:p>
            <w:r/>
            <w:r>
              <w:rPr>
                <w:sz w:val="18"/>
              </w:rPr>
              <w:t>Lote nocturno: minutos. Consulta en vivo del asesor: menos de 1 segundo</w:t>
            </w:r>
          </w:p>
        </w:tc>
      </w:tr>
      <w:tr>
        <w:trPr>
          <w:cantSplit/>
        </w:trPr>
        <w:tc>
          <w:tcPr>
            <w:tcW w:type="dxa" w:w="3061"/>
          </w:tcPr>
          <w:p>
            <w:r/>
            <w:r>
              <w:rPr>
                <w:b/>
                <w:sz w:val="18"/>
              </w:rPr>
              <w:t>Consecuencia de un error</w:t>
            </w:r>
          </w:p>
        </w:tc>
        <w:tc>
          <w:tcPr>
            <w:tcW w:type="dxa" w:w="5896"/>
          </w:tcPr>
          <w:p>
            <w:r/>
            <w:r>
              <w:rPr>
                <w:sz w:val="18"/>
              </w:rPr>
              <w:t>Posible revisión innecesaria o señal omitida; corretaje supuesto del 2 % si se ejecutara un movimiento</w:t>
            </w:r>
          </w:p>
        </w:tc>
      </w:tr>
      <w:tr>
        <w:trPr>
          <w:cantSplit/>
        </w:trPr>
        <w:tc>
          <w:tcPr>
            <w:tcW w:type="dxa" w:w="3061"/>
          </w:tcPr>
          <w:p>
            <w:r/>
            <w:r>
              <w:rPr>
                <w:b/>
                <w:sz w:val="18"/>
              </w:rPr>
              <w:t>Intervención humana</w:t>
            </w:r>
          </w:p>
        </w:tc>
        <w:tc>
          <w:tcPr>
            <w:tcW w:type="dxa" w:w="5896"/>
          </w:tcPr>
          <w:p>
            <w:r/>
            <w:r>
              <w:rPr>
                <w:sz w:val="18"/>
              </w:rPr>
              <w:t>Obligatoria: el asesor revisa y firma toda propuesta antes de presentarla</w:t>
            </w:r>
          </w:p>
        </w:tc>
      </w:tr>
    </w:tbl>
    <w:p>
      <w:pPr>
        <w:spacing w:after="200"/>
        <w:jc w:val="center"/>
      </w:pPr>
      <w:r>
        <w:rPr>
          <w:i/>
          <w:sz w:val="18"/>
        </w:rPr>
        <w:t>Tabla 2. Delimitación del caso de uso. Elaboración propia.</w:t>
      </w:r>
    </w:p>
    <w:p>
      <w:pPr>
        <w:pStyle w:val="Ttulo1"/>
        <w:keepNext/>
      </w:pPr>
      <w:r>
        <w:t>2. Criterios de selección</w:t>
      </w:r>
    </w:p>
    <w:p>
      <w:pPr>
        <w:spacing w:after="120"/>
      </w:pPr>
      <w:r>
        <w:rPr>
          <w:b w:val="0"/>
          <w:i w:val="0"/>
          <w:sz w:val="22"/>
        </w:rPr>
        <w:t>Definí criterios técnicos y prácticos para comparar candidatos y distinguir experimentación de despliegue. Los pesos expresan prioridades del caso; no invento una puntuación ponderada porque no hay una escala normalizada para todos los criterios. Primero reviso F1 y errores críticos; después recursos y condiciones de uso.</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67"/>
        <w:gridCol w:w="3061"/>
        <w:gridCol w:w="1077"/>
        <w:gridCol w:w="3458"/>
        <w:gridCol w:w="793"/>
      </w:tblGrid>
      <w:tr>
        <w:trPr>
          <w:tblHeader/>
          <w:cantSplit/>
        </w:trPr>
        <w:tc>
          <w:tcPr>
            <w:tcW w:type="dxa" w:w="567"/>
            <w:shd w:val="clear" w:color="auto" w:fill="072146"/>
          </w:tcPr>
          <w:p>
            <w:pPr>
              <w:keepNext/>
            </w:pPr>
            <w:r/>
            <w:r>
              <w:rPr>
                <w:b/>
                <w:color w:val="FFFFFF"/>
                <w:sz w:val="17"/>
              </w:rPr>
              <w:t>#</w:t>
            </w:r>
          </w:p>
        </w:tc>
        <w:tc>
          <w:tcPr>
            <w:tcW w:type="dxa" w:w="3061"/>
            <w:shd w:val="clear" w:color="auto" w:fill="072146"/>
          </w:tcPr>
          <w:p>
            <w:r/>
            <w:r>
              <w:rPr>
                <w:b/>
                <w:color w:val="FFFFFF"/>
                <w:sz w:val="17"/>
              </w:rPr>
              <w:t>Criterio</w:t>
            </w:r>
          </w:p>
        </w:tc>
        <w:tc>
          <w:tcPr>
            <w:tcW w:type="dxa" w:w="1077"/>
            <w:shd w:val="clear" w:color="auto" w:fill="072146"/>
          </w:tcPr>
          <w:p>
            <w:r/>
            <w:r>
              <w:rPr>
                <w:b/>
                <w:color w:val="FFFFFF"/>
                <w:sz w:val="17"/>
              </w:rPr>
              <w:t>Tipo</w:t>
            </w:r>
          </w:p>
        </w:tc>
        <w:tc>
          <w:tcPr>
            <w:tcW w:type="dxa" w:w="3458"/>
            <w:shd w:val="clear" w:color="auto" w:fill="072146"/>
          </w:tcPr>
          <w:p>
            <w:r/>
            <w:r>
              <w:rPr>
                <w:b/>
                <w:color w:val="FFFFFF"/>
                <w:sz w:val="17"/>
              </w:rPr>
              <w:t>Umbral o condición</w:t>
            </w:r>
          </w:p>
        </w:tc>
        <w:tc>
          <w:tcPr>
            <w:tcW w:type="dxa" w:w="794"/>
            <w:shd w:val="clear" w:color="auto" w:fill="072146"/>
          </w:tcPr>
          <w:p>
            <w:r/>
            <w:r>
              <w:rPr>
                <w:b/>
                <w:color w:val="FFFFFF"/>
                <w:sz w:val="17"/>
              </w:rPr>
              <w:t>Peso</w:t>
            </w:r>
          </w:p>
        </w:tc>
      </w:tr>
      <w:tr>
        <w:trPr>
          <w:cantSplit/>
        </w:trPr>
        <w:tc>
          <w:tcPr>
            <w:tcW w:type="dxa" w:w="567"/>
          </w:tcPr>
          <w:p>
            <w:r/>
            <w:r>
              <w:rPr>
                <w:sz w:val="17"/>
              </w:rPr>
              <w:t>C1</w:t>
            </w:r>
          </w:p>
        </w:tc>
        <w:tc>
          <w:tcPr>
            <w:tcW w:type="dxa" w:w="3061"/>
          </w:tcPr>
          <w:p>
            <w:r/>
            <w:r>
              <w:rPr>
                <w:sz w:val="17"/>
              </w:rPr>
              <w:t>F1-score macro sobre mi propio corpus</w:t>
            </w:r>
          </w:p>
        </w:tc>
        <w:tc>
          <w:tcPr>
            <w:tcW w:type="dxa" w:w="1077"/>
          </w:tcPr>
          <w:p>
            <w:r/>
            <w:r>
              <w:rPr>
                <w:sz w:val="17"/>
              </w:rPr>
              <w:t>Técnico</w:t>
            </w:r>
          </w:p>
        </w:tc>
        <w:tc>
          <w:tcPr>
            <w:tcW w:type="dxa" w:w="3458"/>
          </w:tcPr>
          <w:p>
            <w:r/>
            <w:r>
              <w:rPr>
                <w:sz w:val="17"/>
              </w:rPr>
              <w:t>Métrica de decisión; se exige el mayor del conjunto</w:t>
            </w:r>
          </w:p>
        </w:tc>
        <w:tc>
          <w:tcPr>
            <w:tcW w:type="dxa" w:w="794"/>
          </w:tcPr>
          <w:p>
            <w:r/>
            <w:r>
              <w:rPr>
                <w:sz w:val="17"/>
              </w:rPr>
              <w:t>25 %</w:t>
            </w:r>
          </w:p>
        </w:tc>
      </w:tr>
      <w:tr>
        <w:trPr>
          <w:cantSplit/>
        </w:trPr>
        <w:tc>
          <w:tcPr>
            <w:tcW w:type="dxa" w:w="567"/>
          </w:tcPr>
          <w:p>
            <w:r/>
            <w:r>
              <w:rPr>
                <w:sz w:val="17"/>
              </w:rPr>
              <w:t>C2</w:t>
            </w:r>
          </w:p>
        </w:tc>
        <w:tc>
          <w:tcPr>
            <w:tcW w:type="dxa" w:w="3061"/>
          </w:tcPr>
          <w:p>
            <w:r/>
            <w:r>
              <w:rPr>
                <w:sz w:val="17"/>
              </w:rPr>
              <w:t>Exactitud en notas con negación</w:t>
            </w:r>
          </w:p>
        </w:tc>
        <w:tc>
          <w:tcPr>
            <w:tcW w:type="dxa" w:w="1077"/>
          </w:tcPr>
          <w:p>
            <w:r/>
            <w:r>
              <w:rPr>
                <w:sz w:val="17"/>
              </w:rPr>
              <w:t>Técnico</w:t>
            </w:r>
          </w:p>
        </w:tc>
        <w:tc>
          <w:tcPr>
            <w:tcW w:type="dxa" w:w="3458"/>
          </w:tcPr>
          <w:p>
            <w:r/>
            <w:r>
              <w:rPr>
                <w:sz w:val="17"/>
              </w:rPr>
              <w:t>Subconjunto crítico; penaliza fuerte por debajo del promedio</w:t>
            </w:r>
          </w:p>
        </w:tc>
        <w:tc>
          <w:tcPr>
            <w:tcW w:type="dxa" w:w="794"/>
          </w:tcPr>
          <w:p>
            <w:r/>
            <w:r>
              <w:rPr>
                <w:sz w:val="17"/>
              </w:rPr>
              <w:t>20 %</w:t>
            </w:r>
          </w:p>
        </w:tc>
      </w:tr>
      <w:tr>
        <w:trPr>
          <w:cantSplit/>
        </w:trPr>
        <w:tc>
          <w:tcPr>
            <w:tcW w:type="dxa" w:w="567"/>
          </w:tcPr>
          <w:p>
            <w:r/>
            <w:r>
              <w:rPr>
                <w:sz w:val="17"/>
              </w:rPr>
              <w:t>C3</w:t>
            </w:r>
          </w:p>
        </w:tc>
        <w:tc>
          <w:tcPr>
            <w:tcW w:type="dxa" w:w="3061"/>
          </w:tcPr>
          <w:p>
            <w:r/>
            <w:r>
              <w:rPr>
                <w:sz w:val="17"/>
              </w:rPr>
              <w:t>Entrenamiento nativo en español</w:t>
            </w:r>
          </w:p>
        </w:tc>
        <w:tc>
          <w:tcPr>
            <w:tcW w:type="dxa" w:w="1077"/>
          </w:tcPr>
          <w:p>
            <w:r/>
            <w:r>
              <w:rPr>
                <w:sz w:val="17"/>
              </w:rPr>
              <w:t>Técnico</w:t>
            </w:r>
          </w:p>
        </w:tc>
        <w:tc>
          <w:tcPr>
            <w:tcW w:type="dxa" w:w="3458"/>
          </w:tcPr>
          <w:p>
            <w:r/>
            <w:r>
              <w:rPr>
                <w:sz w:val="17"/>
              </w:rPr>
              <w:t>Preferente, no excluyente; se verifica contra el desempeño real</w:t>
            </w:r>
          </w:p>
        </w:tc>
        <w:tc>
          <w:tcPr>
            <w:tcW w:type="dxa" w:w="794"/>
          </w:tcPr>
          <w:p>
            <w:r/>
            <w:r>
              <w:rPr>
                <w:sz w:val="17"/>
              </w:rPr>
              <w:t>10 %</w:t>
            </w:r>
          </w:p>
        </w:tc>
      </w:tr>
      <w:tr>
        <w:trPr>
          <w:cantSplit/>
        </w:trPr>
        <w:tc>
          <w:tcPr>
            <w:tcW w:type="dxa" w:w="567"/>
          </w:tcPr>
          <w:p>
            <w:r/>
            <w:r>
              <w:rPr>
                <w:sz w:val="17"/>
              </w:rPr>
              <w:t>C4</w:t>
            </w:r>
          </w:p>
        </w:tc>
        <w:tc>
          <w:tcPr>
            <w:tcW w:type="dxa" w:w="3061"/>
          </w:tcPr>
          <w:p>
            <w:r/>
            <w:r>
              <w:rPr>
                <w:sz w:val="17"/>
              </w:rPr>
              <w:t>Confianza utilizable como umbral</w:t>
            </w:r>
          </w:p>
        </w:tc>
        <w:tc>
          <w:tcPr>
            <w:tcW w:type="dxa" w:w="1077"/>
          </w:tcPr>
          <w:p>
            <w:r/>
            <w:r>
              <w:rPr>
                <w:sz w:val="17"/>
              </w:rPr>
              <w:t>Técnico</w:t>
            </w:r>
          </w:p>
        </w:tc>
        <w:tc>
          <w:tcPr>
            <w:tcW w:type="dxa" w:w="3458"/>
          </w:tcPr>
          <w:p>
            <w:r/>
            <w:r>
              <w:rPr>
                <w:sz w:val="17"/>
              </w:rPr>
              <w:t>La salida debe permitir una regla de abstención</w:t>
            </w:r>
          </w:p>
        </w:tc>
        <w:tc>
          <w:tcPr>
            <w:tcW w:type="dxa" w:w="794"/>
          </w:tcPr>
          <w:p>
            <w:r/>
            <w:r>
              <w:rPr>
                <w:sz w:val="17"/>
              </w:rPr>
              <w:t>10 %</w:t>
            </w:r>
          </w:p>
        </w:tc>
      </w:tr>
      <w:tr>
        <w:trPr>
          <w:cantSplit/>
        </w:trPr>
        <w:tc>
          <w:tcPr>
            <w:tcW w:type="dxa" w:w="567"/>
          </w:tcPr>
          <w:p>
            <w:r/>
            <w:r>
              <w:rPr>
                <w:sz w:val="17"/>
              </w:rPr>
              <w:t>C5</w:t>
            </w:r>
          </w:p>
        </w:tc>
        <w:tc>
          <w:tcPr>
            <w:tcW w:type="dxa" w:w="3061"/>
          </w:tcPr>
          <w:p>
            <w:r/>
            <w:r>
              <w:rPr>
                <w:sz w:val="17"/>
              </w:rPr>
              <w:t>Latencia unitaria p95</w:t>
            </w:r>
          </w:p>
        </w:tc>
        <w:tc>
          <w:tcPr>
            <w:tcW w:type="dxa" w:w="1077"/>
          </w:tcPr>
          <w:p>
            <w:r/>
            <w:r>
              <w:rPr>
                <w:sz w:val="17"/>
              </w:rPr>
              <w:t>Técnico</w:t>
            </w:r>
          </w:p>
        </w:tc>
        <w:tc>
          <w:tcPr>
            <w:tcW w:type="dxa" w:w="3458"/>
          </w:tcPr>
          <w:p>
            <w:r/>
            <w:r>
              <w:rPr>
                <w:sz w:val="17"/>
              </w:rPr>
              <w:t>Menor a 1 segundo para consulta en vivo</w:t>
            </w:r>
          </w:p>
        </w:tc>
        <w:tc>
          <w:tcPr>
            <w:tcW w:type="dxa" w:w="794"/>
          </w:tcPr>
          <w:p>
            <w:r/>
            <w:r>
              <w:rPr>
                <w:sz w:val="17"/>
              </w:rPr>
              <w:t>10 %</w:t>
            </w:r>
          </w:p>
        </w:tc>
      </w:tr>
      <w:tr>
        <w:trPr>
          <w:cantSplit/>
        </w:trPr>
        <w:tc>
          <w:tcPr>
            <w:tcW w:type="dxa" w:w="567"/>
          </w:tcPr>
          <w:p>
            <w:r/>
            <w:r>
              <w:rPr>
                <w:sz w:val="17"/>
              </w:rPr>
              <w:t>C6</w:t>
            </w:r>
          </w:p>
        </w:tc>
        <w:tc>
          <w:tcPr>
            <w:tcW w:type="dxa" w:w="3061"/>
          </w:tcPr>
          <w:p>
            <w:r/>
            <w:r>
              <w:rPr>
                <w:sz w:val="17"/>
              </w:rPr>
              <w:t>Tamaño del modelo</w:t>
            </w:r>
          </w:p>
        </w:tc>
        <w:tc>
          <w:tcPr>
            <w:tcW w:type="dxa" w:w="1077"/>
          </w:tcPr>
          <w:p>
            <w:r/>
            <w:r>
              <w:rPr>
                <w:sz w:val="17"/>
              </w:rPr>
              <w:t>Técnico</w:t>
            </w:r>
          </w:p>
        </w:tc>
        <w:tc>
          <w:tcPr>
            <w:tcW w:type="dxa" w:w="3458"/>
          </w:tcPr>
          <w:p>
            <w:r/>
            <w:r>
              <w:rPr>
                <w:sz w:val="17"/>
              </w:rPr>
              <w:t>Debe caber en una GPU T4 sin cuantización</w:t>
            </w:r>
          </w:p>
        </w:tc>
        <w:tc>
          <w:tcPr>
            <w:tcW w:type="dxa" w:w="794"/>
          </w:tcPr>
          <w:p>
            <w:r/>
            <w:r>
              <w:rPr>
                <w:sz w:val="17"/>
              </w:rPr>
              <w:t>5 %</w:t>
            </w:r>
          </w:p>
        </w:tc>
      </w:tr>
      <w:tr>
        <w:trPr>
          <w:cantSplit/>
        </w:trPr>
        <w:tc>
          <w:tcPr>
            <w:tcW w:type="dxa" w:w="567"/>
          </w:tcPr>
          <w:p>
            <w:r/>
            <w:r>
              <w:rPr>
                <w:sz w:val="17"/>
              </w:rPr>
              <w:t>C7</w:t>
            </w:r>
          </w:p>
        </w:tc>
        <w:tc>
          <w:tcPr>
            <w:tcW w:type="dxa" w:w="3061"/>
          </w:tcPr>
          <w:p>
            <w:r/>
            <w:r>
              <w:rPr>
                <w:sz w:val="17"/>
              </w:rPr>
              <w:t>Licencia permisiva</w:t>
            </w:r>
          </w:p>
        </w:tc>
        <w:tc>
          <w:tcPr>
            <w:tcW w:type="dxa" w:w="1077"/>
          </w:tcPr>
          <w:p>
            <w:r/>
            <w:r>
              <w:rPr>
                <w:sz w:val="17"/>
              </w:rPr>
              <w:t>Práctico</w:t>
            </w:r>
          </w:p>
        </w:tc>
        <w:tc>
          <w:tcPr>
            <w:tcW w:type="dxa" w:w="3458"/>
          </w:tcPr>
          <w:p>
            <w:r/>
            <w:r>
              <w:rPr>
                <w:sz w:val="17"/>
              </w:rPr>
              <w:t>Excluyente para producción; revisar checkpoint y datos de entrenamiento</w:t>
            </w:r>
          </w:p>
        </w:tc>
        <w:tc>
          <w:tcPr>
            <w:tcW w:type="dxa" w:w="794"/>
          </w:tcPr>
          <w:p>
            <w:r/>
            <w:r>
              <w:rPr>
                <w:sz w:val="17"/>
              </w:rPr>
              <w:t>10 %</w:t>
            </w:r>
          </w:p>
        </w:tc>
      </w:tr>
      <w:tr>
        <w:trPr>
          <w:cantSplit/>
        </w:trPr>
        <w:tc>
          <w:tcPr>
            <w:tcW w:type="dxa" w:w="567"/>
          </w:tcPr>
          <w:p>
            <w:r/>
            <w:r>
              <w:rPr>
                <w:sz w:val="17"/>
              </w:rPr>
              <w:t>C8</w:t>
            </w:r>
          </w:p>
        </w:tc>
        <w:tc>
          <w:tcPr>
            <w:tcW w:type="dxa" w:w="3061"/>
          </w:tcPr>
          <w:p>
            <w:r/>
            <w:r>
              <w:rPr>
                <w:sz w:val="17"/>
              </w:rPr>
              <w:t>Acceso abierto, sin restricción</w:t>
            </w:r>
          </w:p>
        </w:tc>
        <w:tc>
          <w:tcPr>
            <w:tcW w:type="dxa" w:w="1077"/>
          </w:tcPr>
          <w:p>
            <w:r/>
            <w:r>
              <w:rPr>
                <w:sz w:val="17"/>
              </w:rPr>
              <w:t>Práctico</w:t>
            </w:r>
          </w:p>
        </w:tc>
        <w:tc>
          <w:tcPr>
            <w:tcW w:type="dxa" w:w="3458"/>
          </w:tcPr>
          <w:p>
            <w:r/>
            <w:r>
              <w:rPr>
                <w:sz w:val="17"/>
              </w:rPr>
              <w:t>Descarga pública comprobada; no implica permiso comercial</w:t>
            </w:r>
          </w:p>
        </w:tc>
        <w:tc>
          <w:tcPr>
            <w:tcW w:type="dxa" w:w="794"/>
          </w:tcPr>
          <w:p>
            <w:r/>
            <w:r>
              <w:rPr>
                <w:sz w:val="17"/>
              </w:rPr>
              <w:t>5 %</w:t>
            </w:r>
          </w:p>
        </w:tc>
      </w:tr>
      <w:tr>
        <w:trPr>
          <w:cantSplit/>
        </w:trPr>
        <w:tc>
          <w:tcPr>
            <w:tcW w:type="dxa" w:w="567"/>
          </w:tcPr>
          <w:p>
            <w:r/>
            <w:r>
              <w:rPr>
                <w:sz w:val="17"/>
              </w:rPr>
              <w:t>C9</w:t>
            </w:r>
          </w:p>
        </w:tc>
        <w:tc>
          <w:tcPr>
            <w:tcW w:type="dxa" w:w="3061"/>
          </w:tcPr>
          <w:p>
            <w:r/>
            <w:r>
              <w:rPr>
                <w:sz w:val="17"/>
              </w:rPr>
              <w:t>Mantenimiento del repositorio</w:t>
            </w:r>
          </w:p>
        </w:tc>
        <w:tc>
          <w:tcPr>
            <w:tcW w:type="dxa" w:w="1077"/>
          </w:tcPr>
          <w:p>
            <w:r/>
            <w:r>
              <w:rPr>
                <w:sz w:val="17"/>
              </w:rPr>
              <w:t>Práctico</w:t>
            </w:r>
          </w:p>
        </w:tc>
        <w:tc>
          <w:tcPr>
            <w:tcW w:type="dxa" w:w="3458"/>
          </w:tcPr>
          <w:p>
            <w:r/>
            <w:r>
              <w:rPr>
                <w:sz w:val="17"/>
              </w:rPr>
              <w:t>Autor identificable y modelo en uso activo</w:t>
            </w:r>
          </w:p>
        </w:tc>
        <w:tc>
          <w:tcPr>
            <w:tcW w:type="dxa" w:w="794"/>
          </w:tcPr>
          <w:p>
            <w:r/>
            <w:r>
              <w:rPr>
                <w:sz w:val="17"/>
              </w:rPr>
              <w:t>3 %</w:t>
            </w:r>
          </w:p>
        </w:tc>
      </w:tr>
      <w:tr>
        <w:trPr>
          <w:cantSplit/>
        </w:trPr>
        <w:tc>
          <w:tcPr>
            <w:tcW w:type="dxa" w:w="567"/>
          </w:tcPr>
          <w:p>
            <w:r/>
            <w:r>
              <w:rPr>
                <w:sz w:val="17"/>
              </w:rPr>
              <w:t>C10</w:t>
            </w:r>
          </w:p>
        </w:tc>
        <w:tc>
          <w:tcPr>
            <w:tcW w:type="dxa" w:w="3061"/>
          </w:tcPr>
          <w:p>
            <w:r/>
            <w:r>
              <w:rPr>
                <w:sz w:val="17"/>
              </w:rPr>
              <w:t>Reproducibilidad</w:t>
            </w:r>
          </w:p>
        </w:tc>
        <w:tc>
          <w:tcPr>
            <w:tcW w:type="dxa" w:w="1077"/>
          </w:tcPr>
          <w:p>
            <w:r/>
            <w:r>
              <w:rPr>
                <w:sz w:val="17"/>
              </w:rPr>
              <w:t>Práctico</w:t>
            </w:r>
          </w:p>
        </w:tc>
        <w:tc>
          <w:tcPr>
            <w:tcW w:type="dxa" w:w="3458"/>
          </w:tcPr>
          <w:p>
            <w:r/>
            <w:r>
              <w:rPr>
                <w:sz w:val="17"/>
              </w:rPr>
              <w:t>Versión fijable y resultados repetibles con la misma semilla</w:t>
            </w:r>
          </w:p>
        </w:tc>
        <w:tc>
          <w:tcPr>
            <w:tcW w:type="dxa" w:w="794"/>
          </w:tcPr>
          <w:p>
            <w:r/>
            <w:r>
              <w:rPr>
                <w:sz w:val="17"/>
              </w:rPr>
              <w:t>2 %</w:t>
            </w:r>
          </w:p>
        </w:tc>
      </w:tr>
    </w:tbl>
    <w:p>
      <w:pPr>
        <w:spacing w:after="200"/>
        <w:jc w:val="center"/>
      </w:pPr>
      <w:r>
        <w:rPr>
          <w:i/>
          <w:sz w:val="18"/>
        </w:rPr>
        <w:t>Tabla 3. Criterios de selección con su peso. Elaboración propia a partir de el Tema 9.</w:t>
      </w:r>
    </w:p>
    <w:p>
      <w:pPr>
        <w:spacing w:after="120"/>
      </w:pPr>
      <w:r>
        <w:rPr>
          <w:b w:val="0"/>
          <w:i w:val="0"/>
          <w:sz w:val="22"/>
        </w:rPr>
        <w:t>C7 y C8 son controles para un despliegue, no afirmaciones de que todos los candidatos los cumplen. BETO advierte uso científico no comercial y posible retiro. Las tarjetas consultadas de RoBERTuito y XLM-R no declaran una licencia permisiva del checkpoint; nlptown declara MIT. Acceso público no equivale a autorización comercial.</w:t>
      </w:r>
    </w:p>
    <w:p>
      <w:pPr>
        <w:pStyle w:val="Ttulo1"/>
        <w:keepNext/>
      </w:pPr>
      <w:r>
        <w:t>3. Tabla comparativa de modelos</w:t>
      </w:r>
    </w:p>
    <w:p>
      <w:pPr>
        <w:spacing w:after="120"/>
      </w:pPr>
      <w:r>
        <w:rPr>
          <w:b w:val="0"/>
          <w:i w:val="0"/>
          <w:sz w:val="22"/>
        </w:rPr>
        <w:t>Comparé dos modelos de sentimiento en español y dos multilingües. Los tres primeros predicen tres clases; nlptown predice cinco estrellas. En la corrida se tomó la estrella más probable y después se mapeó a tres clases. Es un baseline explícito: su score corresponde a la estrella, no a la probabilidad agregada de la clase financiera.</w:t>
      </w:r>
    </w:p>
    <w:tbl>
      <w:tblPr>
        <w:tblW w:type="dxa" w:w="929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16"/>
        <w:gridCol w:w="1944"/>
        <w:gridCol w:w="864"/>
        <w:gridCol w:w="1008"/>
        <w:gridCol w:w="835"/>
        <w:gridCol w:w="1152"/>
        <w:gridCol w:w="1123"/>
      </w:tblGrid>
      <w:tr>
        <w:trPr>
          <w:tblHeader/>
          <w:cantSplit/>
        </w:trPr>
        <w:tc>
          <w:tcPr>
            <w:tcW w:type="dxa" w:w="2016"/>
            <w:shd w:val="clear" w:color="auto" w:fill="072146"/>
          </w:tcPr>
          <w:p>
            <w:pPr>
              <w:keepNext/>
            </w:pPr>
            <w:r/>
            <w:r>
              <w:rPr>
                <w:b/>
                <w:color w:val="FFFFFF"/>
                <w:sz w:val="16"/>
              </w:rPr>
              <w:t>Modelo</w:t>
            </w:r>
          </w:p>
        </w:tc>
        <w:tc>
          <w:tcPr>
            <w:tcW w:type="dxa" w:w="1944"/>
            <w:shd w:val="clear" w:color="auto" w:fill="072146"/>
          </w:tcPr>
          <w:p>
            <w:r/>
            <w:r>
              <w:rPr>
                <w:b/>
                <w:color w:val="FFFFFF"/>
                <w:sz w:val="16"/>
              </w:rPr>
              <w:t>Tarea original</w:t>
            </w:r>
          </w:p>
        </w:tc>
        <w:tc>
          <w:tcPr>
            <w:tcW w:type="dxa" w:w="864"/>
            <w:shd w:val="clear" w:color="auto" w:fill="072146"/>
          </w:tcPr>
          <w:p>
            <w:r/>
            <w:r>
              <w:rPr>
                <w:b/>
                <w:color w:val="FFFFFF"/>
                <w:sz w:val="16"/>
              </w:rPr>
              <w:t>Parám.</w:t>
              <w:br/>
              <w:t>(M)</w:t>
            </w:r>
            <w:r/>
          </w:p>
        </w:tc>
        <w:tc>
          <w:tcPr>
            <w:tcW w:type="dxa" w:w="1008"/>
            <w:shd w:val="clear" w:color="auto" w:fill="072146"/>
          </w:tcPr>
          <w:p>
            <w:r/>
            <w:r>
              <w:rPr>
                <w:b/>
                <w:color w:val="FFFFFF"/>
                <w:sz w:val="16"/>
              </w:rPr>
              <w:t>Licencia</w:t>
            </w:r>
          </w:p>
        </w:tc>
        <w:tc>
          <w:tcPr>
            <w:tcW w:type="dxa" w:w="835"/>
            <w:shd w:val="clear" w:color="auto" w:fill="072146"/>
          </w:tcPr>
          <w:p>
            <w:r/>
            <w:r>
              <w:rPr>
                <w:b/>
                <w:color w:val="FFFFFF"/>
                <w:sz w:val="16"/>
              </w:rPr>
              <w:t>F1 macro</w:t>
            </w:r>
          </w:p>
        </w:tc>
        <w:tc>
          <w:tcPr>
            <w:tcW w:type="dxa" w:w="1152"/>
            <w:shd w:val="clear" w:color="auto" w:fill="072146"/>
          </w:tcPr>
          <w:p>
            <w:r/>
            <w:r>
              <w:rPr>
                <w:b/>
                <w:color w:val="FFFFFF"/>
                <w:sz w:val="16"/>
              </w:rPr>
              <w:t>Latencia (ms/nota)</w:t>
            </w:r>
          </w:p>
        </w:tc>
        <w:tc>
          <w:tcPr>
            <w:tcW w:type="dxa" w:w="1123"/>
            <w:shd w:val="clear" w:color="auto" w:fill="072146"/>
          </w:tcPr>
          <w:p>
            <w:r/>
            <w:r>
              <w:rPr>
                <w:b/>
                <w:color w:val="FFFFFF"/>
                <w:sz w:val="16"/>
              </w:rPr>
              <w:t>Recursos</w:t>
            </w:r>
          </w:p>
        </w:tc>
      </w:tr>
      <w:tr>
        <w:trPr>
          <w:cantSplit/>
        </w:trPr>
        <w:tc>
          <w:tcPr>
            <w:tcW w:type="dxa" w:w="2016"/>
          </w:tcPr>
          <w:p>
            <w:r/>
            <w:r>
              <w:rPr>
                <w:sz w:val="16"/>
              </w:rPr>
              <w:t>RoBERTuito</w:t>
            </w:r>
            <w:r/>
          </w:p>
        </w:tc>
        <w:tc>
          <w:tcPr>
            <w:tcW w:type="dxa" w:w="1944"/>
          </w:tcPr>
          <w:p>
            <w:r/>
            <w:r>
              <w:rPr>
                <w:sz w:val="16"/>
              </w:rPr>
              <w:t>Sentimiento en español (tuits)</w:t>
            </w:r>
          </w:p>
        </w:tc>
        <w:tc>
          <w:tcPr>
            <w:tcW w:type="dxa" w:w="864"/>
          </w:tcPr>
          <w:p>
            <w:r/>
            <w:r>
              <w:rPr>
                <w:sz w:val="16"/>
              </w:rPr>
              <w:t>108.8</w:t>
            </w:r>
            <w:r/>
          </w:p>
        </w:tc>
        <w:tc>
          <w:tcPr>
            <w:tcW w:type="dxa" w:w="1008"/>
          </w:tcPr>
          <w:p>
            <w:r/>
            <w:r>
              <w:rPr>
                <w:sz w:val="16"/>
              </w:rPr>
              <w:t>Sin</w:t>
              <w:br/>
              <w:t>declarar</w:t>
            </w:r>
            <w:r/>
          </w:p>
        </w:tc>
        <w:tc>
          <w:tcPr>
            <w:tcW w:type="dxa" w:w="835"/>
          </w:tcPr>
          <w:p>
            <w:r/>
            <w:r>
              <w:rPr>
                <w:sz w:val="16"/>
              </w:rPr>
              <w:t>0.3547</w:t>
            </w:r>
          </w:p>
        </w:tc>
        <w:tc>
          <w:tcPr>
            <w:tcW w:type="dxa" w:w="1152"/>
          </w:tcPr>
          <w:p>
            <w:r/>
            <w:r>
              <w:rPr>
                <w:sz w:val="16"/>
              </w:rPr>
              <w:t>2.98</w:t>
            </w:r>
          </w:p>
        </w:tc>
        <w:tc>
          <w:tcPr>
            <w:tcW w:type="dxa" w:w="1123"/>
          </w:tcPr>
          <w:p>
            <w:r/>
            <w:r>
              <w:rPr>
                <w:sz w:val="16"/>
              </w:rPr>
              <w:t>T4</w:t>
              <w:br/>
              <w:t>Pico VRAM</w:t>
              <w:br/>
              <w:t>no medido</w:t>
            </w:r>
            <w:r/>
          </w:p>
        </w:tc>
      </w:tr>
      <w:tr>
        <w:trPr>
          <w:cantSplit/>
        </w:trPr>
        <w:tc>
          <w:tcPr>
            <w:tcW w:type="dxa" w:w="2016"/>
          </w:tcPr>
          <w:p>
            <w:r/>
            <w:r>
              <w:rPr>
                <w:sz w:val="16"/>
              </w:rPr>
              <w:t>BETO</w:t>
            </w:r>
            <w:r/>
          </w:p>
        </w:tc>
        <w:tc>
          <w:tcPr>
            <w:tcW w:type="dxa" w:w="1944"/>
          </w:tcPr>
          <w:p>
            <w:r/>
            <w:r>
              <w:rPr>
                <w:sz w:val="16"/>
              </w:rPr>
              <w:t>Sentimiento en español (BETO)</w:t>
            </w:r>
          </w:p>
        </w:tc>
        <w:tc>
          <w:tcPr>
            <w:tcW w:type="dxa" w:w="864"/>
          </w:tcPr>
          <w:p>
            <w:r/>
            <w:r>
              <w:rPr>
                <w:sz w:val="16"/>
              </w:rPr>
              <w:t>109.9</w:t>
            </w:r>
            <w:r/>
          </w:p>
        </w:tc>
        <w:tc>
          <w:tcPr>
            <w:tcW w:type="dxa" w:w="1008"/>
          </w:tcPr>
          <w:p>
            <w:r/>
            <w:r>
              <w:rPr>
                <w:sz w:val="16"/>
              </w:rPr>
              <w:t>No comercial</w:t>
            </w:r>
          </w:p>
        </w:tc>
        <w:tc>
          <w:tcPr>
            <w:tcW w:type="dxa" w:w="835"/>
          </w:tcPr>
          <w:p>
            <w:r/>
            <w:r>
              <w:rPr>
                <w:sz w:val="16"/>
              </w:rPr>
              <w:t>0.4719</w:t>
            </w:r>
          </w:p>
        </w:tc>
        <w:tc>
          <w:tcPr>
            <w:tcW w:type="dxa" w:w="1152"/>
          </w:tcPr>
          <w:p>
            <w:r/>
            <w:r>
              <w:rPr>
                <w:sz w:val="16"/>
              </w:rPr>
              <w:t>6.31</w:t>
            </w:r>
          </w:p>
        </w:tc>
        <w:tc>
          <w:tcPr>
            <w:tcW w:type="dxa" w:w="1123"/>
          </w:tcPr>
          <w:p>
            <w:r/>
            <w:r>
              <w:rPr>
                <w:sz w:val="16"/>
              </w:rPr>
              <w:t>T4</w:t>
              <w:br/>
              <w:t>Pico VRAM</w:t>
              <w:br/>
              <w:t>no medido</w:t>
            </w:r>
            <w:r/>
          </w:p>
        </w:tc>
      </w:tr>
      <w:tr>
        <w:trPr>
          <w:cantSplit/>
        </w:trPr>
        <w:tc>
          <w:tcPr>
            <w:tcW w:type="dxa" w:w="2016"/>
          </w:tcPr>
          <w:p>
            <w:r/>
            <w:r>
              <w:rPr>
                <w:sz w:val="16"/>
              </w:rPr>
              <w:t>XLM-R Twitter</w:t>
            </w:r>
            <w:r/>
          </w:p>
        </w:tc>
        <w:tc>
          <w:tcPr>
            <w:tcW w:type="dxa" w:w="1944"/>
          </w:tcPr>
          <w:p>
            <w:r/>
            <w:r>
              <w:rPr>
                <w:sz w:val="16"/>
              </w:rPr>
              <w:t>Sentimiento multilingüe (8 idiomas)</w:t>
            </w:r>
          </w:p>
        </w:tc>
        <w:tc>
          <w:tcPr>
            <w:tcW w:type="dxa" w:w="864"/>
          </w:tcPr>
          <w:p>
            <w:r/>
            <w:r>
              <w:rPr>
                <w:sz w:val="16"/>
              </w:rPr>
              <w:t>278.0</w:t>
            </w:r>
            <w:r/>
          </w:p>
        </w:tc>
        <w:tc>
          <w:tcPr>
            <w:tcW w:type="dxa" w:w="1008"/>
          </w:tcPr>
          <w:p>
            <w:r/>
            <w:r>
              <w:rPr>
                <w:sz w:val="16"/>
              </w:rPr>
              <w:t>Sin</w:t>
              <w:br/>
              <w:t>declarar</w:t>
            </w:r>
            <w:r/>
          </w:p>
        </w:tc>
        <w:tc>
          <w:tcPr>
            <w:tcW w:type="dxa" w:w="835"/>
          </w:tcPr>
          <w:p>
            <w:r/>
            <w:r>
              <w:rPr>
                <w:sz w:val="16"/>
              </w:rPr>
              <w:t>0.5544</w:t>
            </w:r>
          </w:p>
        </w:tc>
        <w:tc>
          <w:tcPr>
            <w:tcW w:type="dxa" w:w="1152"/>
          </w:tcPr>
          <w:p>
            <w:r/>
            <w:r>
              <w:rPr>
                <w:sz w:val="16"/>
              </w:rPr>
              <w:t>3.02</w:t>
            </w:r>
          </w:p>
        </w:tc>
        <w:tc>
          <w:tcPr>
            <w:tcW w:type="dxa" w:w="1123"/>
          </w:tcPr>
          <w:p>
            <w:r/>
            <w:r>
              <w:rPr>
                <w:sz w:val="16"/>
              </w:rPr>
              <w:t>T4</w:t>
              <w:br/>
              <w:t>Pico VRAM</w:t>
              <w:br/>
              <w:t>no medido</w:t>
            </w:r>
            <w:r/>
          </w:p>
        </w:tc>
      </w:tr>
      <w:tr>
        <w:trPr>
          <w:cantSplit/>
        </w:trPr>
        <w:tc>
          <w:tcPr>
            <w:tcW w:type="dxa" w:w="2016"/>
          </w:tcPr>
          <w:p>
            <w:r/>
            <w:r>
              <w:rPr>
                <w:sz w:val="16"/>
              </w:rPr>
              <w:t>mBERT nlptown</w:t>
            </w:r>
            <w:r/>
          </w:p>
        </w:tc>
        <w:tc>
          <w:tcPr>
            <w:tcW w:type="dxa" w:w="1944"/>
          </w:tcPr>
          <w:p>
            <w:r/>
            <w:r>
              <w:rPr>
                <w:sz w:val="16"/>
              </w:rPr>
              <w:t>Reseñas 1–5 estrellas (6 idiomas)</w:t>
            </w:r>
          </w:p>
        </w:tc>
        <w:tc>
          <w:tcPr>
            <w:tcW w:type="dxa" w:w="864"/>
          </w:tcPr>
          <w:p>
            <w:r/>
            <w:r>
              <w:rPr>
                <w:sz w:val="16"/>
              </w:rPr>
              <w:t>167.4</w:t>
            </w:r>
            <w:r/>
          </w:p>
        </w:tc>
        <w:tc>
          <w:tcPr>
            <w:tcW w:type="dxa" w:w="1008"/>
          </w:tcPr>
          <w:p>
            <w:r/>
            <w:r>
              <w:rPr>
                <w:sz w:val="16"/>
              </w:rPr>
              <w:t>MIT</w:t>
            </w:r>
          </w:p>
        </w:tc>
        <w:tc>
          <w:tcPr>
            <w:tcW w:type="dxa" w:w="835"/>
          </w:tcPr>
          <w:p>
            <w:r/>
            <w:r>
              <w:rPr>
                <w:sz w:val="16"/>
              </w:rPr>
              <w:t>0.4515</w:t>
            </w:r>
          </w:p>
        </w:tc>
        <w:tc>
          <w:tcPr>
            <w:tcW w:type="dxa" w:w="1152"/>
          </w:tcPr>
          <w:p>
            <w:r/>
            <w:r>
              <w:rPr>
                <w:sz w:val="16"/>
              </w:rPr>
              <w:t>3.04</w:t>
            </w:r>
          </w:p>
        </w:tc>
        <w:tc>
          <w:tcPr>
            <w:tcW w:type="dxa" w:w="1123"/>
          </w:tcPr>
          <w:p>
            <w:r/>
            <w:r>
              <w:rPr>
                <w:sz w:val="16"/>
              </w:rPr>
              <w:t>T4</w:t>
              <w:br/>
              <w:t>Pico VRAM</w:t>
              <w:br/>
              <w:t>no medido</w:t>
            </w:r>
            <w:r/>
          </w:p>
        </w:tc>
      </w:tr>
    </w:tbl>
    <w:p>
      <w:pPr>
        <w:spacing w:after="200"/>
        <w:jc w:val="center"/>
      </w:pPr>
      <w:r>
        <w:rPr>
          <w:b w:val="0"/>
          <w:i/>
          <w:sz w:val="18"/>
        </w:rPr>
        <w:t>Tabla 4. Resultados observados en GPU T4 y condiciones de licencia consultadas el 11 de octubre de 2026.</w:t>
      </w:r>
    </w:p>
    <w:p>
      <w:pPr>
        <w:spacing w:after="120"/>
      </w:pPr>
      <w:r>
        <w:rPr>
          <w:b w:val="0"/>
          <w:i w:val="0"/>
          <w:sz w:val="22"/>
        </w:rPr>
        <w:t>Métricas complementarias (accuracy / precision macro / recall macro): XLM-R 0.5500 / 0.6857 / 0.6184; BETO 0.4700 / 0.7214 / 0.5434; nlptown 0.4750 / 0.4597 / 0.4566; RoBERTuito 0.4050 / 0.7086 / 0.4942. La tabla completa está en results/tabla_comparativa.csv.</w:t>
      </w:r>
    </w:p>
    <w:p>
      <w:pPr>
        <w:spacing w:after="120"/>
      </w:pPr>
      <w:r>
        <w:rPr>
          <w:b w:val="0"/>
          <w:sz w:val="22"/>
        </w:rPr>
        <w:t>El corpus contiene 158 notas positivas, 158 negativas y 84 neutrales. Esta distribución fue generada y no demuestra la frecuencia de notas reales. Accuracy mide la fracción de aciertos; precision, la confiabilidad de las predicciones de cada clase; recall, su detección; F1 combina precision y recall. Reporto el promedio macro para dar el mismo peso a las tres clases y también métricas por clase en el notebook.</w:t>
      </w:r>
      <w:r>
        <w:rPr>
          <w:b w:val="0"/>
          <w:i w:val="0"/>
          <w:sz w:val="22"/>
        </w:rPr>
      </w:r>
    </w:p>
    <w:p>
      <w:pPr>
        <w:pStyle w:val="Ttulo1"/>
        <w:keepNext/>
      </w:pPr>
      <w:r>
        <w:t>4. Análisis de trade-offs: eficiencia frente a precisión</w:t>
      </w:r>
    </w:p>
    <w:p>
      <w:pPr>
        <w:spacing w:after="120"/>
      </w:pPr>
      <w:r>
        <w:rPr>
          <w:i w:val="0"/>
          <w:sz w:val="22"/>
        </w:rPr>
        <w:t>La pregunta no es cuál modelo es mejor en abstracto, sino cuál conviene dado el volumen y las consecuencias de mi caso de uso. Tres tensiones concretas:</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494"/>
        <w:gridCol w:w="6463"/>
      </w:tblGrid>
      <w:tr>
        <w:trPr>
          <w:tblHeader/>
          <w:cantSplit/>
        </w:trPr>
        <w:tc>
          <w:tcPr>
            <w:tcW w:type="dxa" w:w="2494"/>
            <w:shd w:val="clear" w:color="auto" w:fill="072146"/>
          </w:tcPr>
          <w:p>
            <w:pPr>
              <w:keepNext/>
            </w:pPr>
            <w:r/>
            <w:r>
              <w:rPr>
                <w:b/>
                <w:color w:val="FFFFFF"/>
                <w:sz w:val="18"/>
              </w:rPr>
              <w:t>Tensión</w:t>
            </w:r>
          </w:p>
        </w:tc>
        <w:tc>
          <w:tcPr>
            <w:tcW w:type="dxa" w:w="6463"/>
            <w:shd w:val="clear" w:color="auto" w:fill="072146"/>
          </w:tcPr>
          <w:p>
            <w:r/>
            <w:r>
              <w:rPr>
                <w:b/>
                <w:color w:val="FFFFFF"/>
                <w:sz w:val="18"/>
              </w:rPr>
              <w:t>Cómo se resuelve en este caso</w:t>
            </w:r>
          </w:p>
        </w:tc>
      </w:tr>
      <w:tr>
        <w:trPr>
          <w:cantSplit/>
        </w:trPr>
        <w:tc>
          <w:tcPr>
            <w:tcW w:type="dxa" w:w="2494"/>
          </w:tcPr>
          <w:p>
            <w:r/>
            <w:r>
              <w:rPr>
                <w:b/>
                <w:sz w:val="18"/>
              </w:rPr>
              <w:t>Precisión frente a latencia</w:t>
            </w:r>
          </w:p>
        </w:tc>
        <w:tc>
          <w:tcPr>
            <w:tcW w:type="dxa" w:w="6463"/>
          </w:tcPr>
          <w:p>
            <w:r/>
            <w:r>
              <w:rPr>
                <w:sz w:val="18"/>
              </w:rPr>
              <w:t>XLM-R tiene el mayor F1 (0.5544) y 3.02 ms/nota en lote. Los cuatro cumplen la meta experimental de latencia, pero ninguno la de calidad. La rapidez no habilita la automatización.</w:t>
            </w:r>
          </w:p>
        </w:tc>
      </w:tr>
      <w:tr>
        <w:trPr>
          <w:cantSplit/>
        </w:trPr>
        <w:tc>
          <w:tcPr>
            <w:tcW w:type="dxa" w:w="2494"/>
          </w:tcPr>
          <w:p>
            <w:r/>
            <w:r>
              <w:rPr>
                <w:b/>
                <w:sz w:val="18"/>
              </w:rPr>
              <w:t>Tamaño frente a desempeño</w:t>
            </w:r>
          </w:p>
        </w:tc>
        <w:tc>
          <w:tcPr>
            <w:tcW w:type="dxa" w:w="6463"/>
          </w:tcPr>
          <w:p>
            <w:r/>
            <w:r>
              <w:rPr>
                <w:sz w:val="18"/>
              </w:rPr>
              <w:t>XLM-R tiene 278.0 M de parámetros frente a 108.8 M de RoBERTuito y mejora 0.1997 de F1. El mayor tamaño aporta señal en este corpus, aunque falta medir memoria máxima.</w:t>
            </w:r>
          </w:p>
        </w:tc>
      </w:tr>
      <w:tr>
        <w:trPr>
          <w:cantSplit/>
        </w:trPr>
        <w:tc>
          <w:tcPr>
            <w:tcW w:type="dxa" w:w="2494"/>
          </w:tcPr>
          <w:p>
            <w:r/>
            <w:r>
              <w:rPr>
                <w:b/>
                <w:sz w:val="18"/>
              </w:rPr>
              <w:t>Español específico frente a multilingüe</w:t>
            </w:r>
          </w:p>
        </w:tc>
        <w:tc>
          <w:tcPr>
            <w:tcW w:type="dxa" w:w="6463"/>
          </w:tcPr>
          <w:p>
            <w:r/>
            <w:r>
              <w:rPr>
                <w:sz w:val="18"/>
              </w:rPr>
              <w:t>Los modelos específicos de español no ganaron. nlptown lideró las negaciones (52.7 %), mientras XLM-R ganó globalmente. El idioma por sí solo no resuelve el cambio de dominio.</w:t>
            </w:r>
          </w:p>
        </w:tc>
      </w:tr>
    </w:tbl>
    <w:p>
      <w:pPr>
        <w:spacing w:after="200"/>
        <w:jc w:val="center"/>
      </w:pPr>
      <w:r>
        <w:rPr>
          <w:i/>
          <w:sz w:val="18"/>
        </w:rPr>
        <w:t>Tabla 5. Tensiones de diseño y criterio de resolución. Elaboración propia.</w:t>
      </w:r>
    </w:p>
    <w:p>
      <w:pPr>
        <w:spacing w:after="120"/>
      </w:pPr>
      <w:r>
        <w:rPr>
          <w:b w:val="0"/>
          <w:sz w:val="22"/>
        </w:rPr>
        <w:t>Recursos y costo. Los cuatro modelos se ejecutaron secuencialmente en una T4 de 15,360 MiB. No se midió el pico de VRAM y no lo estimo como hecho. XLM-R cargó en 21.6 s y mostró 21.9 ms de latencia unitaria media, p95 39.6 ms. Colab tiene disponibilidad y cuotas variables; no hay factura de infraestructura productiva. El costo total debe incluir datos, integración, supervisión y mantenimiento.</w:t>
      </w:r>
      <w:r>
        <w:rPr>
          <w:b w:val="0"/>
          <w:i w:val="0"/>
          <w:sz w:val="22"/>
        </w:rPr>
      </w:r>
    </w:p>
    <w:p>
      <w:pPr>
        <w:pStyle w:val="Ttulo1"/>
        <w:keepNext/>
      </w:pPr>
      <w:r>
        <w:t>5. Decisiones de ajuste mínimo</w:t>
      </w:r>
    </w:p>
    <w:p>
      <w:pPr>
        <w:spacing w:after="120"/>
      </w:pPr>
      <w:r>
        <w:rPr>
          <w:b w:val="0"/>
          <w:i w:val="0"/>
          <w:sz w:val="22"/>
        </w:rPr>
        <w:t>Conservé el mapeo de etiquetas de la corrida para no atribuirle resultados a otro método. Evalué descriptivamente la abstención y comparé subgrupos con y sin prefijo. La eliminación de prefijos es una hipótesis pendiente de ablación pareada; no afirmo que haya mejorado el modelo.</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84"/>
        <w:gridCol w:w="2608"/>
        <w:gridCol w:w="3061"/>
        <w:gridCol w:w="1304"/>
      </w:tblGrid>
      <w:tr>
        <w:trPr>
          <w:tblHeader/>
          <w:cantSplit/>
        </w:trPr>
        <w:tc>
          <w:tcPr>
            <w:tcW w:type="dxa" w:w="1984"/>
            <w:shd w:val="clear" w:color="auto" w:fill="072146"/>
          </w:tcPr>
          <w:p>
            <w:pPr>
              <w:keepNext/>
            </w:pPr>
            <w:r/>
            <w:r>
              <w:rPr>
                <w:b/>
                <w:color w:val="FFFFFF"/>
                <w:sz w:val="17"/>
              </w:rPr>
              <w:t>Ajuste</w:t>
            </w:r>
          </w:p>
        </w:tc>
        <w:tc>
          <w:tcPr>
            <w:tcW w:type="dxa" w:w="2608"/>
            <w:shd w:val="clear" w:color="auto" w:fill="072146"/>
          </w:tcPr>
          <w:p>
            <w:r/>
            <w:r>
              <w:rPr>
                <w:b/>
                <w:color w:val="FFFFFF"/>
                <w:sz w:val="17"/>
              </w:rPr>
              <w:t>En qué consiste</w:t>
            </w:r>
          </w:p>
        </w:tc>
        <w:tc>
          <w:tcPr>
            <w:tcW w:type="dxa" w:w="3061"/>
            <w:shd w:val="clear" w:color="auto" w:fill="072146"/>
          </w:tcPr>
          <w:p>
            <w:r/>
            <w:r>
              <w:rPr>
                <w:b/>
                <w:color w:val="FFFFFF"/>
                <w:sz w:val="17"/>
              </w:rPr>
              <w:t>Por qué</w:t>
            </w:r>
          </w:p>
        </w:tc>
        <w:tc>
          <w:tcPr>
            <w:tcW w:type="dxa" w:w="1304"/>
            <w:shd w:val="clear" w:color="auto" w:fill="072146"/>
          </w:tcPr>
          <w:p>
            <w:r/>
            <w:r>
              <w:rPr>
                <w:b/>
                <w:color w:val="FFFFFF"/>
                <w:sz w:val="17"/>
              </w:rPr>
              <w:t>Costo</w:t>
            </w:r>
          </w:p>
        </w:tc>
      </w:tr>
      <w:tr>
        <w:trPr>
          <w:cantSplit/>
        </w:trPr>
        <w:tc>
          <w:tcPr>
            <w:tcW w:type="dxa" w:w="1984"/>
          </w:tcPr>
          <w:p>
            <w:r/>
            <w:r>
              <w:rPr>
                <w:b/>
                <w:sz w:val="17"/>
              </w:rPr>
              <w:t>A1. Mapeo de etiquetas</w:t>
            </w:r>
          </w:p>
        </w:tc>
        <w:tc>
          <w:tcPr>
            <w:tcW w:type="dxa" w:w="2608"/>
          </w:tcPr>
          <w:p>
            <w:r/>
            <w:r>
              <w:rPr>
                <w:sz w:val="17"/>
              </w:rPr>
              <w:t>Se toma la etiqueta top-1; en nlptown se mapea 1–2 / 3 / 4–5 estrellas. Su score no es una probabilidad agregada de tres clases.</w:t>
            </w:r>
          </w:p>
        </w:tc>
        <w:tc>
          <w:tcPr>
            <w:tcW w:type="dxa" w:w="3061"/>
          </w:tcPr>
          <w:p>
            <w:r/>
            <w:r>
              <w:rPr>
                <w:sz w:val="17"/>
              </w:rPr>
              <w:t>Sin esto los modelos no son comparables. El mapeo de estrellas a tres clases es una decisión de criterio, no un detalle: 3 estrellas se trata como NEUTRAL.</w:t>
            </w:r>
          </w:p>
        </w:tc>
        <w:tc>
          <w:tcPr>
            <w:tcW w:type="dxa" w:w="1304"/>
          </w:tcPr>
          <w:p>
            <w:r/>
            <w:r>
              <w:rPr>
                <w:sz w:val="17"/>
              </w:rPr>
              <w:t>Nulo</w:t>
            </w:r>
          </w:p>
        </w:tc>
      </w:tr>
      <w:tr>
        <w:trPr>
          <w:cantSplit/>
        </w:trPr>
        <w:tc>
          <w:tcPr>
            <w:tcW w:type="dxa" w:w="1984"/>
          </w:tcPr>
          <w:p>
            <w:r/>
            <w:r>
              <w:rPr>
                <w:b/>
                <w:sz w:val="17"/>
              </w:rPr>
              <w:t>A2. Análisis de prefijos</w:t>
            </w:r>
          </w:p>
        </w:tc>
        <w:tc>
          <w:tcPr>
            <w:tcW w:type="dxa" w:w="2608"/>
          </w:tcPr>
          <w:p>
            <w:r/>
            <w:r>
              <w:rPr>
                <w:sz w:val="17"/>
              </w:rPr>
              <w:t>Comparación observacional: accuracy 0.546 con prefijo y 0.556 sin prefijo en XLM-R. No se eliminaron para medir una mejora.</w:t>
            </w:r>
          </w:p>
        </w:tc>
        <w:tc>
          <w:tcPr>
            <w:tcW w:type="dxa" w:w="3061"/>
          </w:tcPr>
          <w:p>
            <w:r/>
            <w:r>
              <w:rPr>
                <w:sz w:val="17"/>
              </w:rPr>
              <w:t>Los grupos difieren en contenido. Se requiere comparar cada misma nota antes y después de limpiar el prefijo.</w:t>
            </w:r>
          </w:p>
        </w:tc>
        <w:tc>
          <w:tcPr>
            <w:tcW w:type="dxa" w:w="1304"/>
          </w:tcPr>
          <w:p>
            <w:r/>
            <w:r>
              <w:rPr>
                <w:sz w:val="17"/>
              </w:rPr>
              <w:t>Ablación pendiente</w:t>
            </w:r>
          </w:p>
        </w:tc>
      </w:tr>
      <w:tr>
        <w:trPr>
          <w:cantSplit/>
        </w:trPr>
        <w:tc>
          <w:tcPr>
            <w:tcW w:type="dxa" w:w="1984"/>
          </w:tcPr>
          <w:p>
            <w:r/>
            <w:r>
              <w:rPr>
                <w:b/>
                <w:sz w:val="17"/>
              </w:rPr>
              <w:t>A3. Umbral de confianza con abstención</w:t>
            </w:r>
          </w:p>
        </w:tc>
        <w:tc>
          <w:tcPr>
            <w:tcW w:type="dxa" w:w="2608"/>
          </w:tcPr>
          <w:p>
            <w:r/>
            <w:r>
              <w:rPr>
                <w:sz w:val="17"/>
              </w:rPr>
              <w:t>Se ensayan umbrales de score; ninguno cumple calidad y cobertura. No se habilita señal automática.</w:t>
            </w:r>
          </w:p>
        </w:tc>
        <w:tc>
          <w:tcPr>
            <w:tcW w:type="dxa" w:w="3061"/>
          </w:tcPr>
          <w:p>
            <w:r/>
            <w:r>
              <w:rPr>
                <w:sz w:val="17"/>
              </w:rPr>
              <w:t>Convierte la incertidumbre del modelo en una decisión de proceso. Es el control de supervisión humana efectiva del prototipo.</w:t>
            </w:r>
          </w:p>
        </w:tc>
        <w:tc>
          <w:tcPr>
            <w:tcW w:type="dxa" w:w="1304"/>
          </w:tcPr>
          <w:p>
            <w:r/>
            <w:r>
              <w:rPr>
                <w:sz w:val="17"/>
              </w:rPr>
              <w:t>Pérdida de cobertura automática, medida en la celda 11</w:t>
            </w:r>
          </w:p>
        </w:tc>
      </w:tr>
    </w:tbl>
    <w:p>
      <w:pPr>
        <w:spacing w:after="200"/>
        <w:jc w:val="center"/>
      </w:pPr>
      <w:r>
        <w:rPr>
          <w:i/>
          <w:sz w:val="18"/>
        </w:rPr>
        <w:t>Tabla 6. Ajustes mínimos aplicados. Elaboración propia a partir del Tema 10.</w:t>
      </w:r>
    </w:p>
    <w:p>
      <w:pPr>
        <w:spacing w:after="120"/>
      </w:pPr>
      <w:r>
        <w:rPr>
          <w:b w:val="0"/>
          <w:sz w:val="22"/>
        </w:rPr>
        <w:t>No hice fine-tuning. Un corpus sintético derivado de plantillas puede favorecer la memorización de patrones. Antes de ajustar un modelo, separaría las plantillas entre validación y prueba, incorporaría notas autorizadas del dominio y mediría acuerdo entre al menos tres especialistas. La curva de confianza actual usa el mismo conjunto de comparación: es exploratoria, no una calibración independiente.</w:t>
      </w:r>
      <w:r>
        <w:rPr>
          <w:b w:val="0"/>
          <w:i w:val="0"/>
          <w:sz w:val="22"/>
        </w:rPr>
      </w:r>
    </w:p>
    <w:p>
      <w:pPr>
        <w:pStyle w:val="Ttulo1"/>
        <w:keepNext/>
      </w:pPr>
      <w:r>
        <w:t>6. Justificación del modelo recomendado</w:t>
      </w:r>
    </w:p>
    <w:p>
      <w:pPr>
        <w:spacing w:after="120"/>
      </w:pPr>
      <w:r>
        <w:rPr>
          <w:b/>
          <w:sz w:val="22"/>
        </w:rPr>
        <w:t>Modelo recomendado para continuar experimentando: XLM-R Twitter. Para operación bancaria automática: ninguno.</w:t>
      </w:r>
      <w:r>
        <w:rPr>
          <w:i w:val="0"/>
          <w:sz w:val="22"/>
        </w:rPr>
      </w:r>
    </w:p>
    <w:p>
      <w:pPr>
        <w:spacing w:after="120"/>
      </w:pPr>
      <w:r>
        <w:rPr>
          <w:b w:val="0"/>
          <w:i w:val="0"/>
          <w:sz w:val="22"/>
        </w:rPr>
        <w:t>La decisión se apoya en resultados observados y en los límites del caso, sin convertir el mayor puntaje del grupo en una aprobación productiva:</w:t>
      </w:r>
    </w:p>
    <w:p>
      <w:pPr>
        <w:pStyle w:val="Prrafodelista"/>
        <w:numPr>
          <w:ilvl w:val="0"/>
          <w:numId w:val="2"/>
        </w:numPr>
        <w:spacing w:after="60"/>
      </w:pPr>
      <w:r>
        <w:rPr>
          <w:b w:val="0"/>
          <w:sz w:val="22"/>
        </w:rPr>
        <w:t>Desempeño global: F1 macro 0.5544 frente a 0.4719 de BETO; ventaja de 0.0825. Su accuracy es 0.5500 y el recall de POSITIVO es 0.411: todavía pierde muchas señales.</w:t>
      </w:r>
    </w:p>
    <w:p>
      <w:pPr>
        <w:pStyle w:val="Prrafodelista"/>
        <w:numPr>
          <w:ilvl w:val="0"/>
          <w:numId w:val="2"/>
        </w:numPr>
        <w:spacing w:after="60"/>
      </w:pPr>
      <w:r>
        <w:rPr>
          <w:b w:val="0"/>
          <w:sz w:val="22"/>
        </w:rPr>
        <w:t>Subconjunto crítico: acierta 40.5 % de 74 negaciones; falla 44. nlptown llega a 52.7 %, aun insuficiente frente al objetivo del 85 %. XLM-R acierta 50.9 % en contraste.</w:t>
      </w:r>
    </w:p>
    <w:p>
      <w:pPr>
        <w:pStyle w:val="Prrafodelista"/>
        <w:numPr>
          <w:ilvl w:val="0"/>
          <w:numId w:val="2"/>
        </w:numPr>
        <w:spacing w:after="60"/>
      </w:pPr>
      <w:r>
        <w:rPr>
          <w:b w:val="0"/>
          <w:sz w:val="22"/>
        </w:rPr>
        <w:t>La brecha accuracy–F1 de XLM-R es pequeña (0.0044 en valor absoluto). Esto no prueba ausencia de sesgo: la matriz revela exceso de NEUTRAL y baja detección de POSITIVO.</w:t>
      </w:r>
    </w:p>
    <w:p>
      <w:pPr>
        <w:pStyle w:val="Prrafodelista"/>
        <w:numPr>
          <w:ilvl w:val="0"/>
          <w:numId w:val="2"/>
        </w:numPr>
        <w:spacing w:after="60"/>
      </w:pPr>
      <w:r>
        <w:rPr>
          <w:b w:val="0"/>
          <w:sz w:val="22"/>
        </w:rPr>
        <w:t>Condiciones prácticas: XLM-R se descarga sin aprobación manual, pero su licencia requiere aclaración antes de cualquier uso comercial. BETO suma una advertencia de retiro.</w:t>
      </w:r>
    </w:p>
    <w:p>
      <w:pPr>
        <w:pStyle w:val="Prrafodelista"/>
        <w:numPr>
          <w:ilvl w:val="0"/>
          <w:numId w:val="2"/>
        </w:numPr>
        <w:spacing w:after="60"/>
      </w:pPr>
      <w:r>
        <w:rPr>
          <w:b w:val="0"/>
          <w:sz w:val="22"/>
        </w:rPr>
        <w:t>Eficiencia: 278.0 millones de parámetros y 3.02 ms/nota en lote. Cumple el objetivo experimental de latencia; falta medir memoria máxima, concurrencia y estabilidad del servicio.</w:t>
      </w:r>
    </w:p>
    <w:p>
      <w:pPr>
        <w:spacing w:after="120"/>
      </w:pPr>
      <w:r>
        <w:rPr>
          <w:b w:val="0"/>
          <w:sz w:val="22"/>
        </w:rPr>
        <w:t>La hipótesis de que los modelos específicos de español dominarían las negaciones no se confirmó. El mejor en ese segmento fue nlptown. La conclusión útil es que reconocer sentimiento de redes sociales o reseñas no basta para comprender impacto por activo. Ánimo: el experimento también sirve para evitar una decisión prematura.</w:t>
      </w:r>
      <w:r>
        <w:rPr>
          <w:b w:val="0"/>
          <w:i w:val="0"/>
          <w:sz w:val="22"/>
        </w:rPr>
      </w:r>
    </w:p>
    <w:p>
      <w:pPr>
        <w:pStyle w:val="Ttulo1"/>
        <w:keepNext/>
      </w:pPr>
      <w:r>
        <w:t>7. Umbrales y riesgos</w:t>
      </w:r>
    </w:p>
    <w:p>
      <w:pPr>
        <w:spacing w:after="120"/>
      </w:pPr>
      <w:r>
        <w:rPr>
          <w:b w:val="0"/>
          <w:sz w:val="22"/>
        </w:rPr>
        <w:t>No hay U1 habilitado. Ningún umbral probado logra exactitud superior al 90 % y cobertura de al menos 70 %. A 0.50 la cobertura es 89.0 % y la exactitud 56.7 %; a 0.70 son 34.8 % y 77.7 %. A 0.90 no se acepta ninguna nota: la exactitud es indefinida, no 100 %. Se mantiene revisión humana total.</w:t>
      </w:r>
      <w:r>
        <w:rPr>
          <w:b w:val="0"/>
          <w:i w:val="0"/>
          <w:sz w:val="22"/>
        </w:rPr>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61"/>
        <w:gridCol w:w="4649"/>
        <w:gridCol w:w="1247"/>
      </w:tblGrid>
      <w:tr>
        <w:trPr>
          <w:tblHeader/>
          <w:cantSplit/>
        </w:trPr>
        <w:tc>
          <w:tcPr>
            <w:tcW w:type="dxa" w:w="3061"/>
            <w:shd w:val="clear" w:color="auto" w:fill="072146"/>
          </w:tcPr>
          <w:p>
            <w:pPr>
              <w:keepNext/>
            </w:pPr>
            <w:r/>
            <w:r>
              <w:rPr>
                <w:b/>
                <w:color w:val="FFFFFF"/>
                <w:sz w:val="17"/>
              </w:rPr>
              <w:t>Umbral</w:t>
            </w:r>
          </w:p>
        </w:tc>
        <w:tc>
          <w:tcPr>
            <w:tcW w:type="dxa" w:w="4649"/>
            <w:shd w:val="clear" w:color="auto" w:fill="072146"/>
          </w:tcPr>
          <w:p>
            <w:r/>
            <w:r>
              <w:rPr>
                <w:b/>
                <w:color w:val="FFFFFF"/>
                <w:sz w:val="17"/>
              </w:rPr>
              <w:t>Regla de operación</w:t>
            </w:r>
          </w:p>
        </w:tc>
        <w:tc>
          <w:tcPr>
            <w:tcW w:type="dxa" w:w="1247"/>
            <w:shd w:val="clear" w:color="auto" w:fill="072146"/>
          </w:tcPr>
          <w:p>
            <w:r/>
            <w:r>
              <w:rPr>
                <w:b/>
                <w:color w:val="FFFFFF"/>
                <w:sz w:val="17"/>
              </w:rPr>
              <w:t>Valor</w:t>
            </w:r>
          </w:p>
        </w:tc>
      </w:tr>
      <w:tr>
        <w:trPr>
          <w:cantSplit/>
        </w:trPr>
        <w:tc>
          <w:tcPr>
            <w:tcW w:type="dxa" w:w="3061"/>
          </w:tcPr>
          <w:p>
            <w:r/>
            <w:r>
              <w:rPr>
                <w:b/>
                <w:sz w:val="17"/>
              </w:rPr>
              <w:t>U1. Confianza mínima para emitir señal</w:t>
            </w:r>
          </w:p>
        </w:tc>
        <w:tc>
          <w:tcPr>
            <w:tcW w:type="dxa" w:w="4649"/>
          </w:tcPr>
          <w:p>
            <w:r/>
            <w:r>
              <w:rPr>
                <w:sz w:val="17"/>
              </w:rPr>
              <w:t>Por debajo, la nota pasa a revisión del asesor y no genera señal automática</w:t>
            </w:r>
          </w:p>
        </w:tc>
        <w:tc>
          <w:tcPr>
            <w:tcW w:type="dxa" w:w="1247"/>
          </w:tcPr>
          <w:p>
            <w:r/>
            <w:r>
              <w:rPr>
                <w:sz w:val="17"/>
              </w:rPr>
              <w:t>No habilitado</w:t>
            </w:r>
          </w:p>
        </w:tc>
      </w:tr>
      <w:tr>
        <w:trPr>
          <w:cantSplit/>
        </w:trPr>
        <w:tc>
          <w:tcPr>
            <w:tcW w:type="dxa" w:w="3061"/>
          </w:tcPr>
          <w:p>
            <w:r/>
            <w:r>
              <w:rPr>
                <w:b/>
                <w:sz w:val="17"/>
              </w:rPr>
              <w:t>U2. Cobertura automática mínima aceptable</w:t>
            </w:r>
          </w:p>
        </w:tc>
        <w:tc>
          <w:tcPr>
            <w:tcW w:type="dxa" w:w="4649"/>
          </w:tcPr>
          <w:p>
            <w:r/>
            <w:r>
              <w:rPr>
                <w:sz w:val="17"/>
              </w:rPr>
              <w:t>Si cae por debajo, el modelo no está aportando eficiencia y hay que recalibrar</w:t>
            </w:r>
          </w:p>
        </w:tc>
        <w:tc>
          <w:tcPr>
            <w:tcW w:type="dxa" w:w="1247"/>
          </w:tcPr>
          <w:p>
            <w:r/>
            <w:r>
              <w:rPr>
                <w:sz w:val="17"/>
              </w:rPr>
              <w:t>70 %</w:t>
            </w:r>
          </w:p>
        </w:tc>
      </w:tr>
      <w:tr>
        <w:trPr>
          <w:cantSplit/>
        </w:trPr>
        <w:tc>
          <w:tcPr>
            <w:tcW w:type="dxa" w:w="3061"/>
          </w:tcPr>
          <w:p>
            <w:r/>
            <w:r>
              <w:rPr>
                <w:b/>
                <w:sz w:val="17"/>
              </w:rPr>
              <w:t>U3. Exactitud mínima sobre notas aceptadas</w:t>
            </w:r>
          </w:p>
        </w:tc>
        <w:tc>
          <w:tcPr>
            <w:tcW w:type="dxa" w:w="4649"/>
          </w:tcPr>
          <w:p>
            <w:r/>
            <w:r>
              <w:rPr>
                <w:sz w:val="17"/>
              </w:rPr>
              <w:t>Meta experimental; toda propuesta financiera conserva revisión humana</w:t>
            </w:r>
          </w:p>
        </w:tc>
        <w:tc>
          <w:tcPr>
            <w:tcW w:type="dxa" w:w="1247"/>
          </w:tcPr>
          <w:p>
            <w:r/>
            <w:r>
              <w:rPr>
                <w:sz w:val="17"/>
              </w:rPr>
              <w:t>&gt; 90 % (no logrado)</w:t>
            </w:r>
          </w:p>
        </w:tc>
      </w:tr>
      <w:tr>
        <w:trPr>
          <w:cantSplit/>
        </w:trPr>
        <w:tc>
          <w:tcPr>
            <w:tcW w:type="dxa" w:w="3061"/>
          </w:tcPr>
          <w:p>
            <w:r/>
            <w:r>
              <w:rPr>
                <w:b/>
                <w:sz w:val="17"/>
              </w:rPr>
              <w:t>U4. Exactitud mínima en notas con negación</w:t>
            </w:r>
          </w:p>
        </w:tc>
        <w:tc>
          <w:tcPr>
            <w:tcW w:type="dxa" w:w="4649"/>
          </w:tcPr>
          <w:p>
            <w:r/>
            <w:r>
              <w:rPr>
                <w:sz w:val="17"/>
              </w:rPr>
              <w:t>Subconjunto crítico; por debajo se desactiva la emisión automática</w:t>
            </w:r>
          </w:p>
        </w:tc>
        <w:tc>
          <w:tcPr>
            <w:tcW w:type="dxa" w:w="1247"/>
          </w:tcPr>
          <w:p>
            <w:r/>
            <w:r>
              <w:rPr>
                <w:sz w:val="17"/>
              </w:rPr>
              <w:t>85 % (no logrado)</w:t>
            </w:r>
          </w:p>
        </w:tc>
      </w:tr>
      <w:tr>
        <w:trPr>
          <w:cantSplit/>
        </w:trPr>
        <w:tc>
          <w:tcPr>
            <w:tcW w:type="dxa" w:w="3061"/>
          </w:tcPr>
          <w:p>
            <w:r/>
            <w:r>
              <w:rPr>
                <w:b/>
                <w:sz w:val="17"/>
              </w:rPr>
              <w:t>U5. Caída máxima tolerada entre revisiones trimestrales</w:t>
            </w:r>
          </w:p>
        </w:tc>
        <w:tc>
          <w:tcPr>
            <w:tcW w:type="dxa" w:w="4649"/>
          </w:tcPr>
          <w:p>
            <w:r/>
            <w:r>
              <w:rPr>
                <w:sz w:val="17"/>
              </w:rPr>
              <w:t>Detecta deriva del dominio; dispara reentrenamiento o cambio de modelo</w:t>
            </w:r>
          </w:p>
        </w:tc>
        <w:tc>
          <w:tcPr>
            <w:tcW w:type="dxa" w:w="1247"/>
          </w:tcPr>
          <w:p>
            <w:r/>
            <w:r>
              <w:rPr>
                <w:sz w:val="17"/>
              </w:rPr>
              <w:t>5 puntos de F1</w:t>
            </w:r>
          </w:p>
        </w:tc>
      </w:tr>
    </w:tbl>
    <w:p>
      <w:pPr>
        <w:spacing w:after="200"/>
        <w:jc w:val="center"/>
      </w:pPr>
      <w:r>
        <w:rPr>
          <w:i/>
          <w:sz w:val="18"/>
        </w:rPr>
        <w:t>Tabla 7. Umbrales de operación del prototipo. Elaboración propia.</w:t>
      </w:r>
    </w:p>
    <w:p>
      <w:pPr>
        <w:spacing w:after="120"/>
      </w:pPr>
      <w:r>
        <w:rPr>
          <w:b/>
          <w:sz w:val="22"/>
        </w:rPr>
        <w:t xml:space="preserve">Riesgos. </w:t>
      </w:r>
      <w:r>
        <w:rPr>
          <w:i w:val="0"/>
          <w:sz w:val="22"/>
        </w:rPr>
        <w:t>Los organizo en las cuatro categorías que venimos usando en la materia: sesgo, ética y privacidad, explicabilidad y mantenimiento.</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76"/>
        <w:gridCol w:w="1354"/>
        <w:gridCol w:w="2520"/>
        <w:gridCol w:w="720"/>
        <w:gridCol w:w="720"/>
        <w:gridCol w:w="3053"/>
      </w:tblGrid>
      <w:tr>
        <w:trPr>
          <w:tblHeader/>
          <w:cantSplit/>
        </w:trPr>
        <w:tc>
          <w:tcPr>
            <w:tcW w:type="dxa" w:w="576"/>
            <w:shd w:val="clear" w:color="auto" w:fill="072146"/>
          </w:tcPr>
          <w:p>
            <w:pPr>
              <w:keepNext/>
            </w:pPr>
            <w:r/>
            <w:r>
              <w:rPr>
                <w:b/>
                <w:color w:val="FFFFFF"/>
                <w:sz w:val="16"/>
              </w:rPr>
              <w:t>ID</w:t>
            </w:r>
          </w:p>
        </w:tc>
        <w:tc>
          <w:tcPr>
            <w:tcW w:type="dxa" w:w="1354"/>
            <w:shd w:val="clear" w:color="auto" w:fill="072146"/>
          </w:tcPr>
          <w:p>
            <w:r/>
            <w:r>
              <w:rPr>
                <w:b/>
                <w:color w:val="FFFFFF"/>
                <w:sz w:val="16"/>
              </w:rPr>
              <w:t>Categoría</w:t>
            </w:r>
          </w:p>
        </w:tc>
        <w:tc>
          <w:tcPr>
            <w:tcW w:type="dxa" w:w="2520"/>
            <w:shd w:val="clear" w:color="auto" w:fill="072146"/>
          </w:tcPr>
          <w:p>
            <w:r/>
            <w:r>
              <w:rPr>
                <w:b/>
                <w:color w:val="FFFFFF"/>
                <w:sz w:val="16"/>
              </w:rPr>
              <w:t>Riesgo</w:t>
            </w:r>
          </w:p>
        </w:tc>
        <w:tc>
          <w:tcPr>
            <w:tcW w:type="dxa" w:w="720"/>
            <w:shd w:val="clear" w:color="auto" w:fill="072146"/>
          </w:tcPr>
          <w:p>
            <w:r/>
            <w:r>
              <w:rPr>
                <w:b/>
                <w:color w:val="FFFFFF"/>
                <w:sz w:val="16"/>
              </w:rPr>
              <w:t>Prob.</w:t>
            </w:r>
            <w:r/>
          </w:p>
        </w:tc>
        <w:tc>
          <w:tcPr>
            <w:tcW w:type="dxa" w:w="720"/>
            <w:shd w:val="clear" w:color="auto" w:fill="072146"/>
          </w:tcPr>
          <w:p>
            <w:r/>
            <w:r>
              <w:rPr>
                <w:b/>
                <w:color w:val="FFFFFF"/>
                <w:sz w:val="16"/>
              </w:rPr>
              <w:t>Imp.</w:t>
            </w:r>
          </w:p>
        </w:tc>
        <w:tc>
          <w:tcPr>
            <w:tcW w:type="dxa" w:w="3053"/>
            <w:shd w:val="clear" w:color="auto" w:fill="072146"/>
          </w:tcPr>
          <w:p>
            <w:r/>
            <w:r>
              <w:rPr>
                <w:b/>
                <w:color w:val="FFFFFF"/>
                <w:sz w:val="16"/>
              </w:rPr>
              <w:t>Mitigación</w:t>
            </w:r>
          </w:p>
        </w:tc>
      </w:tr>
      <w:tr>
        <w:trPr>
          <w:cantSplit/>
        </w:trPr>
        <w:tc>
          <w:tcPr>
            <w:tcW w:type="dxa" w:w="576"/>
          </w:tcPr>
          <w:p>
            <w:r/>
            <w:r>
              <w:rPr>
                <w:sz w:val="16"/>
              </w:rPr>
              <w:t>R-01</w:t>
            </w:r>
          </w:p>
        </w:tc>
        <w:tc>
          <w:tcPr>
            <w:tcW w:type="dxa" w:w="1354"/>
          </w:tcPr>
          <w:p>
            <w:r/>
            <w:r>
              <w:rPr>
                <w:sz w:val="16"/>
              </w:rPr>
              <w:t>Sesgo</w:t>
            </w:r>
          </w:p>
        </w:tc>
        <w:tc>
          <w:tcPr>
            <w:tcW w:type="dxa" w:w="2520"/>
          </w:tcPr>
          <w:p>
            <w:r/>
            <w:r>
              <w:rPr>
                <w:sz w:val="16"/>
              </w:rPr>
              <w:t>Los cuatro modelos fueron entrenados con texto de redes sociales y reseñas, no con lenguaje financiero. Pueden leer el registro formal de la mesa como neutro y perder señal.</w:t>
            </w:r>
          </w:p>
        </w:tc>
        <w:tc>
          <w:tcPr>
            <w:tcW w:type="dxa" w:w="720"/>
          </w:tcPr>
          <w:p>
            <w:r/>
            <w:r>
              <w:rPr>
                <w:sz w:val="16"/>
              </w:rPr>
              <w:t>Alta</w:t>
            </w:r>
          </w:p>
        </w:tc>
        <w:tc>
          <w:tcPr>
            <w:tcW w:type="dxa" w:w="720"/>
          </w:tcPr>
          <w:p>
            <w:r/>
            <w:r>
              <w:rPr>
                <w:sz w:val="16"/>
              </w:rPr>
              <w:t>Alta</w:t>
            </w:r>
          </w:p>
        </w:tc>
        <w:tc>
          <w:tcPr>
            <w:tcW w:type="dxa" w:w="3053"/>
          </w:tcPr>
          <w:p>
            <w:r/>
            <w:r>
              <w:rPr>
                <w:sz w:val="16"/>
              </w:rPr>
              <w:t>Evaluación sobre corpus propio, que es lo que hace este reporte. Umbral de abstención y revisión trimestral con notas nuevas.</w:t>
            </w:r>
          </w:p>
        </w:tc>
      </w:tr>
      <w:tr>
        <w:trPr>
          <w:cantSplit/>
        </w:trPr>
        <w:tc>
          <w:tcPr>
            <w:tcW w:type="dxa" w:w="576"/>
          </w:tcPr>
          <w:p>
            <w:r/>
            <w:r>
              <w:rPr>
                <w:sz w:val="16"/>
              </w:rPr>
              <w:t>R-02</w:t>
            </w:r>
          </w:p>
        </w:tc>
        <w:tc>
          <w:tcPr>
            <w:tcW w:type="dxa" w:w="1354"/>
          </w:tcPr>
          <w:p>
            <w:r/>
            <w:r>
              <w:rPr>
                <w:sz w:val="16"/>
              </w:rPr>
              <w:t>Sesgo</w:t>
            </w:r>
          </w:p>
        </w:tc>
        <w:tc>
          <w:tcPr>
            <w:tcW w:type="dxa" w:w="2520"/>
          </w:tcPr>
          <w:p>
            <w:r/>
            <w:r>
              <w:rPr>
                <w:sz w:val="16"/>
              </w:rPr>
              <w:t>El corpus lo etiqueté yo solo. Mi criterio de qué es POSITIVO queda incrustado en la medición y en cualquier ajuste posterior.</w:t>
            </w:r>
          </w:p>
        </w:tc>
        <w:tc>
          <w:tcPr>
            <w:tcW w:type="dxa" w:w="720"/>
          </w:tcPr>
          <w:p>
            <w:r/>
            <w:r>
              <w:rPr>
                <w:sz w:val="16"/>
              </w:rPr>
              <w:t>Alta</w:t>
            </w:r>
          </w:p>
        </w:tc>
        <w:tc>
          <w:tcPr>
            <w:tcW w:type="dxa" w:w="720"/>
          </w:tcPr>
          <w:p>
            <w:r/>
            <w:r>
              <w:rPr>
                <w:sz w:val="16"/>
              </w:rPr>
              <w:t>Media</w:t>
            </w:r>
          </w:p>
        </w:tc>
        <w:tc>
          <w:tcPr>
            <w:tcW w:type="dxa" w:w="3053"/>
          </w:tcPr>
          <w:p>
            <w:r/>
            <w:r>
              <w:rPr>
                <w:sz w:val="16"/>
              </w:rPr>
              <w:t>Declarado como limitación. Antes de cualquier fine-tuning, etiquetado por tres personas de la mesa con medición de acuerdo entre evaluadores.</w:t>
            </w:r>
          </w:p>
        </w:tc>
      </w:tr>
      <w:tr>
        <w:trPr>
          <w:cantSplit/>
        </w:trPr>
        <w:tc>
          <w:tcPr>
            <w:tcW w:type="dxa" w:w="576"/>
          </w:tcPr>
          <w:p>
            <w:r/>
            <w:r>
              <w:rPr>
                <w:sz w:val="16"/>
              </w:rPr>
              <w:t>R-03</w:t>
            </w:r>
          </w:p>
        </w:tc>
        <w:tc>
          <w:tcPr>
            <w:tcW w:type="dxa" w:w="1354"/>
          </w:tcPr>
          <w:p>
            <w:r/>
            <w:r>
              <w:rPr>
                <w:sz w:val="16"/>
              </w:rPr>
              <w:t>Ética y privacidad</w:t>
            </w:r>
          </w:p>
        </w:tc>
        <w:tc>
          <w:tcPr>
            <w:tcW w:type="dxa" w:w="2520"/>
          </w:tcPr>
          <w:p>
            <w:r/>
            <w:r>
              <w:rPr>
                <w:sz w:val="16"/>
              </w:rPr>
              <w:t>Enviar notas internas o datos de clientes a un servicio externo de inferencia.</w:t>
            </w:r>
          </w:p>
        </w:tc>
        <w:tc>
          <w:tcPr>
            <w:tcW w:type="dxa" w:w="720"/>
          </w:tcPr>
          <w:p>
            <w:r/>
            <w:r>
              <w:rPr>
                <w:sz w:val="16"/>
              </w:rPr>
              <w:t>Media</w:t>
            </w:r>
          </w:p>
        </w:tc>
        <w:tc>
          <w:tcPr>
            <w:tcW w:type="dxa" w:w="720"/>
          </w:tcPr>
          <w:p>
            <w:r/>
            <w:r>
              <w:rPr>
                <w:sz w:val="16"/>
              </w:rPr>
              <w:t>Alta</w:t>
            </w:r>
          </w:p>
        </w:tc>
        <w:tc>
          <w:tcPr>
            <w:tcW w:type="dxa" w:w="3053"/>
          </w:tcPr>
          <w:p>
            <w:r/>
            <w:r>
              <w:rPr>
                <w:sz w:val="16"/>
              </w:rPr>
              <w:t>Datos sintéticos en Colab. Para operación bancaria, evaluación de seguridad y entorno aprobado antes de tratar datos internos.</w:t>
            </w:r>
          </w:p>
        </w:tc>
      </w:tr>
      <w:tr>
        <w:trPr>
          <w:cantSplit/>
        </w:trPr>
        <w:tc>
          <w:tcPr>
            <w:tcW w:type="dxa" w:w="576"/>
          </w:tcPr>
          <w:p>
            <w:r/>
            <w:r>
              <w:rPr>
                <w:sz w:val="16"/>
              </w:rPr>
              <w:t>R-04</w:t>
            </w:r>
          </w:p>
        </w:tc>
        <w:tc>
          <w:tcPr>
            <w:tcW w:type="dxa" w:w="1354"/>
          </w:tcPr>
          <w:p>
            <w:r/>
            <w:r>
              <w:rPr>
                <w:sz w:val="16"/>
              </w:rPr>
              <w:t>Ética y privacidad</w:t>
            </w:r>
          </w:p>
        </w:tc>
        <w:tc>
          <w:tcPr>
            <w:tcW w:type="dxa" w:w="2520"/>
          </w:tcPr>
          <w:p>
            <w:r/>
            <w:r>
              <w:rPr>
                <w:sz w:val="16"/>
              </w:rPr>
              <w:t>Que una señal mal clasificada derive en una recomendación no idónea para el perfil del cliente.</w:t>
            </w:r>
          </w:p>
        </w:tc>
        <w:tc>
          <w:tcPr>
            <w:tcW w:type="dxa" w:w="720"/>
          </w:tcPr>
          <w:p>
            <w:r/>
            <w:r>
              <w:rPr>
                <w:sz w:val="16"/>
              </w:rPr>
              <w:t>Media</w:t>
            </w:r>
          </w:p>
        </w:tc>
        <w:tc>
          <w:tcPr>
            <w:tcW w:type="dxa" w:w="720"/>
          </w:tcPr>
          <w:p>
            <w:r/>
            <w:r>
              <w:rPr>
                <w:sz w:val="16"/>
              </w:rPr>
              <w:t>Alta</w:t>
            </w:r>
          </w:p>
        </w:tc>
        <w:tc>
          <w:tcPr>
            <w:tcW w:type="dxa" w:w="3053"/>
          </w:tcPr>
          <w:p>
            <w:r/>
            <w:r>
              <w:rPr>
                <w:sz w:val="16"/>
              </w:rPr>
              <w:t>Sin órdenes automáticas. Verificar perfil, horizonte, liquidez y beneficio neto; todas las propuestas requieren criterio del asesor y autorización del cliente.</w:t>
            </w:r>
          </w:p>
        </w:tc>
      </w:tr>
      <w:tr>
        <w:trPr>
          <w:cantSplit/>
        </w:trPr>
        <w:tc>
          <w:tcPr>
            <w:tcW w:type="dxa" w:w="576"/>
          </w:tcPr>
          <w:p>
            <w:r/>
            <w:r>
              <w:rPr>
                <w:sz w:val="16"/>
              </w:rPr>
              <w:t>R-05</w:t>
            </w:r>
          </w:p>
        </w:tc>
        <w:tc>
          <w:tcPr>
            <w:tcW w:type="dxa" w:w="1354"/>
          </w:tcPr>
          <w:p>
            <w:r/>
            <w:r>
              <w:rPr>
                <w:sz w:val="16"/>
              </w:rPr>
              <w:t>Explicabilidad</w:t>
            </w:r>
          </w:p>
        </w:tc>
        <w:tc>
          <w:tcPr>
            <w:tcW w:type="dxa" w:w="2520"/>
          </w:tcPr>
          <w:p>
            <w:r/>
            <w:r>
              <w:rPr>
                <w:sz w:val="16"/>
              </w:rPr>
              <w:t>El modelo entrega una etiqueta y una confianza, no una razón. El asesor no puede defender ante el cliente una señal que no sabe explicar.</w:t>
            </w:r>
          </w:p>
        </w:tc>
        <w:tc>
          <w:tcPr>
            <w:tcW w:type="dxa" w:w="720"/>
          </w:tcPr>
          <w:p>
            <w:r/>
            <w:r>
              <w:rPr>
                <w:sz w:val="16"/>
              </w:rPr>
              <w:t>Alta</w:t>
            </w:r>
          </w:p>
        </w:tc>
        <w:tc>
          <w:tcPr>
            <w:tcW w:type="dxa" w:w="720"/>
          </w:tcPr>
          <w:p>
            <w:r/>
            <w:r>
              <w:rPr>
                <w:sz w:val="16"/>
              </w:rPr>
              <w:t>Media</w:t>
            </w:r>
          </w:p>
        </w:tc>
        <w:tc>
          <w:tcPr>
            <w:tcW w:type="dxa" w:w="3053"/>
          </w:tcPr>
          <w:p>
            <w:r/>
            <w:r>
              <w:rPr>
                <w:sz w:val="16"/>
              </w:rPr>
              <w:t>Toda señal se entrega con la nota que la originó, su fuente y su fecha. El asesor lee el texto, no solo la etiqueta.</w:t>
            </w:r>
          </w:p>
        </w:tc>
      </w:tr>
      <w:tr>
        <w:trPr>
          <w:cantSplit/>
        </w:trPr>
        <w:tc>
          <w:tcPr>
            <w:tcW w:type="dxa" w:w="576"/>
          </w:tcPr>
          <w:p>
            <w:r/>
            <w:r>
              <w:rPr>
                <w:sz w:val="16"/>
              </w:rPr>
              <w:t>R-06</w:t>
            </w:r>
          </w:p>
        </w:tc>
        <w:tc>
          <w:tcPr>
            <w:tcW w:type="dxa" w:w="1354"/>
          </w:tcPr>
          <w:p>
            <w:r/>
            <w:r>
              <w:rPr>
                <w:sz w:val="16"/>
              </w:rPr>
              <w:t>Mantenimiento</w:t>
            </w:r>
          </w:p>
        </w:tc>
        <w:tc>
          <w:tcPr>
            <w:tcW w:type="dxa" w:w="2520"/>
          </w:tcPr>
          <w:p>
            <w:r/>
            <w:r>
              <w:rPr>
                <w:sz w:val="16"/>
              </w:rPr>
              <w:t>Deriva del dominio: el vocabulario del mercado cambia y el desempeño se degrada en silencio.</w:t>
            </w:r>
          </w:p>
        </w:tc>
        <w:tc>
          <w:tcPr>
            <w:tcW w:type="dxa" w:w="720"/>
          </w:tcPr>
          <w:p>
            <w:r/>
            <w:r>
              <w:rPr>
                <w:sz w:val="16"/>
              </w:rPr>
              <w:t>Alta</w:t>
            </w:r>
          </w:p>
        </w:tc>
        <w:tc>
          <w:tcPr>
            <w:tcW w:type="dxa" w:w="720"/>
          </w:tcPr>
          <w:p>
            <w:r/>
            <w:r>
              <w:rPr>
                <w:sz w:val="16"/>
              </w:rPr>
              <w:t>Media</w:t>
            </w:r>
          </w:p>
        </w:tc>
        <w:tc>
          <w:tcPr>
            <w:tcW w:type="dxa" w:w="3053"/>
          </w:tcPr>
          <w:p>
            <w:r/>
            <w:r>
              <w:rPr>
                <w:sz w:val="16"/>
              </w:rPr>
              <w:t>Umbral U5: revisión trimestral sobre notas nuevas. Caída mayor a 5 puntos de F1 dispara recalibración o cambio de modelo.</w:t>
            </w:r>
          </w:p>
        </w:tc>
      </w:tr>
      <w:tr>
        <w:trPr>
          <w:cantSplit/>
        </w:trPr>
        <w:tc>
          <w:tcPr>
            <w:tcW w:type="dxa" w:w="576"/>
          </w:tcPr>
          <w:p>
            <w:r/>
            <w:r>
              <w:rPr>
                <w:sz w:val="16"/>
              </w:rPr>
              <w:t>R-07</w:t>
            </w:r>
          </w:p>
        </w:tc>
        <w:tc>
          <w:tcPr>
            <w:tcW w:type="dxa" w:w="1354"/>
          </w:tcPr>
          <w:p>
            <w:r/>
            <w:r>
              <w:rPr>
                <w:sz w:val="16"/>
              </w:rPr>
              <w:t>Mantenimiento</w:t>
            </w:r>
          </w:p>
        </w:tc>
        <w:tc>
          <w:tcPr>
            <w:tcW w:type="dxa" w:w="2520"/>
          </w:tcPr>
          <w:p>
            <w:r/>
            <w:r>
              <w:rPr>
                <w:sz w:val="16"/>
              </w:rPr>
              <w:t>Dependencia de un repositorio público de terceros que puede cambiar o desaparecer.</w:t>
            </w:r>
          </w:p>
        </w:tc>
        <w:tc>
          <w:tcPr>
            <w:tcW w:type="dxa" w:w="720"/>
          </w:tcPr>
          <w:p>
            <w:r/>
            <w:r>
              <w:rPr>
                <w:sz w:val="16"/>
              </w:rPr>
              <w:t>Media</w:t>
            </w:r>
          </w:p>
        </w:tc>
        <w:tc>
          <w:tcPr>
            <w:tcW w:type="dxa" w:w="720"/>
          </w:tcPr>
          <w:p>
            <w:r/>
            <w:r>
              <w:rPr>
                <w:sz w:val="16"/>
              </w:rPr>
              <w:t>Media</w:t>
            </w:r>
          </w:p>
        </w:tc>
        <w:tc>
          <w:tcPr>
            <w:tcW w:type="dxa" w:w="3053"/>
          </w:tcPr>
          <w:p>
            <w:r/>
            <w:r>
              <w:rPr>
                <w:sz w:val="16"/>
              </w:rPr>
              <w:t>Registrar revisión exacta del modelo y entorno. BETO tiene aviso de retiro. No redistribuir pesos sin verificar su licencia.</w:t>
            </w:r>
          </w:p>
        </w:tc>
      </w:tr>
    </w:tbl>
    <w:p>
      <w:pPr>
        <w:spacing w:after="200"/>
        <w:jc w:val="center"/>
      </w:pPr>
      <w:r>
        <w:rPr>
          <w:i/>
          <w:sz w:val="18"/>
        </w:rPr>
        <w:t>Tabla 8. Riesgos del prototipo y su mitigación. Elaboración propia.</w:t>
      </w:r>
    </w:p>
    <w:p>
      <w:pPr>
        <w:pStyle w:val="Ttulo1"/>
        <w:keepNext/>
      </w:pPr>
      <w:r>
        <w:t>8. Conclusiones</w:t>
      </w:r>
    </w:p>
    <w:p>
      <w:pPr>
        <w:spacing w:after="120"/>
      </w:pPr>
      <w:r>
        <w:rPr>
          <w:b w:val="0"/>
          <w:i w:val="0"/>
          <w:sz w:val="22"/>
        </w:rPr>
        <w:t>Primera. XLM-R lidera la comparación global, pero sus resultados no permiten automatizar recomendaciones. Un benchmark académico puede ser correcto aunque el modelo todavía no resuelva el problema de negocio.</w:t>
      </w:r>
    </w:p>
    <w:p>
      <w:pPr>
        <w:spacing w:after="120"/>
      </w:pPr>
      <w:r>
        <w:rPr>
          <w:b w:val="0"/>
          <w:i w:val="0"/>
          <w:sz w:val="22"/>
        </w:rPr>
        <w:t>Segunda. Mi control económico exige beneficio neto esperado positivo, perfil compatible y autorización del asesor. Con persistencia didáctica de 35 %, una brecha histórica de 3 puntos aporta solo 1.05 puntos proyectados: no cubre el costo supuesto de 2 %. Por tanto, ese caso debe bloquearse. El histórico no garantiza rendimiento futuro.</w:t>
      </w:r>
    </w:p>
    <w:p>
      <w:pPr>
        <w:spacing w:after="120"/>
      </w:pPr>
      <w:r>
        <w:rPr>
          <w:b w:val="0"/>
          <w:i w:val="0"/>
          <w:sz w:val="22"/>
        </w:rPr>
        <w:t>Tercera. Consulté 61 fichas DICI, que cubren los 59 fondos del anaquel, y extraje 693 registros de comisiones por serie con enlaces y fecha. En BBVACOR serie P, el total publicado es 1.44 %: administración 0.40 %, distribución 0.85 % y otros conceptos. Se valida siempre la serie y la vigencia; no todo ese gasto corresponde a ingreso del banquero.</w:t>
      </w:r>
    </w:p>
    <w:p>
      <w:pPr>
        <w:spacing w:after="120"/>
      </w:pPr>
      <w:r>
        <w:rPr>
          <w:b w:val="0"/>
          <w:i w:val="0"/>
          <w:sz w:val="22"/>
        </w:rPr>
        <w:t>Mi siguiente fase es validar etiquetas con especialistas, probar comprensión por activo y comprobar beneficio neto fuera de muestra. Mientras tanto, el asistente organiza información para que yo revise, sin emitir órdenes. La inteligencia artificial no sustituye el criterio del banquero; lo aumenta.</w:t>
      </w:r>
    </w:p>
    <w:p>
      <w:pPr>
        <w:pStyle w:val="Ttulo1"/>
      </w:pPr>
      <w:r>
        <w:t>Referencias bibliográficas</w:t>
      </w:r>
    </w:p>
    <w:p>
      <w:pPr>
        <w:spacing w:after="120"/>
      </w:pPr>
      <w:r>
        <w:t>Referencias de documentos, modelos y materiales utilizados.</w:t>
      </w:r>
    </w:p>
    <w:p>
      <w:pPr>
        <w:spacing w:after="80"/>
      </w:pPr>
      <w:r>
        <w:rPr>
          <w:b w:val="0"/>
          <w:i w:val="0"/>
          <w:sz w:val="19"/>
        </w:rPr>
        <w:t>BBVA México. (2026). Anaquel con rendimientos históricos, 8 de octubre [PDF proporcionado para el ejercicio].</w:t>
      </w:r>
    </w:p>
    <w:p>
      <w:pPr>
        <w:spacing w:after="80"/>
      </w:pPr>
      <w:r>
        <w:rPr>
          <w:b w:val="0"/>
          <w:i w:val="0"/>
          <w:sz w:val="19"/>
        </w:rPr>
        <w:t>BBVA México. (s. f.). Normativa de fondos de inversión y documentos con información clave. Consultados el 11 de octubre de 2026. https://www.bbva.mx/personas/productos/inversion/normativa-de-fondos.html</w:t>
      </w:r>
    </w:p>
    <w:p>
      <w:pPr>
        <w:spacing w:after="80"/>
      </w:pPr>
      <w:r>
        <w:rPr>
          <w:b w:val="0"/>
          <w:i w:val="0"/>
          <w:sz w:val="19"/>
        </w:rPr>
        <w:t>Cardiff NLP. (s. f.). twitter-xlm-roberta-base-sentiment [Tarjeta y modelo]. https://huggingface.co/cardiffnlp/twitter-xlm-roberta-base-sentiment</w:t>
      </w:r>
    </w:p>
    <w:p>
      <w:pPr>
        <w:spacing w:after="80"/>
      </w:pPr>
      <w:r>
        <w:rPr>
          <w:b w:val="0"/>
          <w:i w:val="0"/>
          <w:sz w:val="19"/>
        </w:rPr>
        <w:t>finiteautomata. (s. f.). beto-sentiment-analysis [Tarjeta y restricciones de uso]. https://huggingface.co/finiteautomata/beto-sentiment-analysis</w:t>
      </w:r>
    </w:p>
    <w:p>
      <w:pPr>
        <w:spacing w:after="80"/>
      </w:pPr>
      <w:r>
        <w:rPr>
          <w:b w:val="0"/>
          <w:i w:val="0"/>
          <w:sz w:val="19"/>
        </w:rPr>
        <w:t>Hugging Face. (s. f.). Documentación de Transformers. https://huggingface.co/docs/transformers/index</w:t>
      </w:r>
    </w:p>
    <w:p>
      <w:pPr>
        <w:spacing w:after="80"/>
      </w:pPr>
      <w:r>
        <w:rPr>
          <w:b w:val="0"/>
          <w:i w:val="0"/>
          <w:sz w:val="19"/>
        </w:rPr>
        <w:t>nlptown. (s. f.). bert-base-multilingual-uncased-sentiment [Tarjeta y licencia MIT]. https://huggingface.co/nlptown/bert-base-multilingual-uncased-sentiment</w:t>
      </w:r>
    </w:p>
    <w:p>
      <w:pPr>
        <w:spacing w:after="80"/>
      </w:pPr>
      <w:r>
        <w:rPr>
          <w:b w:val="0"/>
          <w:i w:val="0"/>
          <w:sz w:val="19"/>
        </w:rPr>
        <w:t>pysentimiento. (s. f.). robertuito-sentiment-analysis [Tarjeta y modelo]. https://huggingface.co/pysentimiento/robertuito-sentiment-analysis</w:t>
      </w:r>
    </w:p>
    <w:p>
      <w:pPr>
        <w:spacing w:after="80"/>
      </w:pPr>
      <w:r>
        <w:rPr>
          <w:b w:val="0"/>
          <w:i w:val="0"/>
          <w:sz w:val="19"/>
        </w:rPr>
        <w:t>Scikit-learn developers. (s. f.). Model evaluation. https://scikit-learn.org/stable/modules/model_evaluation.html</w:t>
      </w:r>
    </w:p>
    <w:p>
      <w:pPr>
        <w:spacing w:after="80"/>
      </w:pPr>
      <w:r>
        <w:rPr>
          <w:b w:val="0"/>
          <w:i w:val="0"/>
          <w:sz w:val="19"/>
        </w:rPr>
        <w:t>Universidad Tecmilenio. (2026). Temas 9 y 10 y rúbrica de la Actividad 4 [Material del curso].</w:t>
      </w:r>
    </w:p>
    <w:p>
      <w:pPr>
        <w:spacing w:after="80"/>
      </w:pPr>
      <w:r>
        <w:rPr>
          <w:b w:val="0"/>
          <w:i w:val="0"/>
          <w:sz w:val="19"/>
        </w:rPr>
        <w:t>Material complementario del curso. Carpeta compartida: https://drive.google.com/drive/folders/1xGlq9JXEOOmDoM9NMUs6pquDIDbEZijE</w:t>
      </w:r>
    </w:p>
    <w:p>
      <w:pPr>
        <w:spacing w:after="80"/>
      </w:pPr>
      <w:r>
        <w:rPr>
          <w:b w:val="0"/>
          <w:i w:val="0"/>
          <w:sz w:val="19"/>
        </w:rPr>
        <w:t>Repositorio de esta actividad: https://github.com/eduardoaburtoa/motor-senales-nlp</w:t>
      </w:r>
    </w:p>
    <w:p>
      <w:pPr>
        <w:spacing w:after="80"/>
      </w:pPr>
      <w:r>
        <w:rPr>
          <w:b w:val="0"/>
          <w:i w:val="0"/>
          <w:sz w:val="19"/>
        </w:rPr>
        <w:t>Hugging Face Models distribuye checkpoints y tarjetas; Datasets permite cargar y versionar corpus; Spaces aloja demostraciones. En esta actividad uso Models y un CSV propio. No afirmo haber publicado un Space ni un dataset en el Hub.</w:t>
      </w:r>
    </w:p>
    <w:p>
      <w:pPr>
        <w:pStyle w:val="Ttulo1"/>
        <w:keepNext/>
      </w:pPr>
      <w:r>
        <w:t>Anexo A. Dataset y scripts de soporte</w:t>
      </w:r>
    </w:p>
    <w:p>
      <w:pPr>
        <w:pStyle w:val="Ttulo2"/>
        <w:keepNext/>
      </w:pPr>
      <w:r>
        <w:t>A.1 Origen de los datos</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1701"/>
        <w:gridCol w:w="1474"/>
        <w:gridCol w:w="3742"/>
      </w:tblGrid>
      <w:tr>
        <w:trPr>
          <w:tblHeader/>
          <w:cantSplit/>
        </w:trPr>
        <w:tc>
          <w:tcPr>
            <w:tcW w:type="dxa" w:w="2041"/>
            <w:shd w:val="clear" w:color="auto" w:fill="072146"/>
          </w:tcPr>
          <w:p>
            <w:pPr>
              <w:keepNext/>
            </w:pPr>
            <w:r/>
            <w:r>
              <w:rPr>
                <w:b/>
                <w:color w:val="FFFFFF"/>
                <w:sz w:val="17"/>
              </w:rPr>
              <w:t>Archivo</w:t>
            </w:r>
          </w:p>
        </w:tc>
        <w:tc>
          <w:tcPr>
            <w:tcW w:type="dxa" w:w="1701"/>
            <w:shd w:val="clear" w:color="auto" w:fill="072146"/>
          </w:tcPr>
          <w:p>
            <w:r/>
            <w:r>
              <w:rPr>
                <w:b/>
                <w:color w:val="FFFFFF"/>
                <w:sz w:val="17"/>
              </w:rPr>
              <w:t>Registros</w:t>
            </w:r>
          </w:p>
        </w:tc>
        <w:tc>
          <w:tcPr>
            <w:tcW w:type="dxa" w:w="1474"/>
            <w:shd w:val="clear" w:color="auto" w:fill="072146"/>
          </w:tcPr>
          <w:p>
            <w:r/>
            <w:r>
              <w:rPr>
                <w:b/>
                <w:color w:val="FFFFFF"/>
                <w:sz w:val="17"/>
              </w:rPr>
              <w:t>Naturaleza</w:t>
            </w:r>
          </w:p>
        </w:tc>
        <w:tc>
          <w:tcPr>
            <w:tcW w:type="dxa" w:w="3742"/>
            <w:shd w:val="clear" w:color="auto" w:fill="072146"/>
          </w:tcPr>
          <w:p>
            <w:r/>
            <w:r>
              <w:rPr>
                <w:b/>
                <w:color w:val="FFFFFF"/>
                <w:sz w:val="17"/>
              </w:rPr>
              <w:t>Origen</w:t>
            </w:r>
          </w:p>
        </w:tc>
      </w:tr>
      <w:tr>
        <w:trPr>
          <w:cantSplit/>
        </w:trPr>
        <w:tc>
          <w:tcPr>
            <w:tcW w:type="dxa" w:w="2041"/>
          </w:tcPr>
          <w:p>
            <w:r/>
            <w:r>
              <w:rPr>
                <w:b/>
                <w:sz w:val="17"/>
              </w:rPr>
              <w:t>catalogo_fondos.csv</w:t>
            </w:r>
          </w:p>
        </w:tc>
        <w:tc>
          <w:tcPr>
            <w:tcW w:type="dxa" w:w="1701"/>
          </w:tcPr>
          <w:p>
            <w:r/>
            <w:r>
              <w:rPr>
                <w:sz w:val="17"/>
              </w:rPr>
              <w:t>484 registros · 59 fondos</w:t>
            </w:r>
          </w:p>
        </w:tc>
        <w:tc>
          <w:tcPr>
            <w:tcW w:type="dxa" w:w="1474"/>
          </w:tcPr>
          <w:p>
            <w:r/>
            <w:r>
              <w:rPr>
                <w:sz w:val="17"/>
              </w:rPr>
              <w:t>Real</w:t>
            </w:r>
          </w:p>
        </w:tc>
        <w:tc>
          <w:tcPr>
            <w:tcW w:type="dxa" w:w="3742"/>
          </w:tcPr>
          <w:p>
            <w:r/>
            <w:r>
              <w:rPr>
                <w:sz w:val="17"/>
              </w:rPr>
              <w:t>Anaquel con Rendimientos Históricos de BBVA México, 08/10/2026 (documento público), procesado con src/parse_anaquel.py</w:t>
            </w:r>
          </w:p>
        </w:tc>
      </w:tr>
      <w:tr>
        <w:trPr>
          <w:cantSplit/>
        </w:trPr>
        <w:tc>
          <w:tcPr>
            <w:tcW w:type="dxa" w:w="2041"/>
          </w:tcPr>
          <w:p>
            <w:r/>
            <w:r>
              <w:rPr>
                <w:b/>
                <w:sz w:val="17"/>
              </w:rPr>
              <w:t>notas_mercado.csv</w:t>
            </w:r>
          </w:p>
        </w:tc>
        <w:tc>
          <w:tcPr>
            <w:tcW w:type="dxa" w:w="1701"/>
          </w:tcPr>
          <w:p>
            <w:r/>
            <w:r>
              <w:rPr>
                <w:sz w:val="17"/>
              </w:rPr>
              <w:t>400 notas</w:t>
            </w:r>
          </w:p>
        </w:tc>
        <w:tc>
          <w:tcPr>
            <w:tcW w:type="dxa" w:w="1474"/>
          </w:tcPr>
          <w:p>
            <w:r/>
            <w:r>
              <w:rPr>
                <w:sz w:val="17"/>
              </w:rPr>
              <w:t>Sintético, declarado</w:t>
            </w:r>
          </w:p>
        </w:tc>
        <w:tc>
          <w:tcPr>
            <w:tcW w:type="dxa" w:w="3742"/>
          </w:tcPr>
          <w:p>
            <w:r/>
            <w:r>
              <w:rPr>
                <w:sz w:val="17"/>
              </w:rPr>
              <w:t>Generado con src/build_dataset.py, semilla 20261008</w:t>
            </w:r>
          </w:p>
        </w:tc>
      </w:tr>
      <w:tr>
        <w:trPr>
          <w:cantSplit/>
        </w:trPr>
        <w:tc>
          <w:tcPr>
            <w:tcW w:type="dxa" w:w="2041"/>
          </w:tcPr>
          <w:p>
            <w:r/>
            <w:r>
              <w:rPr>
                <w:b/>
                <w:sz w:val="17"/>
              </w:rPr>
              <w:t>clientes_</w:t>
              <w:br/>
              <w:t>simulados.csv</w:t>
            </w:r>
            <w:r/>
          </w:p>
        </w:tc>
        <w:tc>
          <w:tcPr>
            <w:tcW w:type="dxa" w:w="1701"/>
          </w:tcPr>
          <w:p>
            <w:r/>
            <w:r>
              <w:rPr>
                <w:sz w:val="17"/>
              </w:rPr>
              <w:t>150 clientes</w:t>
            </w:r>
          </w:p>
        </w:tc>
        <w:tc>
          <w:tcPr>
            <w:tcW w:type="dxa" w:w="1474"/>
          </w:tcPr>
          <w:p>
            <w:r/>
            <w:r>
              <w:rPr>
                <w:sz w:val="17"/>
              </w:rPr>
              <w:t>Sintético, declarado</w:t>
            </w:r>
          </w:p>
        </w:tc>
        <w:tc>
          <w:tcPr>
            <w:tcW w:type="dxa" w:w="3742"/>
          </w:tcPr>
          <w:p>
            <w:r/>
            <w:r>
              <w:rPr>
                <w:sz w:val="17"/>
              </w:rPr>
              <w:t>Generado con src/build_dataset.py; nombres de superhéroes y villanos</w:t>
            </w:r>
          </w:p>
        </w:tc>
      </w:tr>
    </w:tbl>
    <w:p>
      <w:pPr>
        <w:spacing w:after="200"/>
        <w:jc w:val="center"/>
      </w:pPr>
      <w:r>
        <w:rPr>
          <w:i/>
          <w:sz w:val="18"/>
        </w:rPr>
        <w:t>Tabla 9. Origen de los tres archivos de datos.</w:t>
      </w:r>
    </w:p>
    <w:p>
      <w:pPr>
        <w:spacing w:after="120"/>
      </w:pPr>
      <w:r>
        <w:rPr>
          <w:b w:val="0"/>
          <w:i w:val="0"/>
          <w:sz w:val="22"/>
        </w:rPr>
        <w:t>Los 150 clientes son ficticios: superhéroes y villanos permiten asignar personalidades didácticas sin utilizar datos personales reales. El AUM simulado suma $1,831,243,000 MXN. Las notas también son sintéticas; sus fechas y fuentes son campos simulados. Los rendimientos del anaquel y los datos de las DICI provienen de documentos públicos; la clasificación del corpus no valida la idoneidad de un fondo.</w:t>
      </w:r>
    </w:p>
    <w:p>
      <w:pPr>
        <w:pStyle w:val="Ttulo2"/>
        <w:keepNext/>
      </w:pPr>
      <w:r>
        <w:t>A.2 Estructura de notas_mercado.csv</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1020"/>
        <w:gridCol w:w="6123"/>
      </w:tblGrid>
      <w:tr>
        <w:trPr>
          <w:tblHeader/>
          <w:cantSplit/>
        </w:trPr>
        <w:tc>
          <w:tcPr>
            <w:tcW w:type="dxa" w:w="1814"/>
            <w:shd w:val="clear" w:color="auto" w:fill="072146"/>
          </w:tcPr>
          <w:p>
            <w:pPr>
              <w:keepNext/>
            </w:pPr>
            <w:r/>
            <w:r>
              <w:rPr>
                <w:b/>
                <w:color w:val="FFFFFF"/>
                <w:sz w:val="17"/>
              </w:rPr>
              <w:t>Campo</w:t>
            </w:r>
          </w:p>
        </w:tc>
        <w:tc>
          <w:tcPr>
            <w:tcW w:type="dxa" w:w="1020"/>
            <w:shd w:val="clear" w:color="auto" w:fill="072146"/>
          </w:tcPr>
          <w:p>
            <w:r/>
            <w:r>
              <w:rPr>
                <w:b/>
                <w:color w:val="FFFFFF"/>
                <w:sz w:val="17"/>
              </w:rPr>
              <w:t>Tipo</w:t>
            </w:r>
          </w:p>
        </w:tc>
        <w:tc>
          <w:tcPr>
            <w:tcW w:type="dxa" w:w="6123"/>
            <w:shd w:val="clear" w:color="auto" w:fill="072146"/>
          </w:tcPr>
          <w:p>
            <w:r/>
            <w:r>
              <w:rPr>
                <w:b/>
                <w:color w:val="FFFFFF"/>
                <w:sz w:val="17"/>
              </w:rPr>
              <w:t>Descripción</w:t>
            </w:r>
          </w:p>
        </w:tc>
      </w:tr>
      <w:tr>
        <w:trPr>
          <w:cantSplit/>
        </w:trPr>
        <w:tc>
          <w:tcPr>
            <w:tcW w:type="dxa" w:w="1814"/>
          </w:tcPr>
          <w:p>
            <w:r/>
            <w:r>
              <w:rPr>
                <w:b/>
                <w:sz w:val="17"/>
              </w:rPr>
              <w:t>id</w:t>
            </w:r>
          </w:p>
        </w:tc>
        <w:tc>
          <w:tcPr>
            <w:tcW w:type="dxa" w:w="1020"/>
          </w:tcPr>
          <w:p>
            <w:r/>
            <w:r>
              <w:rPr>
                <w:sz w:val="17"/>
              </w:rPr>
              <w:t>Texto</w:t>
            </w:r>
          </w:p>
        </w:tc>
        <w:tc>
          <w:tcPr>
            <w:tcW w:type="dxa" w:w="6123"/>
          </w:tcPr>
          <w:p>
            <w:r/>
            <w:r>
              <w:rPr>
                <w:sz w:val="17"/>
              </w:rPr>
              <w:t>Identificador único de la nota (N0001 a N0400)</w:t>
            </w:r>
          </w:p>
        </w:tc>
      </w:tr>
      <w:tr>
        <w:trPr>
          <w:cantSplit/>
        </w:trPr>
        <w:tc>
          <w:tcPr>
            <w:tcW w:type="dxa" w:w="1814"/>
          </w:tcPr>
          <w:p>
            <w:r/>
            <w:r>
              <w:rPr>
                <w:b/>
                <w:sz w:val="17"/>
              </w:rPr>
              <w:t>fecha</w:t>
            </w:r>
          </w:p>
        </w:tc>
        <w:tc>
          <w:tcPr>
            <w:tcW w:type="dxa" w:w="1020"/>
          </w:tcPr>
          <w:p>
            <w:r/>
            <w:r>
              <w:rPr>
                <w:sz w:val="17"/>
              </w:rPr>
              <w:t>Fecha</w:t>
            </w:r>
          </w:p>
        </w:tc>
        <w:tc>
          <w:tcPr>
            <w:tcW w:type="dxa" w:w="6123"/>
          </w:tcPr>
          <w:p>
            <w:r/>
            <w:r>
              <w:rPr>
                <w:sz w:val="17"/>
              </w:rPr>
              <w:t>Fecha de publicación simulada, dentro del rango 1 al 8 de octubre de 2026</w:t>
            </w:r>
          </w:p>
        </w:tc>
      </w:tr>
      <w:tr>
        <w:trPr>
          <w:cantSplit/>
        </w:trPr>
        <w:tc>
          <w:tcPr>
            <w:tcW w:type="dxa" w:w="1814"/>
          </w:tcPr>
          <w:p>
            <w:r/>
            <w:r>
              <w:rPr>
                <w:b/>
                <w:sz w:val="17"/>
              </w:rPr>
              <w:t>fuente</w:t>
            </w:r>
          </w:p>
        </w:tc>
        <w:tc>
          <w:tcPr>
            <w:tcW w:type="dxa" w:w="1020"/>
          </w:tcPr>
          <w:p>
            <w:r/>
            <w:r>
              <w:rPr>
                <w:sz w:val="17"/>
              </w:rPr>
              <w:t>Categoría</w:t>
            </w:r>
            <w:r/>
          </w:p>
        </w:tc>
        <w:tc>
          <w:tcPr>
            <w:tcW w:type="dxa" w:w="6123"/>
          </w:tcPr>
          <w:p>
            <w:r/>
            <w:r>
              <w:rPr>
                <w:sz w:val="17"/>
              </w:rPr>
              <w:t>Nota de análisis · Prensa financiera · Comunicado oficial · Resumen de mesa</w:t>
            </w:r>
          </w:p>
        </w:tc>
      </w:tr>
      <w:tr>
        <w:trPr>
          <w:cantSplit/>
        </w:trPr>
        <w:tc>
          <w:tcPr>
            <w:tcW w:type="dxa" w:w="1814"/>
          </w:tcPr>
          <w:p>
            <w:r/>
            <w:r>
              <w:rPr>
                <w:b/>
                <w:sz w:val="17"/>
              </w:rPr>
              <w:t>clase_activo</w:t>
            </w:r>
          </w:p>
        </w:tc>
        <w:tc>
          <w:tcPr>
            <w:tcW w:type="dxa" w:w="1020"/>
          </w:tcPr>
          <w:p>
            <w:r/>
            <w:r>
              <w:rPr>
                <w:sz w:val="17"/>
              </w:rPr>
              <w:t>Categoría</w:t>
            </w:r>
            <w:r/>
          </w:p>
        </w:tc>
        <w:tc>
          <w:tcPr>
            <w:tcW w:type="dxa" w:w="6123"/>
          </w:tcPr>
          <w:p>
            <w:r/>
            <w:r>
              <w:rPr>
                <w:sz w:val="17"/>
              </w:rPr>
              <w:t>Deuda Corto Plazo · Deuda Largo Plazo · Renta Variable Nacional · Renta Variable Internacional · Divisas</w:t>
            </w:r>
          </w:p>
        </w:tc>
      </w:tr>
      <w:tr>
        <w:trPr>
          <w:cantSplit/>
        </w:trPr>
        <w:tc>
          <w:tcPr>
            <w:tcW w:type="dxa" w:w="1814"/>
          </w:tcPr>
          <w:p>
            <w:r/>
            <w:r>
              <w:rPr>
                <w:b/>
                <w:sz w:val="17"/>
              </w:rPr>
              <w:t>texto</w:t>
            </w:r>
          </w:p>
        </w:tc>
        <w:tc>
          <w:tcPr>
            <w:tcW w:type="dxa" w:w="1020"/>
          </w:tcPr>
          <w:p>
            <w:r/>
            <w:r>
              <w:rPr>
                <w:sz w:val="17"/>
              </w:rPr>
              <w:t>Texto</w:t>
            </w:r>
          </w:p>
        </w:tc>
        <w:tc>
          <w:tcPr>
            <w:tcW w:type="dxa" w:w="6123"/>
          </w:tcPr>
          <w:p>
            <w:r/>
            <w:r>
              <w:rPr>
                <w:sz w:val="17"/>
              </w:rPr>
              <w:t>Contenido de la nota en español. Longitud media de 25 palabras</w:t>
            </w:r>
          </w:p>
        </w:tc>
      </w:tr>
      <w:tr>
        <w:trPr>
          <w:cantSplit/>
        </w:trPr>
        <w:tc>
          <w:tcPr>
            <w:tcW w:type="dxa" w:w="1814"/>
          </w:tcPr>
          <w:p>
            <w:r/>
            <w:r>
              <w:rPr>
                <w:b/>
                <w:sz w:val="17"/>
              </w:rPr>
              <w:t>impacto</w:t>
            </w:r>
          </w:p>
        </w:tc>
        <w:tc>
          <w:tcPr>
            <w:tcW w:type="dxa" w:w="1020"/>
          </w:tcPr>
          <w:p>
            <w:r/>
            <w:r>
              <w:rPr>
                <w:sz w:val="17"/>
              </w:rPr>
              <w:t>Categoría</w:t>
            </w:r>
            <w:r/>
          </w:p>
        </w:tc>
        <w:tc>
          <w:tcPr>
            <w:tcW w:type="dxa" w:w="6123"/>
          </w:tcPr>
          <w:p>
            <w:r/>
            <w:r>
              <w:rPr>
                <w:sz w:val="17"/>
              </w:rPr>
              <w:t>ETIQUETA OBJETIVO. POSITIVO · NEUTRAL · NEGATIVO</w:t>
            </w:r>
          </w:p>
        </w:tc>
      </w:tr>
      <w:tr>
        <w:trPr>
          <w:cantSplit/>
        </w:trPr>
        <w:tc>
          <w:tcPr>
            <w:tcW w:type="dxa" w:w="1814"/>
          </w:tcPr>
          <w:p>
            <w:r/>
            <w:r>
              <w:rPr>
                <w:b/>
                <w:sz w:val="17"/>
              </w:rPr>
              <w:t>fenomeno</w:t>
            </w:r>
          </w:p>
        </w:tc>
        <w:tc>
          <w:tcPr>
            <w:tcW w:type="dxa" w:w="1020"/>
          </w:tcPr>
          <w:p>
            <w:r/>
            <w:r>
              <w:rPr>
                <w:sz w:val="17"/>
              </w:rPr>
              <w:t>Categoría</w:t>
            </w:r>
            <w:r/>
          </w:p>
        </w:tc>
        <w:tc>
          <w:tcPr>
            <w:tcW w:type="dxa" w:w="6123"/>
          </w:tcPr>
          <w:p>
            <w:r/>
            <w:r>
              <w:rPr>
                <w:sz w:val="17"/>
              </w:rPr>
              <w:t>directo · negacion · contraste · cifra_mixta · condicional</w:t>
            </w:r>
          </w:p>
        </w:tc>
      </w:tr>
      <w:tr>
        <w:trPr>
          <w:cantSplit/>
        </w:trPr>
        <w:tc>
          <w:tcPr>
            <w:tcW w:type="dxa" w:w="1814"/>
          </w:tcPr>
          <w:p>
            <w:r/>
            <w:r>
              <w:rPr>
                <w:b/>
                <w:sz w:val="17"/>
              </w:rPr>
              <w:t>dificultad</w:t>
            </w:r>
          </w:p>
        </w:tc>
        <w:tc>
          <w:tcPr>
            <w:tcW w:type="dxa" w:w="1020"/>
          </w:tcPr>
          <w:p>
            <w:r/>
            <w:r>
              <w:rPr>
                <w:sz w:val="17"/>
              </w:rPr>
              <w:t>Categoría</w:t>
            </w:r>
            <w:r/>
          </w:p>
        </w:tc>
        <w:tc>
          <w:tcPr>
            <w:tcW w:type="dxa" w:w="6123"/>
          </w:tcPr>
          <w:p>
            <w:r/>
            <w:r>
              <w:rPr>
                <w:sz w:val="17"/>
              </w:rPr>
              <w:t>facil · media · dificil. Derivado del fenómeno lingüístico</w:t>
            </w:r>
          </w:p>
        </w:tc>
      </w:tr>
      <w:tr>
        <w:trPr>
          <w:cantSplit/>
        </w:trPr>
        <w:tc>
          <w:tcPr>
            <w:tcW w:type="dxa" w:w="1814"/>
          </w:tcPr>
          <w:p>
            <w:r/>
            <w:r>
              <w:rPr>
                <w:b/>
                <w:sz w:val="17"/>
              </w:rPr>
              <w:t>fondos_</w:t>
              <w:br/>
              <w:t>relacionados</w:t>
            </w:r>
            <w:r/>
          </w:p>
        </w:tc>
        <w:tc>
          <w:tcPr>
            <w:tcW w:type="dxa" w:w="1020"/>
          </w:tcPr>
          <w:p>
            <w:r/>
            <w:r>
              <w:rPr>
                <w:sz w:val="17"/>
              </w:rPr>
              <w:t>Texto</w:t>
            </w:r>
          </w:p>
        </w:tc>
        <w:tc>
          <w:tcPr>
            <w:tcW w:type="dxa" w:w="6123"/>
          </w:tcPr>
          <w:p>
            <w:r/>
            <w:r>
              <w:rPr>
                <w:sz w:val="17"/>
              </w:rPr>
              <w:t>Claves reales de fondos BBVA de esa clase de activo</w:t>
            </w:r>
          </w:p>
        </w:tc>
      </w:tr>
    </w:tbl>
    <w:p>
      <w:pPr>
        <w:spacing w:after="200"/>
        <w:jc w:val="center"/>
      </w:pPr>
      <w:r>
        <w:rPr>
          <w:i/>
          <w:sz w:val="18"/>
        </w:rPr>
        <w:t>Tabla 10. Diccionario de datos del corpus de evaluación.</w:t>
      </w:r>
    </w:p>
    <w:p>
      <w:pPr>
        <w:pStyle w:val="Ttulo2"/>
        <w:keepNext/>
      </w:pPr>
      <w:r>
        <w:t>A.3 Reproducibilidad</w:t>
      </w:r>
    </w:p>
    <w:p>
      <w:pPr>
        <w:spacing w:after="120"/>
      </w:pPr>
      <w:r>
        <w:rPr>
          <w:b w:val="0"/>
          <w:i w:val="0"/>
          <w:sz w:val="22"/>
        </w:rPr>
        <w:t>src/build_dataset.py conserva la semilla 20261008 y reproduce el corpus. src/validate.py comprueba integridad, métricas y reglas económicas; src/parse_anaquel.py reconstruye el catálogo desde texto PDF con diseño preservado. El README documenta los pasos y límites. Los resultados originales no contienen versiones exactas de pesos: la versión corregida registra las revisiones para futuras corridas.</w:t>
      </w:r>
    </w:p>
    <w:p>
      <w:pPr>
        <w:pStyle w:val="Ttulo1"/>
        <w:keepNext/>
      </w:pPr>
      <w:r>
        <w:t>Anexo B. Repositorio y entorno de ejecución</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7"/>
        <w:gridCol w:w="7030"/>
      </w:tblGrid>
      <w:tr>
        <w:trPr>
          <w:tblHeader/>
          <w:cantSplit/>
        </w:trPr>
        <w:tc>
          <w:tcPr>
            <w:tcW w:type="dxa" w:w="1928"/>
            <w:shd w:val="clear" w:color="auto" w:fill="072146"/>
          </w:tcPr>
          <w:p>
            <w:pPr>
              <w:keepNext/>
            </w:pPr>
            <w:r/>
            <w:r>
              <w:rPr>
                <w:b/>
                <w:color w:val="FFFFFF"/>
                <w:sz w:val="18"/>
              </w:rPr>
              <w:t>Ruta</w:t>
            </w:r>
          </w:p>
        </w:tc>
        <w:tc>
          <w:tcPr>
            <w:tcW w:type="dxa" w:w="7030"/>
            <w:shd w:val="clear" w:color="auto" w:fill="072146"/>
          </w:tcPr>
          <w:p>
            <w:r/>
            <w:r>
              <w:rPr>
                <w:b/>
                <w:color w:val="FFFFFF"/>
                <w:sz w:val="18"/>
              </w:rPr>
              <w:t>Contenido</w:t>
            </w:r>
          </w:p>
        </w:tc>
      </w:tr>
      <w:tr>
        <w:trPr>
          <w:cantSplit/>
        </w:trPr>
        <w:tc>
          <w:tcPr>
            <w:tcW w:type="dxa" w:w="1928"/>
          </w:tcPr>
          <w:p>
            <w:r/>
            <w:r>
              <w:rPr>
                <w:b/>
                <w:sz w:val="18"/>
              </w:rPr>
              <w:t>README.md</w:t>
            </w:r>
          </w:p>
        </w:tc>
        <w:tc>
          <w:tcPr>
            <w:tcW w:type="dxa" w:w="7030"/>
          </w:tcPr>
          <w:p>
            <w:r/>
            <w:r>
              <w:rPr>
                <w:sz w:val="18"/>
              </w:rPr>
              <w:t>Descripción del proyecto, entorno, pasos de ejecución y conclusiones</w:t>
            </w:r>
          </w:p>
        </w:tc>
      </w:tr>
      <w:tr>
        <w:trPr>
          <w:cantSplit/>
        </w:trPr>
        <w:tc>
          <w:tcPr>
            <w:tcW w:type="dxa" w:w="1928"/>
          </w:tcPr>
          <w:p>
            <w:r/>
            <w:r>
              <w:rPr>
                <w:b/>
                <w:sz w:val="18"/>
              </w:rPr>
              <w:t>requirements.txt</w:t>
            </w:r>
          </w:p>
        </w:tc>
        <w:tc>
          <w:tcPr>
            <w:tcW w:type="dxa" w:w="7030"/>
          </w:tcPr>
          <w:p>
            <w:r/>
            <w:r>
              <w:rPr>
                <w:sz w:val="18"/>
              </w:rPr>
              <w:t>Versiones observadas principales y dependencias auxiliares; PyTorch CUDA de Colab</w:t>
            </w:r>
          </w:p>
        </w:tc>
      </w:tr>
      <w:tr>
        <w:trPr>
          <w:cantSplit/>
        </w:trPr>
        <w:tc>
          <w:tcPr>
            <w:tcW w:type="dxa" w:w="1928"/>
          </w:tcPr>
          <w:p>
            <w:r/>
            <w:r>
              <w:rPr>
                <w:b/>
                <w:sz w:val="18"/>
              </w:rPr>
              <w:t>data/</w:t>
            </w:r>
          </w:p>
        </w:tc>
        <w:tc>
          <w:tcPr>
            <w:tcW w:type="dxa" w:w="7030"/>
          </w:tcPr>
          <w:p>
            <w:r/>
            <w:r>
              <w:rPr>
                <w:sz w:val="18"/>
              </w:rPr>
              <w:t>Los tres archivos CSV y su propio README con el diccionario de datos</w:t>
            </w:r>
          </w:p>
        </w:tc>
      </w:tr>
      <w:tr>
        <w:trPr>
          <w:cantSplit/>
        </w:trPr>
        <w:tc>
          <w:tcPr>
            <w:tcW w:type="dxa" w:w="1928"/>
          </w:tcPr>
          <w:p>
            <w:r/>
            <w:r>
              <w:rPr>
                <w:b/>
                <w:sz w:val="18"/>
              </w:rPr>
              <w:t>notebooks/</w:t>
            </w:r>
          </w:p>
        </w:tc>
        <w:tc>
          <w:tcPr>
            <w:tcW w:type="dxa" w:w="7030"/>
          </w:tcPr>
          <w:p>
            <w:r/>
            <w:r>
              <w:rPr>
                <w:sz w:val="18"/>
              </w:rPr>
              <w:t>01_comparacion_modelos_hf.ipynb — el cuaderno de Colab</w:t>
            </w:r>
          </w:p>
        </w:tc>
      </w:tr>
      <w:tr>
        <w:trPr>
          <w:cantSplit/>
        </w:trPr>
        <w:tc>
          <w:tcPr>
            <w:tcW w:type="dxa" w:w="1928"/>
          </w:tcPr>
          <w:p>
            <w:r/>
            <w:r>
              <w:rPr>
                <w:b/>
                <w:sz w:val="18"/>
              </w:rPr>
              <w:t>src/</w:t>
            </w:r>
          </w:p>
        </w:tc>
        <w:tc>
          <w:tcPr>
            <w:tcW w:type="dxa" w:w="7030"/>
          </w:tcPr>
          <w:p>
            <w:r/>
            <w:r>
              <w:rPr>
                <w:sz w:val="18"/>
              </w:rPr>
              <w:t>Generación, parseo, evaluación, validación y control económico didáctico</w:t>
            </w:r>
          </w:p>
        </w:tc>
      </w:tr>
      <w:tr>
        <w:trPr>
          <w:cantSplit/>
        </w:trPr>
        <w:tc>
          <w:tcPr>
            <w:tcW w:type="dxa" w:w="1928"/>
          </w:tcPr>
          <w:p>
            <w:r/>
            <w:r>
              <w:rPr>
                <w:b/>
                <w:sz w:val="18"/>
              </w:rPr>
              <w:t>results/</w:t>
            </w:r>
          </w:p>
        </w:tc>
        <w:tc>
          <w:tcPr>
            <w:tcW w:type="dxa" w:w="7030"/>
          </w:tcPr>
          <w:p>
            <w:r/>
            <w:r>
              <w:rPr>
                <w:sz w:val="18"/>
              </w:rPr>
              <w:t>Tablas y gráficos extraídos de la corrida original; trazabilidad y límites</w:t>
            </w:r>
          </w:p>
        </w:tc>
      </w:tr>
      <w:tr>
        <w:trPr>
          <w:cantSplit/>
        </w:trPr>
        <w:tc>
          <w:tcPr>
            <w:tcW w:type="dxa" w:w="1928"/>
          </w:tcPr>
          <w:p>
            <w:r/>
            <w:r>
              <w:rPr>
                <w:b/>
                <w:sz w:val="18"/>
              </w:rPr>
              <w:t>docs/</w:t>
            </w:r>
          </w:p>
        </w:tc>
        <w:tc>
          <w:tcPr>
            <w:tcW w:type="dxa" w:w="7030"/>
          </w:tcPr>
          <w:p>
            <w:r/>
            <w:r>
              <w:rPr>
                <w:sz w:val="18"/>
              </w:rPr>
              <w:t>Este documento de análisis comparativo</w:t>
            </w:r>
          </w:p>
        </w:tc>
      </w:tr>
    </w:tbl>
    <w:p>
      <w:pPr>
        <w:spacing w:after="200"/>
        <w:jc w:val="center"/>
      </w:pPr>
      <w:r>
        <w:rPr>
          <w:i/>
          <w:sz w:val="18"/>
        </w:rPr>
        <w:t>Tabla 11. Estructura del repositorio.</w:t>
      </w:r>
    </w:p>
    <w:p>
      <w:pPr>
        <w:spacing w:after="120"/>
      </w:pPr>
      <w:r>
        <w:rPr>
          <w:b w:val="0"/>
          <w:sz w:val="22"/>
        </w:rPr>
        <w:t>Entorno observado: Google Colab, Tesla T4, Python 3.13.15, PyTorch 2.11.0+cu130, transformers 5.18.0, huggingface_hub 1.33.0, scikit-learn 1.6.1 y pandas 2.2.3. Lote 32, longitud máxima 256 tokens, calentamiento de 8 notas y latencia unitaria sobre 30. Una sola corrida; no hay intervalo de variabilidad ni medición de pico de VRAM.</w:t>
      </w:r>
      <w:r>
        <w:rPr>
          <w:b w:val="0"/>
          <w:i w:val="0"/>
          <w:sz w:val="22"/>
        </w:rPr>
      </w:r>
    </w:p>
    <w:p>
      <w:pPr>
        <w:pStyle w:val="Ttulo1"/>
        <w:keepNext/>
        <w:pageBreakBefore w:val="0"/>
      </w:pPr>
      <w:r>
        <w:t>Anexo C. Cuadro de cumplimiento de la rúbrica</w:t>
      </w:r>
    </w:p>
    <w:tbl>
      <w:tblPr>
        <w:tblW w:type="dxa" w:w="9639"/>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54"/>
        <w:gridCol w:w="510"/>
        <w:gridCol w:w="2835"/>
        <w:gridCol w:w="4139"/>
      </w:tblGrid>
      <w:tr>
        <w:trPr>
          <w:tblHeader/>
          <w:cantSplit/>
        </w:trPr>
        <w:tc>
          <w:tcPr>
            <w:tcW w:type="dxa" w:w="2154"/>
            <w:shd w:val="clear" w:color="auto" w:fill="072146"/>
          </w:tcPr>
          <w:p>
            <w:pPr>
              <w:keepNext/>
            </w:pPr>
            <w:r/>
            <w:r>
              <w:rPr>
                <w:b/>
                <w:color w:val="FFFFFF"/>
                <w:sz w:val="16"/>
              </w:rPr>
              <w:t>Criterio de la rúbrica</w:t>
            </w:r>
          </w:p>
        </w:tc>
        <w:tc>
          <w:tcPr>
            <w:tcW w:type="dxa" w:w="510"/>
            <w:shd w:val="clear" w:color="auto" w:fill="072146"/>
          </w:tcPr>
          <w:p>
            <w:r/>
            <w:r>
              <w:rPr>
                <w:b/>
                <w:color w:val="FFFFFF"/>
                <w:sz w:val="16"/>
              </w:rPr>
              <w:t>%</w:t>
            </w:r>
          </w:p>
        </w:tc>
        <w:tc>
          <w:tcPr>
            <w:tcW w:type="dxa" w:w="2835"/>
            <w:shd w:val="clear" w:color="auto" w:fill="072146"/>
          </w:tcPr>
          <w:p>
            <w:r/>
            <w:r>
              <w:rPr>
                <w:b/>
                <w:color w:val="FFFFFF"/>
                <w:sz w:val="16"/>
              </w:rPr>
              <w:t>Qué pide</w:t>
            </w:r>
          </w:p>
        </w:tc>
        <w:tc>
          <w:tcPr>
            <w:tcW w:type="dxa" w:w="4139"/>
            <w:shd w:val="clear" w:color="auto" w:fill="072146"/>
          </w:tcPr>
          <w:p>
            <w:r/>
            <w:r>
              <w:rPr>
                <w:b/>
                <w:color w:val="FFFFFF"/>
                <w:sz w:val="16"/>
              </w:rPr>
              <w:t>Dónde se cubre</w:t>
            </w:r>
          </w:p>
        </w:tc>
      </w:tr>
      <w:tr>
        <w:trPr>
          <w:cantSplit/>
        </w:trPr>
        <w:tc>
          <w:tcPr>
            <w:tcW w:type="dxa" w:w="2154"/>
          </w:tcPr>
          <w:p>
            <w:r/>
            <w:r>
              <w:rPr>
                <w:sz w:val="16"/>
              </w:rPr>
              <w:t>1. Selección y análisis de modelos preentrenados</w:t>
            </w:r>
          </w:p>
        </w:tc>
        <w:tc>
          <w:tcPr>
            <w:tcW w:type="dxa" w:w="510"/>
          </w:tcPr>
          <w:p>
            <w:r/>
            <w:r>
              <w:rPr>
                <w:sz w:val="16"/>
              </w:rPr>
              <w:t>25 %</w:t>
            </w:r>
          </w:p>
        </w:tc>
        <w:tc>
          <w:tcPr>
            <w:tcW w:type="dxa" w:w="2835"/>
          </w:tcPr>
          <w:p>
            <w:r/>
            <w:r>
              <w:rPr>
                <w:sz w:val="16"/>
              </w:rPr>
              <w:t>Identificar el ecosistema Hugging Face, definir criterios técnicos y prácticos sólidos y evaluar al menos tres modelos de forma justificada y contextualizada</w:t>
            </w:r>
          </w:p>
        </w:tc>
        <w:tc>
          <w:tcPr>
            <w:tcW w:type="dxa" w:w="4139"/>
          </w:tcPr>
          <w:p>
            <w:r/>
            <w:r>
              <w:rPr>
                <w:sz w:val="16"/>
              </w:rPr>
              <w:t>Secciones 1–3; cuatro modelos, criterios técnicos y prácticos. Models, Datasets y Spaces explicados en el reporte y el cuaderno.</w:t>
            </w:r>
          </w:p>
        </w:tc>
      </w:tr>
      <w:tr>
        <w:trPr>
          <w:cantSplit/>
        </w:trPr>
        <w:tc>
          <w:tcPr>
            <w:tcW w:type="dxa" w:w="2154"/>
          </w:tcPr>
          <w:p>
            <w:r/>
            <w:r>
              <w:rPr>
                <w:sz w:val="16"/>
              </w:rPr>
              <w:t>2. Implementación y prototipado en Google Colab</w:t>
            </w:r>
          </w:p>
        </w:tc>
        <w:tc>
          <w:tcPr>
            <w:tcW w:type="dxa" w:w="510"/>
          </w:tcPr>
          <w:p>
            <w:r/>
            <w:r>
              <w:rPr>
                <w:sz w:val="16"/>
              </w:rPr>
              <w:t>25 %</w:t>
            </w:r>
          </w:p>
        </w:tc>
        <w:tc>
          <w:tcPr>
            <w:tcW w:type="dxa" w:w="2835"/>
          </w:tcPr>
          <w:p>
            <w:r/>
            <w:r>
              <w:rPr>
                <w:sz w:val="16"/>
              </w:rPr>
              <w:t>Implementar correctamente los modelos en Colab con GPU, estructurar el código por celdas y garantizar ejecución reproducible</w:t>
            </w:r>
          </w:p>
        </w:tc>
        <w:tc>
          <w:tcPr>
            <w:tcW w:type="dxa" w:w="4139"/>
          </w:tcPr>
          <w:p>
            <w:r/>
            <w:r>
              <w:rPr>
                <w:sz w:val="16"/>
              </w:rPr>
              <w:t>Notebook ejecutado original con T4 y salidas conservadas; versión corregida con celdas de GPU, dependencias, acceso al Hub, carga, inferencia y exportación.</w:t>
            </w:r>
          </w:p>
        </w:tc>
      </w:tr>
      <w:tr>
        <w:trPr>
          <w:cantSplit/>
        </w:trPr>
        <w:tc>
          <w:tcPr>
            <w:tcW w:type="dxa" w:w="2154"/>
          </w:tcPr>
          <w:p>
            <w:r/>
            <w:r>
              <w:rPr>
                <w:sz w:val="16"/>
              </w:rPr>
              <w:t>3. Evaluación y comparación del desempeño</w:t>
            </w:r>
          </w:p>
        </w:tc>
        <w:tc>
          <w:tcPr>
            <w:tcW w:type="dxa" w:w="510"/>
          </w:tcPr>
          <w:p>
            <w:r/>
            <w:r>
              <w:rPr>
                <w:sz w:val="16"/>
              </w:rPr>
              <w:t>25 %</w:t>
            </w:r>
          </w:p>
        </w:tc>
        <w:tc>
          <w:tcPr>
            <w:tcW w:type="dxa" w:w="2835"/>
          </w:tcPr>
          <w:p>
            <w:r/>
            <w:r>
              <w:rPr>
                <w:sz w:val="16"/>
              </w:rPr>
              <w:t>Aplicar correctamente accuracy, precision, recall y F1-score; comparar resultados y analizar el balance entre eficiencia y precisión</w:t>
            </w:r>
          </w:p>
        </w:tc>
        <w:tc>
          <w:tcPr>
            <w:tcW w:type="dxa" w:w="4139"/>
          </w:tcPr>
          <w:p>
            <w:r/>
            <w:r>
              <w:rPr>
                <w:sz w:val="16"/>
              </w:rPr>
              <w:t>Secciones 3–7; métricas globales y por clase, latencias, errores y curva de umbral. results/ conserva la evidencia y sus limitaciones.</w:t>
            </w:r>
          </w:p>
        </w:tc>
      </w:tr>
      <w:tr>
        <w:trPr>
          <w:cantSplit/>
        </w:trPr>
        <w:tc>
          <w:tcPr>
            <w:tcW w:type="dxa" w:w="2154"/>
          </w:tcPr>
          <w:p>
            <w:r/>
            <w:r>
              <w:rPr>
                <w:sz w:val="16"/>
              </w:rPr>
              <w:t>4. Documentación técnica y justificación final</w:t>
            </w:r>
          </w:p>
        </w:tc>
        <w:tc>
          <w:tcPr>
            <w:tcW w:type="dxa" w:w="510"/>
          </w:tcPr>
          <w:p>
            <w:r/>
            <w:r>
              <w:rPr>
                <w:sz w:val="16"/>
              </w:rPr>
              <w:t>25 %</w:t>
            </w:r>
          </w:p>
        </w:tc>
        <w:tc>
          <w:tcPr>
            <w:tcW w:type="dxa" w:w="2835"/>
          </w:tcPr>
          <w:p>
            <w:r/>
            <w:r>
              <w:rPr>
                <w:sz w:val="16"/>
              </w:rPr>
              <w:t>Documentar de forma clara y estructurada el prototipo, organizar adecuadamente el repositorio y justificar la selección del modelo con base en métricas y objetivos reales</w:t>
            </w:r>
          </w:p>
        </w:tc>
        <w:tc>
          <w:tcPr>
            <w:tcW w:type="dxa" w:w="4139"/>
          </w:tcPr>
          <w:p>
            <w:r/>
            <w:r>
              <w:rPr>
                <w:sz w:val="16"/>
              </w:rPr>
              <w:t>Reporte, README y archivos de soporte. XLM-R se justifica como base experimental; ningún candidato se autoriza para automatizar inversiones.</w:t>
            </w:r>
          </w:p>
        </w:tc>
      </w:tr>
    </w:tbl>
    <w:p>
      <w:pPr>
        <w:spacing w:after="200"/>
        <w:jc w:val="center"/>
      </w:pPr>
      <w:r>
        <w:rPr>
          <w:i/>
          <w:sz w:val="18"/>
        </w:rPr>
        <w:t>Tabla 12. Cuadro de cumplimiento. Elaboración propia.</w:t>
      </w:r>
    </w:p>
    <w:p>
      <w:pPr>
        <w:spacing w:after="120"/>
      </w:pPr>
      <w:r>
        <w:rPr>
          <w:b w:val="0"/>
          <w:i/>
          <w:sz w:val="22"/>
        </w:rPr>
        <w:t>La entrega vincula los cuatro apartados de la rúbrica con evidencia verificable. Las limitaciones de desempeño, licencia y validación se documentan expresamente; completar una actividad académica no equivale a autorizar un sistema de inversión.</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