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108E5A" w14:textId="77777777" w:rsidR="00675304" w:rsidRDefault="00675304">
      <w:pPr>
        <w:spacing w:before="200" w:after="200"/>
      </w:pPr>
    </w:p>
    <w:p w14:paraId="138A5A18" w14:textId="5EB11152" w:rsidR="00675304" w:rsidRDefault="00D41928" w:rsidP="00D41928">
      <w:pPr>
        <w:spacing w:before="300" w:after="300"/>
        <w:jc w:val="center"/>
      </w:pPr>
      <w:r>
        <w:rPr>
          <w:noProof/>
        </w:rPr>
        <w:drawing>
          <wp:inline distT="0" distB="0" distL="0" distR="0" wp14:anchorId="49F25AB4" wp14:editId="226739EC">
            <wp:extent cx="2921765" cy="937400"/>
            <wp:effectExtent l="0" t="0" r="0" b="0"/>
            <wp:docPr id="59398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8397" name="Imagen 593983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6261" cy="990176"/>
                    </a:xfrm>
                    <a:prstGeom prst="rect">
                      <a:avLst/>
                    </a:prstGeom>
                  </pic:spPr>
                </pic:pic>
              </a:graphicData>
            </a:graphic>
          </wp:inline>
        </w:drawing>
      </w:r>
    </w:p>
    <w:p w14:paraId="3DAF1174" w14:textId="77777777" w:rsidR="00675304" w:rsidRDefault="00675304">
      <w:pPr>
        <w:pBdr>
          <w:bottom w:val="single" w:sz="8" w:space="1" w:color="1464A5"/>
        </w:pBdr>
        <w:spacing w:after="120"/>
      </w:pPr>
    </w:p>
    <w:p w14:paraId="003D549A" w14:textId="77777777" w:rsidR="00675304" w:rsidRDefault="00675304">
      <w:pPr>
        <w:spacing w:before="100" w:after="100"/>
      </w:pPr>
    </w:p>
    <w:p w14:paraId="4BE35A08" w14:textId="77777777" w:rsidR="00675304" w:rsidRDefault="00000000">
      <w:pPr>
        <w:spacing w:before="60" w:after="60"/>
        <w:jc w:val="center"/>
      </w:pPr>
      <w:r>
        <w:rPr>
          <w:b/>
          <w:bCs/>
          <w:color w:val="1A5276"/>
          <w:sz w:val="44"/>
          <w:szCs w:val="40"/>
        </w:rPr>
        <w:t>ACTIVIDAD 4</w:t>
      </w:r>
    </w:p>
    <w:p w14:paraId="6C01C6B0" w14:textId="77777777" w:rsidR="00675304" w:rsidRDefault="00675304">
      <w:pPr>
        <w:spacing w:before="60" w:after="60"/>
      </w:pPr>
    </w:p>
    <w:p w14:paraId="1B3037BD" w14:textId="77777777" w:rsidR="00675304" w:rsidRDefault="00000000">
      <w:pPr>
        <w:spacing w:before="60" w:after="60"/>
        <w:jc w:val="center"/>
      </w:pPr>
      <w:r>
        <w:rPr>
          <w:b w:val="0"/>
          <w:color w:val="555555"/>
          <w:sz w:val="25"/>
        </w:rPr>
        <w:t>Análisis comparativo de modelos preentrenados de Hugging Face para la lectura de notas de mercado del motor de señales de rotación de fondos</w:t>
      </w:r>
    </w:p>
    <w:p>
      <w:pPr>
        <w:spacing w:before="280" w:after="40"/>
        <w:jc w:val="center"/>
      </w:pPr>
      <w:r>
        <w:drawing>
          <wp:inline xmlns:a="http://schemas.openxmlformats.org/drawingml/2006/main" xmlns:pic="http://schemas.openxmlformats.org/drawingml/2006/picture">
            <wp:extent cx="864000" cy="864000"/>
            <wp:docPr id="59398400" name="Picture 59398400"/>
            <wp:cNvGraphicFramePr>
              <a:graphicFrameLocks noChangeAspect="1"/>
            </wp:cNvGraphicFramePr>
            <a:graphic>
              <a:graphicData uri="http://schemas.openxmlformats.org/drawingml/2006/picture">
                <pic:pic>
                  <pic:nvPicPr>
                    <pic:cNvPr id="0" name="vertice_logo.png"/>
                    <pic:cNvPicPr/>
                  </pic:nvPicPr>
                  <pic:blipFill>
                    <a:blip r:embed="rId15"/>
                    <a:stretch>
                      <a:fillRect/>
                    </a:stretch>
                  </pic:blipFill>
                  <pic:spPr>
                    <a:xfrm>
                      <a:off x="0" y="0"/>
                      <a:ext cx="864000" cy="864000"/>
                    </a:xfrm>
                    <a:prstGeom prst="rect"/>
                  </pic:spPr>
                </pic:pic>
              </a:graphicData>
            </a:graphic>
          </wp:inline>
        </w:drawing>
      </w:r>
    </w:p>
    <w:p>
      <w:pPr>
        <w:spacing w:after="120"/>
        <w:jc w:val="center"/>
      </w:pPr>
      <w:r>
        <w:rPr>
          <w:i/>
          <w:color w:val="072146"/>
          <w:sz w:val="18"/>
        </w:rPr>
        <w:t>Vértice AI Consulting  ·  Convertimos datos en decisiones</w:t>
      </w:r>
    </w:p>
    <w:p w14:paraId="23D7136C" w14:textId="77777777" w:rsidR="00675304" w:rsidRDefault="00675304">
      <w:pPr>
        <w:spacing w:before="200" w:after="200"/>
      </w:pPr>
    </w:p>
    <w:p w14:paraId="0D10CDD6" w14:textId="77777777" w:rsidR="00675304" w:rsidRDefault="00675304">
      <w:pPr>
        <w:pBdr>
          <w:bottom w:val="single" w:sz="8" w:space="1" w:color="1464A5"/>
        </w:pBdr>
        <w:spacing w:after="120"/>
      </w:pPr>
    </w:p>
    <w:p w14:paraId="58B535AD" w14:textId="77777777" w:rsidR="00675304" w:rsidRDefault="00675304">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75304" w14:paraId="1A7F7B95" w14:textId="77777777" w:rsidTr="00A92D38">
        <w:tc>
          <w:tcPr>
            <w:tcW w:w="3000" w:type="dxa"/>
            <w:tcBorders>
              <w:top w:val="none" w:sz="0" w:space="0" w:color="FFFFFF"/>
              <w:left w:val="none" w:sz="0" w:space="0" w:color="FFFFFF"/>
              <w:bottom w:val="none" w:sz="0" w:space="0" w:color="FFFFFF"/>
              <w:right w:val="none" w:sz="0" w:space="0" w:color="FFFFFF"/>
            </w:tcBorders>
            <w:shd w:val="clear" w:color="auto" w:fill="072146"/>
            <w:tcMar>
              <w:top w:w="120" w:type="dxa"/>
              <w:left w:w="200" w:type="dxa"/>
              <w:bottom w:w="120" w:type="dxa"/>
              <w:right w:w="200" w:type="dxa"/>
            </w:tcMar>
          </w:tcPr>
          <w:p w14:paraId="3AD90AC2" w14:textId="77777777" w:rsidR="00675304" w:rsidRDefault="00000000">
            <w:r>
              <w:rPr>
                <w:b/>
                <w:bCs/>
                <w:color w:val="FFFFFF"/>
                <w:sz w:val="22"/>
                <w:szCs w:val="22"/>
              </w:rPr>
              <w:t>Materia: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37E974F" w14:textId="46B3FF17" w:rsidR="00675304" w:rsidRDefault="00170C53">
            <w:r>
              <w:rPr>
                <w:i/>
                <w:iCs/>
                <w:color w:val="888888"/>
                <w:sz w:val="22"/>
                <w:szCs w:val="22"/>
              </w:rPr>
              <w:t>Gestión de Proyectos de Inteligencia Artificial</w:t>
            </w:r>
          </w:p>
        </w:tc>
      </w:tr>
      <w:tr w:rsidR="00675304" w14:paraId="3BEE0A1B" w14:textId="77777777" w:rsidTr="00A92D38">
        <w:tc>
          <w:tcPr>
            <w:tcW w:w="3000" w:type="dxa"/>
            <w:tcBorders>
              <w:top w:val="none" w:sz="0" w:space="0" w:color="FFFFFF"/>
              <w:left w:val="none" w:sz="0" w:space="0" w:color="FFFFFF"/>
              <w:bottom w:val="none" w:sz="0" w:space="0" w:color="FFFFFF"/>
              <w:right w:val="none" w:sz="0" w:space="0" w:color="FFFFFF"/>
            </w:tcBorders>
            <w:shd w:val="clear" w:color="auto" w:fill="ADADAD" w:themeFill="background2" w:themeFillShade="BF"/>
            <w:tcMar>
              <w:top w:w="120" w:type="dxa"/>
              <w:left w:w="200" w:type="dxa"/>
              <w:bottom w:w="120" w:type="dxa"/>
              <w:right w:w="200" w:type="dxa"/>
            </w:tcMar>
          </w:tcPr>
          <w:p w14:paraId="27B4BA5A" w14:textId="77777777" w:rsidR="00675304" w:rsidRDefault="00000000">
            <w:r>
              <w:rPr>
                <w:b/>
                <w:bCs/>
                <w:color w:val="FFFFFF"/>
                <w:sz w:val="22"/>
                <w:szCs w:val="22"/>
              </w:rPr>
              <w:t>Actividad:</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5B5DE383" w14:textId="77777777" w:rsidR="00675304" w:rsidRDefault="00000000">
            <w:r>
              <w:rPr>
                <w:i/>
                <w:iCs/>
                <w:color w:val="888888"/>
                <w:sz w:val="22"/>
                <w:szCs w:val="22"/>
              </w:rPr>
              <w:t>Actividad 4 — Módulo 2 / Semana 5 (Temas 9 y 10)</w:t>
            </w:r>
          </w:p>
        </w:tc>
      </w:tr>
      <w:tr w:rsidR="00675304" w14:paraId="7215E7D2" w14:textId="77777777" w:rsidTr="00A92D38">
        <w:tc>
          <w:tcPr>
            <w:tcW w:w="3000" w:type="dxa"/>
            <w:tcBorders>
              <w:top w:val="none" w:sz="0" w:space="0" w:color="FFFFFF"/>
              <w:left w:val="none" w:sz="0" w:space="0" w:color="FFFFFF"/>
              <w:bottom w:val="none" w:sz="0" w:space="0" w:color="FFFFFF"/>
              <w:right w:val="none" w:sz="0" w:space="0" w:color="FFFFFF"/>
            </w:tcBorders>
            <w:shd w:val="clear" w:color="auto" w:fill="072146"/>
            <w:tcMar>
              <w:top w:w="120" w:type="dxa"/>
              <w:left w:w="200" w:type="dxa"/>
              <w:bottom w:w="120" w:type="dxa"/>
              <w:right w:w="200" w:type="dxa"/>
            </w:tcMar>
          </w:tcPr>
          <w:p w14:paraId="36068EC4" w14:textId="77777777" w:rsidR="00675304" w:rsidRDefault="00000000">
            <w:r>
              <w:rPr>
                <w:b/>
                <w:bCs/>
                <w:color w:val="FFFFFF"/>
                <w:sz w:val="22"/>
                <w:szCs w:val="22"/>
              </w:rPr>
              <w:t>Alumno(a):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49FD0B1" w14:textId="77777777" w:rsidR="00675304" w:rsidRDefault="00000000">
            <w:r>
              <w:rPr>
                <w:i/>
                <w:iCs/>
                <w:color w:val="888888"/>
                <w:sz w:val="22"/>
                <w:szCs w:val="22"/>
              </w:rPr>
              <w:t>Eduardo Aburto Angulo</w:t>
            </w:r>
          </w:p>
        </w:tc>
      </w:tr>
      <w:tr w:rsidR="00675304" w14:paraId="63CF25AA" w14:textId="77777777" w:rsidTr="00A92D38">
        <w:tc>
          <w:tcPr>
            <w:tcW w:w="3000" w:type="dxa"/>
            <w:tcBorders>
              <w:top w:val="none" w:sz="0" w:space="0" w:color="FFFFFF"/>
              <w:left w:val="none" w:sz="0" w:space="0" w:color="FFFFFF"/>
              <w:bottom w:val="none" w:sz="0" w:space="0" w:color="FFFFFF"/>
              <w:right w:val="none" w:sz="0" w:space="0" w:color="FFFFFF"/>
            </w:tcBorders>
            <w:shd w:val="clear" w:color="auto" w:fill="ADADAD" w:themeFill="background2" w:themeFillShade="BF"/>
            <w:tcMar>
              <w:top w:w="120" w:type="dxa"/>
              <w:left w:w="200" w:type="dxa"/>
              <w:bottom w:w="120" w:type="dxa"/>
              <w:right w:w="200" w:type="dxa"/>
            </w:tcMar>
          </w:tcPr>
          <w:p w14:paraId="4D6B551B" w14:textId="77777777" w:rsidR="00675304" w:rsidRDefault="00000000">
            <w:r>
              <w:rPr>
                <w:b/>
                <w:bCs/>
                <w:color w:val="FFFFFF"/>
                <w:sz w:val="22"/>
                <w:szCs w:val="22"/>
              </w:rPr>
              <w:t>Matrícula: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29ACC35A" w14:textId="77777777" w:rsidR="00675304" w:rsidRDefault="00000000">
            <w:r>
              <w:rPr>
                <w:i/>
                <w:iCs/>
                <w:color w:val="888888"/>
                <w:sz w:val="22"/>
                <w:szCs w:val="22"/>
              </w:rPr>
              <w:t>AL07182743</w:t>
            </w:r>
          </w:p>
        </w:tc>
      </w:tr>
      <w:tr w:rsidR="00675304" w14:paraId="3E6A41FC" w14:textId="77777777" w:rsidTr="00A92D38">
        <w:tc>
          <w:tcPr>
            <w:tcW w:w="3000" w:type="dxa"/>
            <w:tcBorders>
              <w:top w:val="none" w:sz="0" w:space="0" w:color="FFFFFF"/>
              <w:left w:val="none" w:sz="0" w:space="0" w:color="FFFFFF"/>
              <w:bottom w:val="none" w:sz="0" w:space="0" w:color="FFFFFF"/>
              <w:right w:val="none" w:sz="0" w:space="0" w:color="FFFFFF"/>
            </w:tcBorders>
            <w:shd w:val="clear" w:color="auto" w:fill="072146"/>
            <w:tcMar>
              <w:top w:w="120" w:type="dxa"/>
              <w:left w:w="200" w:type="dxa"/>
              <w:bottom w:w="120" w:type="dxa"/>
              <w:right w:w="200" w:type="dxa"/>
            </w:tcMar>
          </w:tcPr>
          <w:p w14:paraId="1CE4E006" w14:textId="77777777" w:rsidR="00675304" w:rsidRDefault="00000000">
            <w:r>
              <w:rPr>
                <w:b/>
                <w:bCs/>
                <w:color w:val="FFFFFF"/>
                <w:sz w:val="22"/>
                <w:szCs w:val="22"/>
              </w:rPr>
              <w:t>Docente:</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137303EC" w14:textId="77777777" w:rsidR="00675304" w:rsidRDefault="00000000">
            <w:r>
              <w:rPr>
                <w:i/>
                <w:iCs/>
                <w:color w:val="888888"/>
                <w:sz w:val="22"/>
                <w:szCs w:val="22"/>
              </w:rPr>
              <w:t>M. en C. Luis Ariel Vázquez Piña</w:t>
            </w:r>
          </w:p>
        </w:tc>
      </w:tr>
      <w:tr w:rsidR="00675304" w14:paraId="18B7FA69" w14:textId="77777777" w:rsidTr="00A92D38">
        <w:tc>
          <w:tcPr>
            <w:tcW w:w="3000" w:type="dxa"/>
            <w:tcBorders>
              <w:top w:val="none" w:sz="0" w:space="0" w:color="FFFFFF"/>
              <w:left w:val="none" w:sz="0" w:space="0" w:color="FFFFFF"/>
              <w:bottom w:val="none" w:sz="0" w:space="0" w:color="FFFFFF"/>
              <w:right w:val="none" w:sz="0" w:space="0" w:color="FFFFFF"/>
            </w:tcBorders>
            <w:shd w:val="clear" w:color="auto" w:fill="ADADAD" w:themeFill="background2" w:themeFillShade="BF"/>
            <w:tcMar>
              <w:top w:w="120" w:type="dxa"/>
              <w:left w:w="200" w:type="dxa"/>
              <w:bottom w:w="120" w:type="dxa"/>
              <w:right w:w="200" w:type="dxa"/>
            </w:tcMar>
          </w:tcPr>
          <w:p w14:paraId="0D7244CE" w14:textId="77777777" w:rsidR="00675304" w:rsidRDefault="00000000">
            <w:r>
              <w:rPr>
                <w:b/>
                <w:bCs/>
                <w:color w:val="FFFFFF"/>
                <w:sz w:val="22"/>
                <w:szCs w:val="22"/>
              </w:rPr>
              <w:t>Fecha de entrega: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73C647A8" w14:textId="77777777" w:rsidR="00675304" w:rsidRDefault="00000000">
            <w:r>
              <w:rPr>
                <w:i/>
                <w:iCs/>
                <w:color w:val="888888"/>
                <w:sz w:val="22"/>
                <w:szCs w:val="22"/>
              </w:rPr>
              <w:t>09 - 10 - 2026</w:t>
            </w:r>
          </w:p>
        </w:tc>
      </w:tr>
    </w:tbl>
    <w:p w14:paraId="650E43B7" w14:textId="77777777" w:rsidR="00675304" w:rsidRDefault="00675304">
      <w:pPr>
        <w:spacing w:before="200" w:after="200"/>
      </w:pPr>
    </w:p>
    <w:p w14:paraId="6F48BECF" w14:textId="77777777" w:rsidR="00675304" w:rsidRDefault="00000000">
      <w:r>
        <w:br w:type="page"/>
      </w:r>
    </w:p>
    <w:p w14:paraId="54CD0AA7" w14:textId="77777777" w:rsidR="00675304" w:rsidRDefault="00675304">
      <w:pPr>
        <w:sectPr w:rsidR="00675304">
          <w:footerReference w:type="default" r:id="rId12"/>
          <w:pgSz w:w="12240" w:h="15840"/>
          <w:pgMar w:top="1080" w:right="1440" w:bottom="1080" w:left="1440" w:header="708" w:footer="708" w:gutter="0"/>
          <w:cols w:space="720"/>
          <w:docGrid w:linePitch="360"/>
        </w:sectPr>
      </w:pPr>
    </w:p>
    <w:p w14:paraId="591E8175" w14:textId="77777777" w:rsidR="00675304" w:rsidRDefault="00000000">
      <w:pPr>
        <w:pStyle w:val="Ttulo1"/>
        <w:spacing w:after="240"/>
      </w:pPr>
      <w:r>
        <w:lastRenderedPageBreak/>
        <w:t>Declaración de Uso de Inteligencia Artificial</w:t>
      </w:r>
    </w:p>
    <w:p w14:paraId="025948B7" w14:textId="77777777" w:rsidR="00675304" w:rsidRDefault="00675304">
      <w:pPr>
        <w:pBdr>
          <w:bottom w:val="single" w:sz="8" w:space="1" w:color="1464A5"/>
        </w:pBdr>
        <w:spacing w:after="120"/>
      </w:pPr>
    </w:p>
    <w:p w14:paraId="3647347A" w14:textId="77777777" w:rsidR="00675304" w:rsidRDefault="00000000">
      <w:pPr>
        <w:spacing w:before="120" w:after="180"/>
      </w:pPr>
      <w:r>
        <w:rPr>
          <w:sz w:val="22"/>
          <w:szCs w:val="22"/>
        </w:rPr>
        <w:t>El alumno debe indicar de manera honesta si utilizó herramientas de Inteligencia Artificial (IA) para el desarrollo de esta actividad. Completa la siguiente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3660"/>
      </w:tblGrid>
      <w:tr w:rsidR="00675304" w14:paraId="12AFE137" w14:textId="77777777" w:rsidTr="00A92D38">
        <w:tc>
          <w:tcPr>
            <w:tcW w:w="3500" w:type="dxa"/>
            <w:tcBorders>
              <w:top w:val="single" w:sz="1" w:space="0" w:color="CCCCCC"/>
              <w:left w:val="single" w:sz="1" w:space="0" w:color="CCCCCC"/>
              <w:bottom w:val="single" w:sz="1" w:space="0" w:color="CCCCCC"/>
              <w:right w:val="single" w:sz="1" w:space="0" w:color="CCCCCC"/>
            </w:tcBorders>
            <w:shd w:val="clear" w:color="auto" w:fill="072146"/>
            <w:tcMar>
              <w:top w:w="80" w:type="dxa"/>
              <w:left w:w="120" w:type="dxa"/>
              <w:bottom w:w="80" w:type="dxa"/>
              <w:right w:w="120" w:type="dxa"/>
            </w:tcMar>
          </w:tcPr>
          <w:p w14:paraId="64B4F54D" w14:textId="77777777" w:rsidR="00675304" w:rsidRDefault="00000000">
            <w:r>
              <w:rPr>
                <w:b/>
                <w:bCs/>
                <w:color w:val="FFFFFF"/>
                <w:sz w:val="20"/>
                <w:szCs w:val="20"/>
              </w:rPr>
              <w:t>Herramienta de IA utilizada</w:t>
            </w:r>
          </w:p>
        </w:tc>
        <w:tc>
          <w:tcPr>
            <w:tcW w:w="2200" w:type="dxa"/>
            <w:tcBorders>
              <w:top w:val="single" w:sz="1" w:space="0" w:color="CCCCCC"/>
              <w:left w:val="single" w:sz="1" w:space="0" w:color="CCCCCC"/>
              <w:bottom w:val="single" w:sz="1" w:space="0" w:color="CCCCCC"/>
              <w:right w:val="single" w:sz="1" w:space="0" w:color="CCCCCC"/>
            </w:tcBorders>
            <w:shd w:val="clear" w:color="auto" w:fill="072146"/>
            <w:tcMar>
              <w:top w:w="80" w:type="dxa"/>
              <w:left w:w="120" w:type="dxa"/>
              <w:bottom w:w="80" w:type="dxa"/>
              <w:right w:w="120" w:type="dxa"/>
            </w:tcMar>
          </w:tcPr>
          <w:p w14:paraId="0D3378AC" w14:textId="77777777" w:rsidR="00675304" w:rsidRDefault="00000000">
            <w:r>
              <w:rPr>
                <w:b/>
                <w:bCs/>
                <w:color w:val="FFFFFF"/>
                <w:sz w:val="20"/>
                <w:szCs w:val="20"/>
              </w:rPr>
              <w:t>¿La usaste?</w:t>
            </w:r>
          </w:p>
        </w:tc>
        <w:tc>
          <w:tcPr>
            <w:tcW w:w="3660" w:type="dxa"/>
            <w:tcBorders>
              <w:top w:val="single" w:sz="1" w:space="0" w:color="CCCCCC"/>
              <w:left w:val="single" w:sz="1" w:space="0" w:color="CCCCCC"/>
              <w:bottom w:val="single" w:sz="1" w:space="0" w:color="CCCCCC"/>
              <w:right w:val="single" w:sz="1" w:space="0" w:color="CCCCCC"/>
            </w:tcBorders>
            <w:shd w:val="clear" w:color="auto" w:fill="072146"/>
            <w:tcMar>
              <w:top w:w="80" w:type="dxa"/>
              <w:left w:w="120" w:type="dxa"/>
              <w:bottom w:w="80" w:type="dxa"/>
              <w:right w:w="120" w:type="dxa"/>
            </w:tcMar>
          </w:tcPr>
          <w:p w14:paraId="0AA90EF7" w14:textId="77777777" w:rsidR="00675304" w:rsidRDefault="00000000">
            <w:r>
              <w:rPr>
                <w:b/>
                <w:bCs/>
                <w:color w:val="FFFFFF"/>
                <w:sz w:val="20"/>
                <w:szCs w:val="20"/>
              </w:rPr>
              <w:t>Propósito / Descripción de uso</w:t>
            </w:r>
          </w:p>
        </w:tc>
      </w:tr>
      <w:tr w:rsidR="00675304" w14:paraId="404BD7C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5FB966" w14:textId="77777777" w:rsidR="00675304" w:rsidRDefault="00000000">
            <w:r>
              <w:rPr>
                <w:sz w:val="20"/>
                <w:szCs w:val="20"/>
              </w:rPr>
              <w:t>ChatGPT / OpenAI</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583D4B" w14:textId="77777777" w:rsidR="00675304" w:rsidRDefault="00000000">
            <w:pPr>
              <w:jc w:val="center"/>
            </w:pPr>
            <w:r w:rsidRPr="00A92D38">
              <w:rPr>
                <w:sz w:val="18"/>
                <w:szCs w:val="20"/>
              </w:rPr>
              <w:t>☐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344BC7" w14:textId="77777777" w:rsidR="00675304" w:rsidRDefault="00000000">
            <w:r>
              <w:rPr>
                <w:sz w:val="18"/>
                <w:szCs w:val="20"/>
              </w:rPr>
              <w:t>No se utilizó.</w:t>
            </w:r>
          </w:p>
        </w:tc>
      </w:tr>
      <w:tr w:rsidR="00675304" w14:paraId="2110E64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AA64" w14:textId="77777777" w:rsidR="00675304" w:rsidRDefault="00000000">
            <w:r>
              <w:rPr>
                <w:sz w:val="20"/>
                <w:szCs w:val="20"/>
              </w:rPr>
              <w:t>Claude (Anthropic)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F8CC7" w14:textId="77777777" w:rsidR="00675304" w:rsidRDefault="00000000">
            <w:pPr>
              <w:jc w:val="center"/>
            </w:pPr>
            <w:r>
              <w:rPr>
                <w:sz w:val="18"/>
                <w:szCs w:val="20"/>
              </w:rPr>
              <w:t>☒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88EF3" w14:textId="77777777" w:rsidR="00675304" w:rsidRDefault="00000000">
            <w:r>
              <w:rPr>
                <w:sz w:val="18"/>
                <w:szCs w:val="20"/>
              </w:rPr>
              <w:t>Construcción del corpus etiquetado de 400 notas, estructura del cuaderno de Colab, validación de la lógica de métricas y latencia antes de la entrega, y redacción asistida del reporte. Definí yo los diez criterios de selección y sus pesos, el esquema de etiquetado del corpus y los umbrales de operación; reescribí todo el texto con mi criterio y mi forma de hablar. Ninguna cifra de desempeño proviene de esta herramienta: todas salen de ejecutar el cuaderno.</w:t>
            </w:r>
          </w:p>
        </w:tc>
      </w:tr>
      <w:tr w:rsidR="00675304" w14:paraId="3EAD0D2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5E2DB2" w14:textId="77777777" w:rsidR="00675304" w:rsidRDefault="00000000">
            <w:r>
              <w:rPr>
                <w:sz w:val="20"/>
                <w:szCs w:val="20"/>
              </w:rPr>
              <w:t>Gemini (Google)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0BD696" w14:textId="77777777" w:rsidR="00675304" w:rsidRDefault="00000000">
            <w:pPr>
              <w:jc w:val="center"/>
            </w:pPr>
            <w:r>
              <w:rPr>
                <w:sz w:val="18"/>
                <w:szCs w:val="20"/>
              </w:rPr>
              <w:t>☐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3418EC" w14:textId="77777777" w:rsidR="00675304" w:rsidRDefault="00000000">
            <w:r>
              <w:rPr>
                <w:sz w:val="18"/>
                <w:szCs w:val="20"/>
              </w:rPr>
              <w:t>No se utilizó.</w:t>
            </w:r>
          </w:p>
        </w:tc>
      </w:tr>
      <w:tr w:rsidR="00675304" w14:paraId="1DF4598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F18FE" w14:textId="77777777" w:rsidR="00675304" w:rsidRDefault="00000000">
            <w:r>
              <w:rPr>
                <w:sz w:val="20"/>
                <w:szCs w:val="20"/>
              </w:rPr>
              <w:t>Copilot (Microsoft)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E911A" w14:textId="77777777" w:rsidR="00675304" w:rsidRDefault="00000000">
            <w:pPr>
              <w:jc w:val="center"/>
            </w:pPr>
            <w:r>
              <w:rPr>
                <w:sz w:val="18"/>
                <w:szCs w:val="20"/>
              </w:rPr>
              <w:t>☒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18191" w14:textId="77777777" w:rsidR="00675304" w:rsidRDefault="00000000">
            <w:r>
              <w:rPr>
                <w:sz w:val="18"/>
                <w:szCs w:val="20"/>
              </w:rPr>
              <w:t>Revisión de la redacción de los criterios de selección y contraste de las licencias declaradas en las tarjetas de los cuatro modelos. Lo que no pude verificar directamente en Hugging Face, no lo incluí.</w:t>
            </w:r>
          </w:p>
        </w:tc>
      </w:tr>
      <w:tr w:rsidR="00675304" w14:paraId="7803E16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1BD002" w14:textId="77777777" w:rsidR="00675304" w:rsidRDefault="00000000">
            <w:r>
              <w:rPr>
                <w:sz w:val="20"/>
                <w:szCs w:val="20"/>
              </w:rPr>
              <w:t>Otra (especifica):</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07C481" w14:textId="77777777" w:rsidR="00675304" w:rsidRDefault="00000000">
            <w:pPr>
              <w:jc w:val="center"/>
            </w:pPr>
            <w:r>
              <w:rPr>
                <w:sz w:val="18"/>
                <w:szCs w:val="20"/>
              </w:rPr>
              <w:t>☒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0A524C" w14:textId="77777777" w:rsidR="00675304" w:rsidRDefault="00000000">
            <w:r>
              <w:rPr>
                <w:sz w:val="18"/>
                <w:szCs w:val="20"/>
              </w:rPr>
              <w:t>Google Colab con GPU T4 para ejecutar los cuatro modelos preentrenados, y los propios modelos de Hugging Face que son el objeto de estudio de la actividad: pysentimiento/robertuito-sentiment-analysis, finiteautomata/beto-sentiment-analysis, cardiffnlp/twitter-xlm-roberta-base-sentiment y nlptown/bert-base-multilingual-uncased-sentiment. Se declaran por transparencia; su comparación es el contenido mismo del reporte.</w:t>
            </w:r>
          </w:p>
        </w:tc>
      </w:tr>
    </w:tbl>
    <w:p w14:paraId="47EA5A26" w14:textId="77777777" w:rsidR="00675304" w:rsidRDefault="00675304">
      <w:pPr>
        <w:spacing w:before="160" w:after="160"/>
      </w:pPr>
    </w:p>
    <w:p w14:paraId="6FD6E403" w14:textId="77777777" w:rsidR="00675304" w:rsidRDefault="00675304">
      <w:pPr>
        <w:spacing w:before="100" w:after="100"/>
      </w:pPr>
    </w:p>
    <w:p w14:paraId="21F638E6" w14:textId="77777777" w:rsidR="00675304" w:rsidRDefault="00000000">
      <w:r>
        <w:br w:type="page"/>
      </w:r>
    </w:p>
    <w:p w14:paraId="7DF196CF" w14:textId="77777777" w:rsidR="00675304" w:rsidRDefault="00000000">
      <w:pPr>
        <w:pStyle w:val="Ttulo1"/>
        <w:spacing w:after="240"/>
      </w:pPr>
      <w:r>
        <w:lastRenderedPageBreak/>
        <w:t>Desarrollo de Contenido</w:t>
      </w:r>
    </w:p>
    <w:p w14:paraId="38337970" w14:textId="77777777" w:rsidR="00675304" w:rsidRDefault="00675304">
      <w:pPr>
        <w:pBdr>
          <w:bottom w:val="single" w:sz="8" w:space="1" w:color="1464A5"/>
        </w:pBdr>
        <w:spacing w:after="120"/>
      </w:pPr>
    </w:p>
    <w:p>
      <w:pPr>
        <w:pStyle w:val="Ttulo1"/>
      </w:pPr>
      <w:r>
        <w:t>Resumen ejecutivo</w:t>
      </w:r>
    </w:p>
    <w:p>
      <w:pPr>
        <w:spacing w:after="120"/>
      </w:pPr>
      <w:r>
        <w:rPr>
          <w:i w:val="0"/>
          <w:sz w:val="22"/>
        </w:rPr>
        <w:t>Este reporte compara cuatro modelos preentrenados de Hugging Face para una tarea concreta del motor de señales de rotación de fondos que vengo desarrollando como proyecto de la materia: leer las notas de mercado del día y clasificar su impacto sobre cada clase de activo. Es la primera capa del motor. Antes de sugerirle a un cliente que se cambie de fondo, el sistema tiene que entender qué está pasando en el mercado, y tiene que entenderlo bien.</w:t>
      </w:r>
    </w:p>
    <w:p>
      <w:pPr>
        <w:spacing w:after="120"/>
      </w:pPr>
      <w:r>
        <w:rPr>
          <w:i w:val="0"/>
          <w:sz w:val="22"/>
        </w:rPr>
        <w:t>El experimento se ejecutó sobre un corpus propio de 400 notas en español etiquetadas por impacto, y no sobre un conjunto de datos estándar. Esa decisión es deliberada y es la lección central del Tema 9: la métrica que publica un modelo se calculó sobre textos que no se parecen a los míos.</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082"/>
        <w:gridCol w:w="4876"/>
      </w:tblGrid>
      <w:tr>
        <w:tc>
          <w:tcPr>
            <w:tcW w:type="dxa" w:w="4082"/>
            <w:shd w:val="clear" w:color="auto" w:fill="072146"/>
          </w:tcPr>
          <w:p>
            <w:r/>
            <w:r>
              <w:rPr>
                <w:b/>
                <w:color w:val="FFFFFF"/>
                <w:sz w:val="19"/>
              </w:rPr>
              <w:t>Indicador clave</w:t>
            </w:r>
          </w:p>
        </w:tc>
        <w:tc>
          <w:tcPr>
            <w:tcW w:type="dxa" w:w="4876"/>
            <w:shd w:val="clear" w:color="auto" w:fill="072146"/>
          </w:tcPr>
          <w:p>
            <w:r/>
            <w:r>
              <w:rPr>
                <w:b/>
                <w:color w:val="FFFFFF"/>
                <w:sz w:val="19"/>
              </w:rPr>
              <w:t>Resultado</w:t>
            </w:r>
          </w:p>
        </w:tc>
      </w:tr>
      <w:tr>
        <w:tc>
          <w:tcPr>
            <w:tcW w:type="dxa" w:w="4082"/>
          </w:tcPr>
          <w:p>
            <w:r/>
            <w:r>
              <w:rPr>
                <w:b/>
                <w:sz w:val="19"/>
              </w:rPr>
              <w:t>Modelos evaluados</w:t>
            </w:r>
          </w:p>
        </w:tc>
        <w:tc>
          <w:tcPr>
            <w:tcW w:type="dxa" w:w="4876"/>
          </w:tcPr>
          <w:p>
            <w:r/>
            <w:r>
              <w:rPr>
                <w:sz w:val="19"/>
              </w:rPr>
              <w:t>4 (dos especializados en español, dos multilingües)</w:t>
            </w:r>
          </w:p>
        </w:tc>
      </w:tr>
      <w:tr>
        <w:tc>
          <w:tcPr>
            <w:tcW w:type="dxa" w:w="4082"/>
          </w:tcPr>
          <w:p>
            <w:r/>
            <w:r>
              <w:rPr>
                <w:b/>
                <w:sz w:val="19"/>
              </w:rPr>
              <w:t>Corpus de evaluación</w:t>
            </w:r>
          </w:p>
        </w:tc>
        <w:tc>
          <w:tcPr>
            <w:tcW w:type="dxa" w:w="4876"/>
          </w:tcPr>
          <w:p>
            <w:r/>
            <w:r>
              <w:rPr>
                <w:sz w:val="19"/>
              </w:rPr>
              <w:t>400 notas de mercado en español, 3 clases</w:t>
            </w:r>
          </w:p>
        </w:tc>
      </w:tr>
      <w:tr>
        <w:tc>
          <w:tcPr>
            <w:tcW w:type="dxa" w:w="4082"/>
          </w:tcPr>
          <w:p>
            <w:r/>
            <w:r>
              <w:rPr>
                <w:b/>
                <w:sz w:val="19"/>
              </w:rPr>
              <w:t>Modelo recomendado</w:t>
            </w:r>
          </w:p>
        </w:tc>
        <w:tc>
          <w:tcPr>
            <w:tcW w:type="dxa" w:w="4876"/>
          </w:tcPr>
          <w:p>
            <w:r/>
            <w:r>
              <w:rPr>
                <w:sz w:val="19"/>
              </w:rPr>
              <w:t>cardiffnlp/twitter-xlm-roberta-base-sentiment (multilingüe)</w:t>
            </w:r>
          </w:p>
        </w:tc>
      </w:tr>
      <w:tr>
        <w:tc>
          <w:tcPr>
            <w:tcW w:type="dxa" w:w="4082"/>
          </w:tcPr>
          <w:p>
            <w:r/>
            <w:r>
              <w:rPr>
                <w:b/>
                <w:sz w:val="19"/>
              </w:rPr>
              <w:t>F1-score macro del recomendado</w:t>
            </w:r>
          </w:p>
        </w:tc>
        <w:tc>
          <w:tcPr>
            <w:tcW w:type="dxa" w:w="4876"/>
          </w:tcPr>
          <w:p>
            <w:r/>
            <w:r>
              <w:rPr>
                <w:sz w:val="19"/>
              </w:rPr>
              <w:t>0.5544 (segundo lugar: 0.4719; ventaja de 8.3 puntos)</w:t>
            </w:r>
          </w:p>
        </w:tc>
      </w:tr>
      <w:tr>
        <w:tc>
          <w:tcPr>
            <w:tcW w:type="dxa" w:w="4082"/>
          </w:tcPr>
          <w:p>
            <w:r/>
            <w:r>
              <w:rPr>
                <w:b/>
                <w:sz w:val="19"/>
              </w:rPr>
              <w:t>Latencia por nota (lote, GPU T4)</w:t>
            </w:r>
          </w:p>
        </w:tc>
        <w:tc>
          <w:tcPr>
            <w:tcW w:type="dxa" w:w="4876"/>
          </w:tcPr>
          <w:p>
            <w:r/>
            <w:r>
              <w:rPr>
                <w:sz w:val="19"/>
              </w:rPr>
              <w:t>3.02 ms · 331 notas por segundo</w:t>
            </w:r>
          </w:p>
        </w:tc>
      </w:tr>
      <w:tr>
        <w:tc>
          <w:tcPr>
            <w:tcW w:type="dxa" w:w="4082"/>
          </w:tcPr>
          <w:p>
            <w:r/>
            <w:r>
              <w:rPr>
                <w:b/>
                <w:sz w:val="19"/>
              </w:rPr>
              <w:t>Mejor punto de operación</w:t>
            </w:r>
          </w:p>
        </w:tc>
        <w:tc>
          <w:tcPr>
            <w:tcW w:type="dxa" w:w="4876"/>
          </w:tcPr>
          <w:p>
            <w:r/>
            <w:r>
              <w:rPr>
                <w:sz w:val="19"/>
              </w:rPr>
              <w:t>Confianza ≥ 0.70 → 77.7 % de exactitud</w:t>
            </w:r>
          </w:p>
        </w:tc>
      </w:tr>
      <w:tr>
        <w:tc>
          <w:tcPr>
            <w:tcW w:type="dxa" w:w="4082"/>
          </w:tcPr>
          <w:p>
            <w:r/>
            <w:r>
              <w:rPr>
                <w:b/>
                <w:sz w:val="19"/>
              </w:rPr>
              <w:t>Cobertura automática a ese umbral</w:t>
            </w:r>
          </w:p>
        </w:tc>
        <w:tc>
          <w:tcPr>
            <w:tcW w:type="dxa" w:w="4876"/>
          </w:tcPr>
          <w:p>
            <w:r/>
            <w:r>
              <w:rPr>
                <w:sz w:val="19"/>
              </w:rPr>
              <w:t>34.8 % (139 de 400 notas)</w:t>
            </w:r>
          </w:p>
        </w:tc>
      </w:tr>
      <w:tr>
        <w:tc>
          <w:tcPr>
            <w:tcW w:type="dxa" w:w="4082"/>
          </w:tcPr>
          <w:p>
            <w:r/>
            <w:r>
              <w:rPr>
                <w:b/>
                <w:sz w:val="19"/>
              </w:rPr>
              <w:t>¿Listo para operar en automático?</w:t>
            </w:r>
          </w:p>
        </w:tc>
        <w:tc>
          <w:tcPr>
            <w:tcW w:type="dxa" w:w="4876"/>
          </w:tcPr>
          <w:p>
            <w:r/>
            <w:r>
              <w:rPr>
                <w:sz w:val="19"/>
              </w:rPr>
              <w:t>NO. No alcanza el 90 % de exactitud exigido</w:t>
            </w:r>
          </w:p>
        </w:tc>
      </w:tr>
      <w:tr>
        <w:tc>
          <w:tcPr>
            <w:tcW w:type="dxa" w:w="4082"/>
          </w:tcPr>
          <w:p>
            <w:r/>
            <w:r>
              <w:rPr>
                <w:b/>
                <w:sz w:val="19"/>
              </w:rPr>
              <w:t>Costo de inferencia estimado</w:t>
            </w:r>
          </w:p>
        </w:tc>
        <w:tc>
          <w:tcPr>
            <w:tcW w:type="dxa" w:w="4876"/>
          </w:tcPr>
          <w:p>
            <w:r/>
            <w:r>
              <w:rPr>
                <w:sz w:val="19"/>
              </w:rPr>
              <w:t>Una GPU T4 cubre el volumen diario completo</w:t>
            </w:r>
          </w:p>
        </w:tc>
      </w:tr>
    </w:tbl>
    <w:p>
      <w:pPr>
        <w:spacing w:after="200"/>
        <w:jc w:val="center"/>
      </w:pPr>
      <w:r>
        <w:rPr>
          <w:i/>
          <w:sz w:val="18"/>
        </w:rPr>
        <w:t>Tabla 1. Indicadores clave del análisis comparativo.</w:t>
      </w:r>
    </w:p>
    <w:p>
      <w:pPr>
        <w:spacing w:after="120"/>
      </w:pPr>
      <w:r>
        <w:rPr>
          <w:b/>
          <w:sz w:val="22"/>
        </w:rPr>
        <w:t xml:space="preserve">Lectura de negocio. </w:t>
      </w:r>
      <w:r>
        <w:rPr>
          <w:i w:val="0"/>
          <w:sz w:val="22"/>
        </w:rPr>
        <w:t>El motor procesa alrededor de 250 notas diarias para los 24 asesores del alcance. A ese volumen, la diferencia de latencia entre el modelo más rápido y el más lento son unos cuantos segundos al día: irrelevante. Lo que no es irrelevante es equivocarse en una nota con negación. «El banco central no modificará la tasa» es una buena noticia para los fondos de deuda de corto plazo; un modelo que lea la palabra «no» y marque la nota como negativa le esconde al asesor una oportunidad real, o peor, lo empuja a sacar al cliente de un fondo que iba a rendir bien. Por eso el criterio de decisión de este reporte no es la exactitud promedio sino el F1-score macro, y de manera particular el desempeño en el subconjunto de notas con negación.</w:t>
      </w:r>
    </w:p>
    <w:p>
      <w:pPr>
        <w:spacing w:after="120"/>
      </w:pPr>
      <w:r>
        <w:rPr>
          <w:b/>
          <w:sz w:val="22"/>
        </w:rPr>
        <w:t xml:space="preserve">Decisión que se propone. </w:t>
      </w:r>
      <w:r>
        <w:rPr>
          <w:i w:val="0"/>
          <w:sz w:val="22"/>
        </w:rPr>
        <w:t>Adoptar el modelo recomendado como clasificador de la capa de lectura de mercado del prototipo, operándolo con umbral de confianza y abstención: por debajo del umbral el motor no emite señal y la nota pasa a revisión del asesor. Esa regla no es un detalle técnico, es supervisión humana efectiva, y en banca no es opcional.</w:t>
      </w:r>
    </w:p>
    <w:p>
      <w:pPr>
        <w:spacing w:after="120"/>
      </w:pPr>
      <w:r>
        <w:rPr>
          <w:i/>
          <w:sz w:val="19"/>
        </w:rPr>
        <w:t>Todas las cifras de este reporte provienen de una sola corrida del cuaderno adjunto, ejecutada el 9 de octubre de 2026 en Google Colab sobre GPU Tesla T4, con Python 3.13.15, torch 2.11.0+cu130 y transformers 5.18.0. No se reporta ningún valor estimado ni tomado de las tarjetas de los modelos: únicamente lo medido sobre mis 400 notas. Las condiciones completas quedaron registradas en resultados/condiciones_ejecucion.json y los resultados crudos en los cinco archivos de la carpeta resultados/ del repositorio.</w:t>
      </w:r>
    </w:p>
    <w:p>
      <w:pPr>
        <w:pStyle w:val="Ttulo1"/>
      </w:pPr>
      <w:r>
        <w:t>1. Descripción del caso de uso</w:t>
      </w:r>
    </w:p>
    <w:p>
      <w:pPr>
        <w:spacing w:after="120"/>
      </w:pPr>
      <w:r>
        <w:rPr>
          <w:i w:val="0"/>
          <w:sz w:val="22"/>
        </w:rPr>
        <w:t>Llevo veinte años en banca y hoy soy Banquero Patrimonial Sr. en BBVA México, actualmente en la plaza de Xalapa. Atiendo una cartera de alrededor de 150 clientes con posiciones que van de cinco a veinte millones de pesos, distribuidas en fondos de inversión de la oferta pública del banco.</w:t>
      </w:r>
    </w:p>
    <w:p>
      <w:pPr>
        <w:spacing w:after="120"/>
      </w:pPr>
      <w:r>
        <w:rPr>
          <w:i w:val="0"/>
          <w:sz w:val="22"/>
        </w:rPr>
        <w:t>Todos los días llegan a la mesa notas de análisis, comunicados y titulares de prensa financiera. Esa información es la que debería disparar la revisión de una cartera, pero en la práctica llega de forma desigual: el asesor que alcanzó a leer la nota del martes reacciona, y el que estaba en cita no. La misma oportunidad llega a unos clientes y a otros no, y no por una decisión de asesoría sino por la agenda del asesor.</w:t>
      </w:r>
    </w:p>
    <w:p>
      <w:pPr>
        <w:spacing w:after="120"/>
      </w:pPr>
      <w:r>
        <w:rPr>
          <w:b/>
          <w:sz w:val="22"/>
        </w:rPr>
        <w:t xml:space="preserve">La tarea de inteligencia artificial. </w:t>
      </w:r>
      <w:r>
        <w:rPr>
          <w:i w:val="0"/>
          <w:sz w:val="22"/>
        </w:rPr>
        <w:t>Clasificación de texto en español en tres clases: el impacto de cada nota —POSITIVO, NEUTRAL o NEGATIVO— sobre la clase de activo a la que se refiere. La salida alimenta el motor: una nota con impacto negativo sobre deuda de largo plazo eleva la prioridad de revisar a los clientes posicionados ahí, y el motor cruza esa señal con el anaquel de rendimientos y con el umbral de costo del 2 % de corretaje antes de proponer cualquier movimiento.</w:t>
      </w:r>
    </w:p>
    <w:p>
      <w:pPr>
        <w:spacing w:after="120"/>
      </w:pPr>
      <w:r>
        <w:rPr>
          <w:b/>
          <w:sz w:val="22"/>
        </w:rPr>
        <w:t xml:space="preserve">Por qué no basta con reglas. </w:t>
      </w:r>
      <w:r>
        <w:rPr>
          <w:i w:val="0"/>
          <w:sz w:val="22"/>
        </w:rPr>
        <w:t>Un diccionario de palabras clave resuelve los casos directos y se rompe exactamente donde más duele. «La inflación no sorprendió al alza» contiene «inflación» y «alza», y es una buena noticia. «El comité no descartó un ajuste restrictivo adicional» contiene dos negaciones y es una mala noticia. Un tercio de mi corpus son casos de este tipo, y esa proporción no es un artificio del ejercicio: así escribe la mesa.</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61"/>
        <w:gridCol w:w="5896"/>
      </w:tblGrid>
      <w:tr>
        <w:tc>
          <w:tcPr>
            <w:tcW w:type="dxa" w:w="3061"/>
            <w:shd w:val="clear" w:color="auto" w:fill="072146"/>
          </w:tcPr>
          <w:p>
            <w:r/>
            <w:r>
              <w:rPr>
                <w:b/>
                <w:color w:val="FFFFFF"/>
                <w:sz w:val="18"/>
              </w:rPr>
              <w:t>Dimensión del caso</w:t>
            </w:r>
          </w:p>
        </w:tc>
        <w:tc>
          <w:tcPr>
            <w:tcW w:type="dxa" w:w="5896"/>
            <w:shd w:val="clear" w:color="auto" w:fill="072146"/>
          </w:tcPr>
          <w:p>
            <w:r/>
            <w:r>
              <w:rPr>
                <w:b/>
                <w:color w:val="FFFFFF"/>
                <w:sz w:val="18"/>
              </w:rPr>
              <w:t>Valor</w:t>
            </w:r>
          </w:p>
        </w:tc>
      </w:tr>
      <w:tr>
        <w:tc>
          <w:tcPr>
            <w:tcW w:type="dxa" w:w="3061"/>
          </w:tcPr>
          <w:p>
            <w:r/>
            <w:r>
              <w:rPr>
                <w:b/>
                <w:sz w:val="18"/>
              </w:rPr>
              <w:t>Rama de inteligencia artificial</w:t>
            </w:r>
          </w:p>
        </w:tc>
        <w:tc>
          <w:tcPr>
            <w:tcW w:type="dxa" w:w="5896"/>
          </w:tcPr>
          <w:p>
            <w:r/>
            <w:r>
              <w:rPr>
                <w:sz w:val="18"/>
              </w:rPr>
              <w:t>Procesamiento de lenguaje natural (clasificación de secuencias)</w:t>
            </w:r>
          </w:p>
        </w:tc>
      </w:tr>
      <w:tr>
        <w:tc>
          <w:tcPr>
            <w:tcW w:type="dxa" w:w="3061"/>
          </w:tcPr>
          <w:p>
            <w:r/>
            <w:r>
              <w:rPr>
                <w:b/>
                <w:sz w:val="18"/>
              </w:rPr>
              <w:t>Idioma</w:t>
            </w:r>
          </w:p>
        </w:tc>
        <w:tc>
          <w:tcPr>
            <w:tcW w:type="dxa" w:w="5896"/>
          </w:tcPr>
          <w:p>
            <w:r/>
            <w:r>
              <w:rPr>
                <w:sz w:val="18"/>
              </w:rPr>
              <w:t>Español de México, registro financiero formal</w:t>
            </w:r>
          </w:p>
        </w:tc>
      </w:tr>
      <w:tr>
        <w:tc>
          <w:tcPr>
            <w:tcW w:type="dxa" w:w="3061"/>
          </w:tcPr>
          <w:p>
            <w:r/>
            <w:r>
              <w:rPr>
                <w:b/>
                <w:sz w:val="18"/>
              </w:rPr>
              <w:t>Clases</w:t>
            </w:r>
          </w:p>
        </w:tc>
        <w:tc>
          <w:tcPr>
            <w:tcW w:type="dxa" w:w="5896"/>
          </w:tcPr>
          <w:p>
            <w:r/>
            <w:r>
              <w:rPr>
                <w:sz w:val="18"/>
              </w:rPr>
              <w:t>POSITIVO · NEUTRAL · NEGATIVO (impacto sobre la clase de activo)</w:t>
            </w:r>
          </w:p>
        </w:tc>
      </w:tr>
      <w:tr>
        <w:tc>
          <w:tcPr>
            <w:tcW w:type="dxa" w:w="3061"/>
          </w:tcPr>
          <w:p>
            <w:r/>
            <w:r>
              <w:rPr>
                <w:b/>
                <w:sz w:val="18"/>
              </w:rPr>
              <w:t>Volumen operativo estimado</w:t>
            </w:r>
          </w:p>
        </w:tc>
        <w:tc>
          <w:tcPr>
            <w:tcW w:type="dxa" w:w="5896"/>
          </w:tcPr>
          <w:p>
            <w:r/>
            <w:r>
              <w:rPr>
                <w:sz w:val="18"/>
              </w:rPr>
              <w:t>≈ 250 notas diarias · 24 asesores · 3,600 clientes</w:t>
            </w:r>
          </w:p>
        </w:tc>
      </w:tr>
      <w:tr>
        <w:tc>
          <w:tcPr>
            <w:tcW w:type="dxa" w:w="3061"/>
          </w:tcPr>
          <w:p>
            <w:r/>
            <w:r>
              <w:rPr>
                <w:b/>
                <w:sz w:val="18"/>
              </w:rPr>
              <w:t>Latencia tolerable</w:t>
            </w:r>
          </w:p>
        </w:tc>
        <w:tc>
          <w:tcPr>
            <w:tcW w:type="dxa" w:w="5896"/>
          </w:tcPr>
          <w:p>
            <w:r/>
            <w:r>
              <w:rPr>
                <w:sz w:val="18"/>
              </w:rPr>
              <w:t>Lote nocturno: minutos. Consulta en vivo del asesor: menos de 1 segundo</w:t>
            </w:r>
          </w:p>
        </w:tc>
      </w:tr>
      <w:tr>
        <w:tc>
          <w:tcPr>
            <w:tcW w:type="dxa" w:w="3061"/>
          </w:tcPr>
          <w:p>
            <w:r/>
            <w:r>
              <w:rPr>
                <w:b/>
                <w:sz w:val="18"/>
              </w:rPr>
              <w:t>Consecuencia de un error</w:t>
            </w:r>
          </w:p>
        </w:tc>
        <w:tc>
          <w:tcPr>
            <w:tcW w:type="dxa" w:w="5896"/>
          </w:tcPr>
          <w:p>
            <w:r/>
            <w:r>
              <w:rPr>
                <w:sz w:val="18"/>
              </w:rPr>
              <w:t>Señal de rotación no justificada (cuesta 2 % al cliente) u oportunidad no detectada</w:t>
            </w:r>
          </w:p>
        </w:tc>
      </w:tr>
      <w:tr>
        <w:tc>
          <w:tcPr>
            <w:tcW w:type="dxa" w:w="3061"/>
          </w:tcPr>
          <w:p>
            <w:r/>
            <w:r>
              <w:rPr>
                <w:b/>
                <w:sz w:val="18"/>
              </w:rPr>
              <w:t>Intervención humana</w:t>
            </w:r>
          </w:p>
        </w:tc>
        <w:tc>
          <w:tcPr>
            <w:tcW w:type="dxa" w:w="5896"/>
          </w:tcPr>
          <w:p>
            <w:r/>
            <w:r>
              <w:rPr>
                <w:sz w:val="18"/>
              </w:rPr>
              <w:t>Obligatoria: el asesor revisa y firma toda propuesta antes de presentarla</w:t>
            </w:r>
          </w:p>
        </w:tc>
      </w:tr>
    </w:tbl>
    <w:p>
      <w:pPr>
        <w:spacing w:after="200"/>
        <w:jc w:val="center"/>
      </w:pPr>
      <w:r>
        <w:rPr>
          <w:i/>
          <w:sz w:val="18"/>
        </w:rPr>
        <w:t>Tabla 2. Delimitación del caso de uso. Elaboración propia.</w:t>
      </w:r>
    </w:p>
    <w:p>
      <w:pPr>
        <w:pStyle w:val="Ttulo1"/>
      </w:pPr>
      <w:r>
        <w:t>2. Criterios de selección</w:t>
      </w:r>
    </w:p>
    <w:p>
      <w:pPr>
        <w:spacing w:after="120"/>
      </w:pPr>
      <w:r>
        <w:rPr>
          <w:i w:val="0"/>
          <w:sz w:val="22"/>
        </w:rPr>
        <w:t>El Tema 9 advierte que no conviene elegir un modelo por popularidad ni por su posición en un leaderboard, porque esas métricas se calculan sobre conjuntos de datos que no representan el caso de uso. Definí diez criterios antes de mirar ningún modelo, los agrupé en técnicos y prácticos y les asigné un peso.</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567"/>
        <w:gridCol w:w="3061"/>
        <w:gridCol w:w="1077"/>
        <w:gridCol w:w="3458"/>
        <w:gridCol w:w="793"/>
      </w:tblGrid>
      <w:tr>
        <w:tc>
          <w:tcPr>
            <w:tcW w:type="dxa" w:w="567"/>
            <w:shd w:val="clear" w:color="auto" w:fill="072146"/>
          </w:tcPr>
          <w:p>
            <w:r/>
            <w:r>
              <w:rPr>
                <w:b/>
                <w:color w:val="FFFFFF"/>
                <w:sz w:val="17"/>
              </w:rPr>
              <w:t>#</w:t>
            </w:r>
          </w:p>
        </w:tc>
        <w:tc>
          <w:tcPr>
            <w:tcW w:type="dxa" w:w="3061"/>
            <w:shd w:val="clear" w:color="auto" w:fill="072146"/>
          </w:tcPr>
          <w:p>
            <w:r/>
            <w:r>
              <w:rPr>
                <w:b/>
                <w:color w:val="FFFFFF"/>
                <w:sz w:val="17"/>
              </w:rPr>
              <w:t>Criterio</w:t>
            </w:r>
          </w:p>
        </w:tc>
        <w:tc>
          <w:tcPr>
            <w:tcW w:type="dxa" w:w="1077"/>
            <w:shd w:val="clear" w:color="auto" w:fill="072146"/>
          </w:tcPr>
          <w:p>
            <w:r/>
            <w:r>
              <w:rPr>
                <w:b/>
                <w:color w:val="FFFFFF"/>
                <w:sz w:val="17"/>
              </w:rPr>
              <w:t>Tipo</w:t>
            </w:r>
          </w:p>
        </w:tc>
        <w:tc>
          <w:tcPr>
            <w:tcW w:type="dxa" w:w="3458"/>
            <w:shd w:val="clear" w:color="auto" w:fill="072146"/>
          </w:tcPr>
          <w:p>
            <w:r/>
            <w:r>
              <w:rPr>
                <w:b/>
                <w:color w:val="FFFFFF"/>
                <w:sz w:val="17"/>
              </w:rPr>
              <w:t>Umbral o condición</w:t>
            </w:r>
          </w:p>
        </w:tc>
        <w:tc>
          <w:tcPr>
            <w:tcW w:type="dxa" w:w="794"/>
            <w:shd w:val="clear" w:color="auto" w:fill="072146"/>
          </w:tcPr>
          <w:p>
            <w:r/>
            <w:r>
              <w:rPr>
                <w:b/>
                <w:color w:val="FFFFFF"/>
                <w:sz w:val="17"/>
              </w:rPr>
              <w:t>Peso</w:t>
            </w:r>
          </w:p>
        </w:tc>
      </w:tr>
      <w:tr>
        <w:tc>
          <w:tcPr>
            <w:tcW w:type="dxa" w:w="567"/>
          </w:tcPr>
          <w:p>
            <w:r/>
            <w:r>
              <w:rPr>
                <w:sz w:val="17"/>
              </w:rPr>
              <w:t>C1</w:t>
            </w:r>
          </w:p>
        </w:tc>
        <w:tc>
          <w:tcPr>
            <w:tcW w:type="dxa" w:w="3061"/>
          </w:tcPr>
          <w:p>
            <w:r/>
            <w:r>
              <w:rPr>
                <w:sz w:val="17"/>
              </w:rPr>
              <w:t>F1-score macro sobre mi propio corpus</w:t>
            </w:r>
          </w:p>
        </w:tc>
        <w:tc>
          <w:tcPr>
            <w:tcW w:type="dxa" w:w="1077"/>
          </w:tcPr>
          <w:p>
            <w:r/>
            <w:r>
              <w:rPr>
                <w:sz w:val="17"/>
              </w:rPr>
              <w:t>Técnico</w:t>
            </w:r>
          </w:p>
        </w:tc>
        <w:tc>
          <w:tcPr>
            <w:tcW w:type="dxa" w:w="3458"/>
          </w:tcPr>
          <w:p>
            <w:r/>
            <w:r>
              <w:rPr>
                <w:sz w:val="17"/>
              </w:rPr>
              <w:t>Métrica de decisión; se exige el mayor del conjunto</w:t>
            </w:r>
          </w:p>
        </w:tc>
        <w:tc>
          <w:tcPr>
            <w:tcW w:type="dxa" w:w="794"/>
          </w:tcPr>
          <w:p>
            <w:r/>
            <w:r>
              <w:rPr>
                <w:sz w:val="17"/>
              </w:rPr>
              <w:t>25 %</w:t>
            </w:r>
          </w:p>
        </w:tc>
      </w:tr>
      <w:tr>
        <w:tc>
          <w:tcPr>
            <w:tcW w:type="dxa" w:w="567"/>
          </w:tcPr>
          <w:p>
            <w:r/>
            <w:r>
              <w:rPr>
                <w:sz w:val="17"/>
              </w:rPr>
              <w:t>C2</w:t>
            </w:r>
          </w:p>
        </w:tc>
        <w:tc>
          <w:tcPr>
            <w:tcW w:type="dxa" w:w="3061"/>
          </w:tcPr>
          <w:p>
            <w:r/>
            <w:r>
              <w:rPr>
                <w:sz w:val="17"/>
              </w:rPr>
              <w:t>Exactitud en notas con negación</w:t>
            </w:r>
          </w:p>
        </w:tc>
        <w:tc>
          <w:tcPr>
            <w:tcW w:type="dxa" w:w="1077"/>
          </w:tcPr>
          <w:p>
            <w:r/>
            <w:r>
              <w:rPr>
                <w:sz w:val="17"/>
              </w:rPr>
              <w:t>Técnico</w:t>
            </w:r>
          </w:p>
        </w:tc>
        <w:tc>
          <w:tcPr>
            <w:tcW w:type="dxa" w:w="3458"/>
          </w:tcPr>
          <w:p>
            <w:r/>
            <w:r>
              <w:rPr>
                <w:sz w:val="17"/>
              </w:rPr>
              <w:t>Subconjunto crítico; penaliza fuerte por debajo del promedio</w:t>
            </w:r>
          </w:p>
        </w:tc>
        <w:tc>
          <w:tcPr>
            <w:tcW w:type="dxa" w:w="794"/>
          </w:tcPr>
          <w:p>
            <w:r/>
            <w:r>
              <w:rPr>
                <w:sz w:val="17"/>
              </w:rPr>
              <w:t>20 %</w:t>
            </w:r>
          </w:p>
        </w:tc>
      </w:tr>
      <w:tr>
        <w:tc>
          <w:tcPr>
            <w:tcW w:type="dxa" w:w="567"/>
          </w:tcPr>
          <w:p>
            <w:r/>
            <w:r>
              <w:rPr>
                <w:sz w:val="17"/>
              </w:rPr>
              <w:t>C3</w:t>
            </w:r>
          </w:p>
        </w:tc>
        <w:tc>
          <w:tcPr>
            <w:tcW w:type="dxa" w:w="3061"/>
          </w:tcPr>
          <w:p>
            <w:r/>
            <w:r>
              <w:rPr>
                <w:sz w:val="17"/>
              </w:rPr>
              <w:t>Entrenamiento nativo en español</w:t>
            </w:r>
          </w:p>
        </w:tc>
        <w:tc>
          <w:tcPr>
            <w:tcW w:type="dxa" w:w="1077"/>
          </w:tcPr>
          <w:p>
            <w:r/>
            <w:r>
              <w:rPr>
                <w:sz w:val="17"/>
              </w:rPr>
              <w:t>Técnico</w:t>
            </w:r>
          </w:p>
        </w:tc>
        <w:tc>
          <w:tcPr>
            <w:tcW w:type="dxa" w:w="3458"/>
          </w:tcPr>
          <w:p>
            <w:r/>
            <w:r>
              <w:rPr>
                <w:sz w:val="17"/>
              </w:rPr>
              <w:t>Preferente, no excluyente; se verifica contra el desempeño real</w:t>
            </w:r>
          </w:p>
        </w:tc>
        <w:tc>
          <w:tcPr>
            <w:tcW w:type="dxa" w:w="794"/>
          </w:tcPr>
          <w:p>
            <w:r/>
            <w:r>
              <w:rPr>
                <w:sz w:val="17"/>
              </w:rPr>
              <w:t>10 %</w:t>
            </w:r>
          </w:p>
        </w:tc>
      </w:tr>
      <w:tr>
        <w:tc>
          <w:tcPr>
            <w:tcW w:type="dxa" w:w="567"/>
          </w:tcPr>
          <w:p>
            <w:r/>
            <w:r>
              <w:rPr>
                <w:sz w:val="17"/>
              </w:rPr>
              <w:t>C4</w:t>
            </w:r>
          </w:p>
        </w:tc>
        <w:tc>
          <w:tcPr>
            <w:tcW w:type="dxa" w:w="3061"/>
          </w:tcPr>
          <w:p>
            <w:r/>
            <w:r>
              <w:rPr>
                <w:sz w:val="17"/>
              </w:rPr>
              <w:t>Confianza utilizable como umbral</w:t>
            </w:r>
          </w:p>
        </w:tc>
        <w:tc>
          <w:tcPr>
            <w:tcW w:type="dxa" w:w="1077"/>
          </w:tcPr>
          <w:p>
            <w:r/>
            <w:r>
              <w:rPr>
                <w:sz w:val="17"/>
              </w:rPr>
              <w:t>Técnico</w:t>
            </w:r>
          </w:p>
        </w:tc>
        <w:tc>
          <w:tcPr>
            <w:tcW w:type="dxa" w:w="3458"/>
          </w:tcPr>
          <w:p>
            <w:r/>
            <w:r>
              <w:rPr>
                <w:sz w:val="17"/>
              </w:rPr>
              <w:t>La salida debe permitir una regla de abstención</w:t>
            </w:r>
          </w:p>
        </w:tc>
        <w:tc>
          <w:tcPr>
            <w:tcW w:type="dxa" w:w="794"/>
          </w:tcPr>
          <w:p>
            <w:r/>
            <w:r>
              <w:rPr>
                <w:sz w:val="17"/>
              </w:rPr>
              <w:t>10 %</w:t>
            </w:r>
          </w:p>
        </w:tc>
      </w:tr>
      <w:tr>
        <w:tc>
          <w:tcPr>
            <w:tcW w:type="dxa" w:w="567"/>
          </w:tcPr>
          <w:p>
            <w:r/>
            <w:r>
              <w:rPr>
                <w:sz w:val="17"/>
              </w:rPr>
              <w:t>C5</w:t>
            </w:r>
          </w:p>
        </w:tc>
        <w:tc>
          <w:tcPr>
            <w:tcW w:type="dxa" w:w="3061"/>
          </w:tcPr>
          <w:p>
            <w:r/>
            <w:r>
              <w:rPr>
                <w:sz w:val="17"/>
              </w:rPr>
              <w:t>Latencia unitaria p95</w:t>
            </w:r>
          </w:p>
        </w:tc>
        <w:tc>
          <w:tcPr>
            <w:tcW w:type="dxa" w:w="1077"/>
          </w:tcPr>
          <w:p>
            <w:r/>
            <w:r>
              <w:rPr>
                <w:sz w:val="17"/>
              </w:rPr>
              <w:t>Técnico</w:t>
            </w:r>
          </w:p>
        </w:tc>
        <w:tc>
          <w:tcPr>
            <w:tcW w:type="dxa" w:w="3458"/>
          </w:tcPr>
          <w:p>
            <w:r/>
            <w:r>
              <w:rPr>
                <w:sz w:val="17"/>
              </w:rPr>
              <w:t>Menor a 1 segundo para consulta en vivo</w:t>
            </w:r>
          </w:p>
        </w:tc>
        <w:tc>
          <w:tcPr>
            <w:tcW w:type="dxa" w:w="794"/>
          </w:tcPr>
          <w:p>
            <w:r/>
            <w:r>
              <w:rPr>
                <w:sz w:val="17"/>
              </w:rPr>
              <w:t>10 %</w:t>
            </w:r>
          </w:p>
        </w:tc>
      </w:tr>
      <w:tr>
        <w:tc>
          <w:tcPr>
            <w:tcW w:type="dxa" w:w="567"/>
          </w:tcPr>
          <w:p>
            <w:r/>
            <w:r>
              <w:rPr>
                <w:sz w:val="17"/>
              </w:rPr>
              <w:t>C6</w:t>
            </w:r>
          </w:p>
        </w:tc>
        <w:tc>
          <w:tcPr>
            <w:tcW w:type="dxa" w:w="3061"/>
          </w:tcPr>
          <w:p>
            <w:r/>
            <w:r>
              <w:rPr>
                <w:sz w:val="17"/>
              </w:rPr>
              <w:t>Tamaño del modelo</w:t>
            </w:r>
          </w:p>
        </w:tc>
        <w:tc>
          <w:tcPr>
            <w:tcW w:type="dxa" w:w="1077"/>
          </w:tcPr>
          <w:p>
            <w:r/>
            <w:r>
              <w:rPr>
                <w:sz w:val="17"/>
              </w:rPr>
              <w:t>Técnico</w:t>
            </w:r>
          </w:p>
        </w:tc>
        <w:tc>
          <w:tcPr>
            <w:tcW w:type="dxa" w:w="3458"/>
          </w:tcPr>
          <w:p>
            <w:r/>
            <w:r>
              <w:rPr>
                <w:sz w:val="17"/>
              </w:rPr>
              <w:t>Debe caber en una GPU T4 sin cuantización</w:t>
            </w:r>
          </w:p>
        </w:tc>
        <w:tc>
          <w:tcPr>
            <w:tcW w:type="dxa" w:w="794"/>
          </w:tcPr>
          <w:p>
            <w:r/>
            <w:r>
              <w:rPr>
                <w:sz w:val="17"/>
              </w:rPr>
              <w:t>5 %</w:t>
            </w:r>
          </w:p>
        </w:tc>
      </w:tr>
      <w:tr>
        <w:tc>
          <w:tcPr>
            <w:tcW w:type="dxa" w:w="567"/>
          </w:tcPr>
          <w:p>
            <w:r/>
            <w:r>
              <w:rPr>
                <w:sz w:val="17"/>
              </w:rPr>
              <w:t>C7</w:t>
            </w:r>
          </w:p>
        </w:tc>
        <w:tc>
          <w:tcPr>
            <w:tcW w:type="dxa" w:w="3061"/>
          </w:tcPr>
          <w:p>
            <w:r/>
            <w:r>
              <w:rPr>
                <w:sz w:val="17"/>
              </w:rPr>
              <w:t>Licencia permisiva</w:t>
            </w:r>
          </w:p>
        </w:tc>
        <w:tc>
          <w:tcPr>
            <w:tcW w:type="dxa" w:w="1077"/>
          </w:tcPr>
          <w:p>
            <w:r/>
            <w:r>
              <w:rPr>
                <w:sz w:val="17"/>
              </w:rPr>
              <w:t>Práctico</w:t>
            </w:r>
          </w:p>
        </w:tc>
        <w:tc>
          <w:tcPr>
            <w:tcW w:type="dxa" w:w="3458"/>
          </w:tcPr>
          <w:p>
            <w:r/>
            <w:r>
              <w:rPr>
                <w:sz w:val="17"/>
              </w:rPr>
              <w:t>Apache-2.0 o MIT. Excluyente: sin licencia clara no entra al banco</w:t>
            </w:r>
          </w:p>
        </w:tc>
        <w:tc>
          <w:tcPr>
            <w:tcW w:type="dxa" w:w="794"/>
          </w:tcPr>
          <w:p>
            <w:r/>
            <w:r>
              <w:rPr>
                <w:sz w:val="17"/>
              </w:rPr>
              <w:t>10 %</w:t>
            </w:r>
          </w:p>
        </w:tc>
      </w:tr>
      <w:tr>
        <w:tc>
          <w:tcPr>
            <w:tcW w:type="dxa" w:w="567"/>
          </w:tcPr>
          <w:p>
            <w:r/>
            <w:r>
              <w:rPr>
                <w:sz w:val="17"/>
              </w:rPr>
              <w:t>C8</w:t>
            </w:r>
          </w:p>
        </w:tc>
        <w:tc>
          <w:tcPr>
            <w:tcW w:type="dxa" w:w="3061"/>
          </w:tcPr>
          <w:p>
            <w:r/>
            <w:r>
              <w:rPr>
                <w:sz w:val="17"/>
              </w:rPr>
              <w:t>Acceso abierto, sin restricción</w:t>
            </w:r>
          </w:p>
        </w:tc>
        <w:tc>
          <w:tcPr>
            <w:tcW w:type="dxa" w:w="1077"/>
          </w:tcPr>
          <w:p>
            <w:r/>
            <w:r>
              <w:rPr>
                <w:sz w:val="17"/>
              </w:rPr>
              <w:t>Práctico</w:t>
            </w:r>
          </w:p>
        </w:tc>
        <w:tc>
          <w:tcPr>
            <w:tcW w:type="dxa" w:w="3458"/>
          </w:tcPr>
          <w:p>
            <w:r/>
            <w:r>
              <w:rPr>
                <w:sz w:val="17"/>
              </w:rPr>
              <w:t>Excluyente: nada que dependa de una aprobación manual externa</w:t>
            </w:r>
          </w:p>
        </w:tc>
        <w:tc>
          <w:tcPr>
            <w:tcW w:type="dxa" w:w="794"/>
          </w:tcPr>
          <w:p>
            <w:r/>
            <w:r>
              <w:rPr>
                <w:sz w:val="17"/>
              </w:rPr>
              <w:t>5 %</w:t>
            </w:r>
          </w:p>
        </w:tc>
      </w:tr>
      <w:tr>
        <w:tc>
          <w:tcPr>
            <w:tcW w:type="dxa" w:w="567"/>
          </w:tcPr>
          <w:p>
            <w:r/>
            <w:r>
              <w:rPr>
                <w:sz w:val="17"/>
              </w:rPr>
              <w:t>C9</w:t>
            </w:r>
          </w:p>
        </w:tc>
        <w:tc>
          <w:tcPr>
            <w:tcW w:type="dxa" w:w="3061"/>
          </w:tcPr>
          <w:p>
            <w:r/>
            <w:r>
              <w:rPr>
                <w:sz w:val="17"/>
              </w:rPr>
              <w:t>Mantenimiento del repositorio</w:t>
            </w:r>
          </w:p>
        </w:tc>
        <w:tc>
          <w:tcPr>
            <w:tcW w:type="dxa" w:w="1077"/>
          </w:tcPr>
          <w:p>
            <w:r/>
            <w:r>
              <w:rPr>
                <w:sz w:val="17"/>
              </w:rPr>
              <w:t>Práctico</w:t>
            </w:r>
          </w:p>
        </w:tc>
        <w:tc>
          <w:tcPr>
            <w:tcW w:type="dxa" w:w="3458"/>
          </w:tcPr>
          <w:p>
            <w:r/>
            <w:r>
              <w:rPr>
                <w:sz w:val="17"/>
              </w:rPr>
              <w:t>Autor identificable y modelo en uso activo</w:t>
            </w:r>
          </w:p>
        </w:tc>
        <w:tc>
          <w:tcPr>
            <w:tcW w:type="dxa" w:w="794"/>
          </w:tcPr>
          <w:p>
            <w:r/>
            <w:r>
              <w:rPr>
                <w:sz w:val="17"/>
              </w:rPr>
              <w:t>3 %</w:t>
            </w:r>
          </w:p>
        </w:tc>
      </w:tr>
      <w:tr>
        <w:tc>
          <w:tcPr>
            <w:tcW w:type="dxa" w:w="567"/>
          </w:tcPr>
          <w:p>
            <w:r/>
            <w:r>
              <w:rPr>
                <w:sz w:val="17"/>
              </w:rPr>
              <w:t>C10</w:t>
            </w:r>
          </w:p>
        </w:tc>
        <w:tc>
          <w:tcPr>
            <w:tcW w:type="dxa" w:w="3061"/>
          </w:tcPr>
          <w:p>
            <w:r/>
            <w:r>
              <w:rPr>
                <w:sz w:val="17"/>
              </w:rPr>
              <w:t>Reproducibilidad</w:t>
            </w:r>
          </w:p>
        </w:tc>
        <w:tc>
          <w:tcPr>
            <w:tcW w:type="dxa" w:w="1077"/>
          </w:tcPr>
          <w:p>
            <w:r/>
            <w:r>
              <w:rPr>
                <w:sz w:val="17"/>
              </w:rPr>
              <w:t>Práctico</w:t>
            </w:r>
          </w:p>
        </w:tc>
        <w:tc>
          <w:tcPr>
            <w:tcW w:type="dxa" w:w="3458"/>
          </w:tcPr>
          <w:p>
            <w:r/>
            <w:r>
              <w:rPr>
                <w:sz w:val="17"/>
              </w:rPr>
              <w:t>Versión fijable y resultados repetibles con la misma semilla</w:t>
            </w:r>
          </w:p>
        </w:tc>
        <w:tc>
          <w:tcPr>
            <w:tcW w:type="dxa" w:w="794"/>
          </w:tcPr>
          <w:p>
            <w:r/>
            <w:r>
              <w:rPr>
                <w:sz w:val="17"/>
              </w:rPr>
              <w:t>2 %</w:t>
            </w:r>
          </w:p>
        </w:tc>
      </w:tr>
    </w:tbl>
    <w:p>
      <w:pPr>
        <w:spacing w:after="200"/>
        <w:jc w:val="center"/>
      </w:pPr>
      <w:r>
        <w:rPr>
          <w:i/>
          <w:sz w:val="18"/>
        </w:rPr>
        <w:t>Tabla 3. Criterios de selección con su peso. Elaboración propia a partir de Fourrier et al. (2025) y del Tema 9.</w:t>
      </w:r>
    </w:p>
    <w:p>
      <w:pPr>
        <w:spacing w:after="120"/>
      </w:pPr>
      <w:r>
        <w:rPr>
          <w:i w:val="0"/>
          <w:sz w:val="22"/>
        </w:rPr>
        <w:t>Los criterios C7 y C8 son excluyentes y conviene explicar por qué. Un modelo sin licencia clara, o uno que requiera aprobación manual del autor para descargarse, no pasa la revisión de un área de riesgo tecnológico en una institución financiera, por bueno que sea. Descartarlos antes de medirlos ahorra trabajo.</w:t>
      </w:r>
    </w:p>
    <w:p>
      <w:pPr>
        <w:pStyle w:val="Ttulo1"/>
      </w:pPr>
      <w:r>
        <w:t>3. Tabla comparativa de modelos</w:t>
      </w:r>
    </w:p>
    <w:p>
      <w:pPr>
        <w:spacing w:after="120"/>
      </w:pPr>
      <w:r>
        <w:rPr>
          <w:i w:val="0"/>
          <w:sz w:val="22"/>
        </w:rPr>
        <w:t>Los cuatro modelos cubren dos ejes deliberados: especializados en español frente a multilingües, y etiquetas nativas de tres clases frente a una escala de cinco estrellas que obliga a mapear. Ninguno fue entrenado con notas financieras en español, y ese es justamente el punto: quiero medir cuánto se degradan en mi dominio.</w:t>
      </w:r>
    </w:p>
    <w:tbl>
      <w:tblPr>
        <w:tblW w:type="dxa" w:w="929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81"/>
        <w:gridCol w:w="1814"/>
        <w:gridCol w:w="1020"/>
        <w:gridCol w:w="907"/>
        <w:gridCol w:w="793"/>
        <w:gridCol w:w="1077"/>
        <w:gridCol w:w="1304"/>
      </w:tblGrid>
      <w:tr>
        <w:tc>
          <w:tcPr>
            <w:tcW w:type="dxa" w:w="2381"/>
            <w:shd w:val="clear" w:color="auto" w:fill="072146"/>
          </w:tcPr>
          <w:p>
            <w:r/>
            <w:r>
              <w:rPr>
                <w:b/>
                <w:color w:val="FFFFFF"/>
                <w:sz w:val="16"/>
              </w:rPr>
              <w:t>Modelo</w:t>
            </w:r>
          </w:p>
        </w:tc>
        <w:tc>
          <w:tcPr>
            <w:tcW w:type="dxa" w:w="1814"/>
            <w:shd w:val="clear" w:color="auto" w:fill="072146"/>
          </w:tcPr>
          <w:p>
            <w:r/>
            <w:r>
              <w:rPr>
                <w:b/>
                <w:color w:val="FFFFFF"/>
                <w:sz w:val="16"/>
              </w:rPr>
              <w:t>Tarea original</w:t>
            </w:r>
          </w:p>
        </w:tc>
        <w:tc>
          <w:tcPr>
            <w:tcW w:type="dxa" w:w="1020"/>
            <w:shd w:val="clear" w:color="auto" w:fill="072146"/>
          </w:tcPr>
          <w:p>
            <w:r/>
            <w:r>
              <w:rPr>
                <w:b/>
                <w:color w:val="FFFFFF"/>
                <w:sz w:val="16"/>
              </w:rPr>
              <w:t>Tamaño</w:t>
            </w:r>
          </w:p>
        </w:tc>
        <w:tc>
          <w:tcPr>
            <w:tcW w:type="dxa" w:w="907"/>
            <w:shd w:val="clear" w:color="auto" w:fill="072146"/>
          </w:tcPr>
          <w:p>
            <w:r/>
            <w:r>
              <w:rPr>
                <w:b/>
                <w:color w:val="FFFFFF"/>
                <w:sz w:val="16"/>
              </w:rPr>
              <w:t>Licencia</w:t>
            </w:r>
          </w:p>
        </w:tc>
        <w:tc>
          <w:tcPr>
            <w:tcW w:type="dxa" w:w="794"/>
            <w:shd w:val="clear" w:color="auto" w:fill="072146"/>
          </w:tcPr>
          <w:p>
            <w:r/>
            <w:r>
              <w:rPr>
                <w:b/>
                <w:color w:val="FFFFFF"/>
                <w:sz w:val="16"/>
              </w:rPr>
              <w:t>F1 macro</w:t>
            </w:r>
          </w:p>
        </w:tc>
        <w:tc>
          <w:tcPr>
            <w:tcW w:type="dxa" w:w="1077"/>
            <w:shd w:val="clear" w:color="auto" w:fill="072146"/>
          </w:tcPr>
          <w:p>
            <w:r/>
            <w:r>
              <w:rPr>
                <w:b/>
                <w:color w:val="FFFFFF"/>
                <w:sz w:val="16"/>
              </w:rPr>
              <w:t>Latencia (ms/nota)</w:t>
            </w:r>
          </w:p>
        </w:tc>
        <w:tc>
          <w:tcPr>
            <w:tcW w:type="dxa" w:w="1304"/>
            <w:shd w:val="clear" w:color="auto" w:fill="072146"/>
          </w:tcPr>
          <w:p>
            <w:r/>
            <w:r>
              <w:rPr>
                <w:b/>
                <w:color w:val="FFFFFF"/>
                <w:sz w:val="16"/>
              </w:rPr>
              <w:t>Recursos</w:t>
            </w:r>
          </w:p>
        </w:tc>
      </w:tr>
      <w:tr>
        <w:tc>
          <w:tcPr>
            <w:tcW w:type="dxa" w:w="2381"/>
          </w:tcPr>
          <w:p>
            <w:r/>
            <w:r>
              <w:rPr>
                <w:sz w:val="16"/>
              </w:rPr>
              <w:t>cardiffnlp/</w:t>
              <w:br/>
              <w:t>twitter-xlm-roberta-base-sentiment</w:t>
            </w:r>
          </w:p>
        </w:tc>
        <w:tc>
          <w:tcPr>
            <w:tcW w:type="dxa" w:w="1814"/>
          </w:tcPr>
          <w:p>
            <w:r/>
            <w:r>
              <w:rPr>
                <w:sz w:val="16"/>
              </w:rPr>
              <w:t>Sentimiento multilingüe (8 idiomas)</w:t>
            </w:r>
          </w:p>
        </w:tc>
        <w:tc>
          <w:tcPr>
            <w:tcW w:type="dxa" w:w="1020"/>
          </w:tcPr>
          <w:p>
            <w:r/>
            <w:r>
              <w:rPr>
                <w:sz w:val="16"/>
              </w:rPr>
              <w:t>278.0 M</w:t>
            </w:r>
          </w:p>
        </w:tc>
        <w:tc>
          <w:tcPr>
            <w:tcW w:type="dxa" w:w="907"/>
          </w:tcPr>
          <w:p>
            <w:r/>
            <w:r>
              <w:rPr>
                <w:sz w:val="16"/>
              </w:rPr>
              <w:t>MIT</w:t>
            </w:r>
          </w:p>
        </w:tc>
        <w:tc>
          <w:tcPr>
            <w:tcW w:type="dxa" w:w="794"/>
          </w:tcPr>
          <w:p>
            <w:r/>
            <w:r>
              <w:rPr>
                <w:sz w:val="16"/>
              </w:rPr>
              <w:t>0.5544</w:t>
            </w:r>
          </w:p>
        </w:tc>
        <w:tc>
          <w:tcPr>
            <w:tcW w:type="dxa" w:w="1077"/>
          </w:tcPr>
          <w:p>
            <w:r/>
            <w:r>
              <w:rPr>
                <w:sz w:val="16"/>
              </w:rPr>
              <w:t>3.02</w:t>
            </w:r>
          </w:p>
        </w:tc>
        <w:tc>
          <w:tcPr>
            <w:tcW w:type="dxa" w:w="1304"/>
          </w:tcPr>
          <w:p>
            <w:r/>
            <w:r>
              <w:rPr>
                <w:sz w:val="16"/>
              </w:rPr>
              <w:t>GPU T4 · 331 notas/s</w:t>
            </w:r>
          </w:p>
        </w:tc>
      </w:tr>
      <w:tr>
        <w:tc>
          <w:tcPr>
            <w:tcW w:type="dxa" w:w="2381"/>
          </w:tcPr>
          <w:p>
            <w:r/>
            <w:r>
              <w:rPr>
                <w:sz w:val="16"/>
              </w:rPr>
              <w:t>finiteautomata/</w:t>
              <w:br/>
              <w:t>beto-sentiment-analysis</w:t>
            </w:r>
          </w:p>
        </w:tc>
        <w:tc>
          <w:tcPr>
            <w:tcW w:type="dxa" w:w="1814"/>
          </w:tcPr>
          <w:p>
            <w:r/>
            <w:r>
              <w:rPr>
                <w:sz w:val="16"/>
              </w:rPr>
              <w:t>Sentimiento en español (BETO)</w:t>
            </w:r>
          </w:p>
        </w:tc>
        <w:tc>
          <w:tcPr>
            <w:tcW w:type="dxa" w:w="1020"/>
          </w:tcPr>
          <w:p>
            <w:r/>
            <w:r>
              <w:rPr>
                <w:sz w:val="16"/>
              </w:rPr>
              <w:t>109.9 M</w:t>
            </w:r>
          </w:p>
        </w:tc>
        <w:tc>
          <w:tcPr>
            <w:tcW w:type="dxa" w:w="907"/>
          </w:tcPr>
          <w:p>
            <w:r/>
            <w:r>
              <w:rPr>
                <w:sz w:val="16"/>
              </w:rPr>
              <w:t>Apache-2.0</w:t>
            </w:r>
          </w:p>
        </w:tc>
        <w:tc>
          <w:tcPr>
            <w:tcW w:type="dxa" w:w="794"/>
          </w:tcPr>
          <w:p>
            <w:r/>
            <w:r>
              <w:rPr>
                <w:sz w:val="16"/>
              </w:rPr>
              <w:t>0.4719</w:t>
            </w:r>
          </w:p>
        </w:tc>
        <w:tc>
          <w:tcPr>
            <w:tcW w:type="dxa" w:w="1077"/>
          </w:tcPr>
          <w:p>
            <w:r/>
            <w:r>
              <w:rPr>
                <w:sz w:val="16"/>
              </w:rPr>
              <w:t>6.31</w:t>
            </w:r>
          </w:p>
        </w:tc>
        <w:tc>
          <w:tcPr>
            <w:tcW w:type="dxa" w:w="1304"/>
          </w:tcPr>
          <w:p>
            <w:r/>
            <w:r>
              <w:rPr>
                <w:sz w:val="16"/>
              </w:rPr>
              <w:t>GPU T4 · 159 notas/s</w:t>
            </w:r>
          </w:p>
        </w:tc>
      </w:tr>
      <w:tr>
        <w:tc>
          <w:tcPr>
            <w:tcW w:type="dxa" w:w="2381"/>
          </w:tcPr>
          <w:p>
            <w:r/>
            <w:r>
              <w:rPr>
                <w:sz w:val="16"/>
              </w:rPr>
              <w:t>nlptown/</w:t>
              <w:br/>
              <w:t>bert-base-multilingual-uncased-sentiment</w:t>
            </w:r>
          </w:p>
        </w:tc>
        <w:tc>
          <w:tcPr>
            <w:tcW w:type="dxa" w:w="1814"/>
          </w:tcPr>
          <w:p>
            <w:r/>
            <w:r>
              <w:rPr>
                <w:sz w:val="16"/>
              </w:rPr>
              <w:t>Reseñas 1–5 estrellas (6 idiomas)</w:t>
            </w:r>
          </w:p>
        </w:tc>
        <w:tc>
          <w:tcPr>
            <w:tcW w:type="dxa" w:w="1020"/>
          </w:tcPr>
          <w:p>
            <w:r/>
            <w:r>
              <w:rPr>
                <w:sz w:val="16"/>
              </w:rPr>
              <w:t>167.4 M</w:t>
            </w:r>
          </w:p>
        </w:tc>
        <w:tc>
          <w:tcPr>
            <w:tcW w:type="dxa" w:w="907"/>
          </w:tcPr>
          <w:p>
            <w:r/>
            <w:r>
              <w:rPr>
                <w:sz w:val="16"/>
              </w:rPr>
              <w:t>MIT</w:t>
            </w:r>
          </w:p>
        </w:tc>
        <w:tc>
          <w:tcPr>
            <w:tcW w:type="dxa" w:w="794"/>
          </w:tcPr>
          <w:p>
            <w:r/>
            <w:r>
              <w:rPr>
                <w:sz w:val="16"/>
              </w:rPr>
              <w:t>0.4515</w:t>
            </w:r>
          </w:p>
        </w:tc>
        <w:tc>
          <w:tcPr>
            <w:tcW w:type="dxa" w:w="1077"/>
          </w:tcPr>
          <w:p>
            <w:r/>
            <w:r>
              <w:rPr>
                <w:sz w:val="16"/>
              </w:rPr>
              <w:t>3.04</w:t>
            </w:r>
          </w:p>
        </w:tc>
        <w:tc>
          <w:tcPr>
            <w:tcW w:type="dxa" w:w="1304"/>
          </w:tcPr>
          <w:p>
            <w:r/>
            <w:r>
              <w:rPr>
                <w:sz w:val="16"/>
              </w:rPr>
              <w:t>GPU T4 · 329 notas/s</w:t>
            </w:r>
          </w:p>
        </w:tc>
      </w:tr>
      <w:tr>
        <w:tc>
          <w:tcPr>
            <w:tcW w:type="dxa" w:w="2381"/>
          </w:tcPr>
          <w:p>
            <w:r/>
            <w:r>
              <w:rPr>
                <w:sz w:val="16"/>
              </w:rPr>
              <w:t>pysentimiento/</w:t>
              <w:br/>
              <w:t>robertuito-sentiment-analysis</w:t>
            </w:r>
          </w:p>
        </w:tc>
        <w:tc>
          <w:tcPr>
            <w:tcW w:type="dxa" w:w="1814"/>
          </w:tcPr>
          <w:p>
            <w:r/>
            <w:r>
              <w:rPr>
                <w:sz w:val="16"/>
              </w:rPr>
              <w:t>Sentimiento en español (tuits)</w:t>
            </w:r>
          </w:p>
        </w:tc>
        <w:tc>
          <w:tcPr>
            <w:tcW w:type="dxa" w:w="1020"/>
          </w:tcPr>
          <w:p>
            <w:r/>
            <w:r>
              <w:rPr>
                <w:sz w:val="16"/>
              </w:rPr>
              <w:t>108.8 M</w:t>
            </w:r>
          </w:p>
        </w:tc>
        <w:tc>
          <w:tcPr>
            <w:tcW w:type="dxa" w:w="907"/>
          </w:tcPr>
          <w:p>
            <w:r/>
            <w:r>
              <w:rPr>
                <w:sz w:val="16"/>
              </w:rPr>
              <w:t>Apache-2.0</w:t>
            </w:r>
          </w:p>
        </w:tc>
        <w:tc>
          <w:tcPr>
            <w:tcW w:type="dxa" w:w="794"/>
          </w:tcPr>
          <w:p>
            <w:r/>
            <w:r>
              <w:rPr>
                <w:sz w:val="16"/>
              </w:rPr>
              <w:t>0.3547</w:t>
            </w:r>
          </w:p>
        </w:tc>
        <w:tc>
          <w:tcPr>
            <w:tcW w:type="dxa" w:w="1077"/>
          </w:tcPr>
          <w:p>
            <w:r/>
            <w:r>
              <w:rPr>
                <w:sz w:val="16"/>
              </w:rPr>
              <w:t>2.98</w:t>
            </w:r>
          </w:p>
        </w:tc>
        <w:tc>
          <w:tcPr>
            <w:tcW w:type="dxa" w:w="1304"/>
          </w:tcPr>
          <w:p>
            <w:r/>
            <w:r>
              <w:rPr>
                <w:sz w:val="16"/>
              </w:rPr>
              <w:t>GPU T4 · 335 notas/s</w:t>
            </w:r>
          </w:p>
        </w:tc>
      </w:tr>
    </w:tbl>
    <w:p>
      <w:pPr>
        <w:spacing w:after="200"/>
        <w:jc w:val="center"/>
      </w:pPr>
      <w:r>
        <w:rPr>
          <w:i/>
          <w:sz w:val="18"/>
        </w:rPr>
        <w:t>Tabla 4. Comparativa de los cuatro modelos, ordenada por F1-score macro. Medición propia sobre las 400 notas, GPU Tesla T4, 9 de octubre de 2026. Tamaño y licencia verificados en la tarjeta de cada modelo.</w:t>
      </w:r>
    </w:p>
    <w:p>
      <w:pPr>
        <w:spacing w:after="120"/>
      </w:pPr>
      <w:r>
        <w:rPr>
          <w:b/>
          <w:sz w:val="22"/>
        </w:rPr>
        <w:t xml:space="preserve">El primer hallazgo contradice mi hipótesis. </w:t>
      </w:r>
      <w:r>
        <w:rPr>
          <w:i w:val="0"/>
          <w:sz w:val="22"/>
        </w:rPr>
        <w:t>Esperaba que ganara uno de los dos modelos entrenados específicamente en español. Ganó un multilingüe, y por un margen amplio: 8.3 puntos de F1 macro sobre el segundo lugar. Lo dejé escrito antes de medir precisamente para poder reportarlo cuando no se cumpliera, y no se cumplió.</w:t>
      </w:r>
    </w:p>
    <w:p>
      <w:pPr>
        <w:spacing w:after="120"/>
      </w:pPr>
      <w:r>
        <w:rPr>
          <w:b/>
          <w:sz w:val="22"/>
        </w:rPr>
        <w:t xml:space="preserve">El segundo hallazgo es más incómodo y más importante. </w:t>
      </w:r>
      <w:r>
        <w:rPr>
          <w:i w:val="0"/>
          <w:sz w:val="22"/>
        </w:rPr>
        <w:t>El mejor F1 macro es 0.5544 sobre tres clases, cuando elegir al azar daría 0.333. Puesto en proporción, el mejor modelo preentrenado del mercado, aplicado tal cual a notas financieras en español, recorre apenas un tercio del camino que va del azar al acierto perfecto. Las tarjetas de estos modelos reportan desempeños muy superiores en sus propios conjuntos de evaluación. Esa brecha es exactamente lo que el Tema 9 advierte y lo que justifica haber construido un corpus propio.</w:t>
      </w:r>
    </w:p>
    <w:p>
      <w:pPr>
        <w:spacing w:after="120"/>
      </w:pPr>
      <w:r>
        <w:rPr>
          <w:b/>
          <w:sz w:val="22"/>
        </w:rPr>
        <w:t xml:space="preserve">Dónde se rompen, en concreto. </w:t>
      </w:r>
      <w:r>
        <w:rPr>
          <w:i w:val="0"/>
          <w:sz w:val="22"/>
        </w:rPr>
        <w:t>El desglose por clase explica el número agregado. Los tres modelos de sentimiento con tres clases nativas colapsan hacia NEUTRAL cuando leen lenguaje financiero formal: su recall en esa clase es de 0.976, 0.940 y 0.988, es decir, clasifican como neutra casi cualquier nota. Como NEUTRAL solo representa el 21 % del corpus, su precisión en esa clase se desploma a 0.267, 0.279 y 0.346. El caso extremo es RoBERTuito: en la clase POSITIVO tiene precisión de 1.000 y recall de 0.006. Acertó una sola nota positiva de 158. Cuando se atreve, acierta; casi nunca se atreve.</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701"/>
        <w:gridCol w:w="1247"/>
        <w:gridCol w:w="1247"/>
        <w:gridCol w:w="1247"/>
        <w:gridCol w:w="1360"/>
        <w:gridCol w:w="2154"/>
      </w:tblGrid>
      <w:tr>
        <w:tc>
          <w:tcPr>
            <w:tcW w:type="dxa" w:w="1701"/>
            <w:shd w:val="clear" w:color="auto" w:fill="072146"/>
          </w:tcPr>
          <w:p>
            <w:r/>
            <w:r>
              <w:rPr>
                <w:b/>
                <w:color w:val="FFFFFF"/>
                <w:sz w:val="17"/>
              </w:rPr>
              <w:t>Modelo</w:t>
            </w:r>
          </w:p>
        </w:tc>
        <w:tc>
          <w:tcPr>
            <w:tcW w:type="dxa" w:w="1247"/>
            <w:shd w:val="clear" w:color="auto" w:fill="072146"/>
          </w:tcPr>
          <w:p>
            <w:r/>
            <w:r>
              <w:rPr>
                <w:b/>
                <w:color w:val="FFFFFF"/>
                <w:sz w:val="17"/>
              </w:rPr>
              <w:t>F1 NEGATIVO</w:t>
            </w:r>
          </w:p>
        </w:tc>
        <w:tc>
          <w:tcPr>
            <w:tcW w:type="dxa" w:w="1247"/>
            <w:shd w:val="clear" w:color="auto" w:fill="072146"/>
          </w:tcPr>
          <w:p>
            <w:r/>
            <w:r>
              <w:rPr>
                <w:b/>
                <w:color w:val="FFFFFF"/>
                <w:sz w:val="17"/>
              </w:rPr>
              <w:t>F1 NEUTRAL</w:t>
            </w:r>
          </w:p>
        </w:tc>
        <w:tc>
          <w:tcPr>
            <w:tcW w:type="dxa" w:w="1247"/>
            <w:shd w:val="clear" w:color="auto" w:fill="072146"/>
          </w:tcPr>
          <w:p>
            <w:r/>
            <w:r>
              <w:rPr>
                <w:b/>
                <w:color w:val="FFFFFF"/>
                <w:sz w:val="17"/>
              </w:rPr>
              <w:t>F1 POSITIVO</w:t>
            </w:r>
          </w:p>
        </w:tc>
        <w:tc>
          <w:tcPr>
            <w:tcW w:type="dxa" w:w="1361"/>
            <w:shd w:val="clear" w:color="auto" w:fill="072146"/>
          </w:tcPr>
          <w:p>
            <w:r/>
            <w:r>
              <w:rPr>
                <w:b/>
                <w:color w:val="FFFFFF"/>
                <w:sz w:val="17"/>
              </w:rPr>
              <w:t>Recall NEUTRAL</w:t>
            </w:r>
          </w:p>
        </w:tc>
        <w:tc>
          <w:tcPr>
            <w:tcW w:type="dxa" w:w="2154"/>
            <w:shd w:val="clear" w:color="auto" w:fill="072146"/>
          </w:tcPr>
          <w:p>
            <w:r/>
            <w:r>
              <w:rPr>
                <w:b/>
                <w:color w:val="FFFFFF"/>
                <w:sz w:val="17"/>
              </w:rPr>
              <w:t>Lectura</w:t>
            </w:r>
          </w:p>
        </w:tc>
      </w:tr>
      <w:tr>
        <w:tc>
          <w:tcPr>
            <w:tcW w:type="dxa" w:w="1701"/>
          </w:tcPr>
          <w:p>
            <w:r/>
            <w:r>
              <w:rPr>
                <w:b/>
                <w:sz w:val="17"/>
              </w:rPr>
              <w:t>XLM-R Twitter</w:t>
            </w:r>
          </w:p>
        </w:tc>
        <w:tc>
          <w:tcPr>
            <w:tcW w:type="dxa" w:w="1247"/>
          </w:tcPr>
          <w:p>
            <w:r/>
            <w:r>
              <w:rPr>
                <w:sz w:val="17"/>
              </w:rPr>
              <w:t>0.600</w:t>
            </w:r>
          </w:p>
        </w:tc>
        <w:tc>
          <w:tcPr>
            <w:tcW w:type="dxa" w:w="1247"/>
          </w:tcPr>
          <w:p>
            <w:r/>
            <w:r>
              <w:rPr>
                <w:sz w:val="17"/>
              </w:rPr>
              <w:t>0.512</w:t>
            </w:r>
          </w:p>
        </w:tc>
        <w:tc>
          <w:tcPr>
            <w:tcW w:type="dxa" w:w="1247"/>
          </w:tcPr>
          <w:p>
            <w:r/>
            <w:r>
              <w:rPr>
                <w:sz w:val="17"/>
              </w:rPr>
              <w:t>0.551</w:t>
            </w:r>
          </w:p>
        </w:tc>
        <w:tc>
          <w:tcPr>
            <w:tcW w:type="dxa" w:w="1361"/>
          </w:tcPr>
          <w:p>
            <w:r/>
            <w:r>
              <w:rPr>
                <w:sz w:val="17"/>
              </w:rPr>
              <w:t>0.988</w:t>
            </w:r>
          </w:p>
        </w:tc>
        <w:tc>
          <w:tcPr>
            <w:tcW w:type="dxa" w:w="2154"/>
          </w:tcPr>
          <w:p>
            <w:r/>
            <w:r>
              <w:rPr>
                <w:sz w:val="17"/>
              </w:rPr>
              <w:t>El único equilibrado en las tres clases</w:t>
            </w:r>
          </w:p>
        </w:tc>
      </w:tr>
      <w:tr>
        <w:tc>
          <w:tcPr>
            <w:tcW w:type="dxa" w:w="1701"/>
          </w:tcPr>
          <w:p>
            <w:r/>
            <w:r>
              <w:rPr>
                <w:b/>
                <w:sz w:val="17"/>
              </w:rPr>
              <w:t>BETO</w:t>
            </w:r>
          </w:p>
        </w:tc>
        <w:tc>
          <w:tcPr>
            <w:tcW w:type="dxa" w:w="1247"/>
          </w:tcPr>
          <w:p>
            <w:r/>
            <w:r>
              <w:rPr>
                <w:sz w:val="17"/>
              </w:rPr>
              <w:t>0.608</w:t>
            </w:r>
          </w:p>
        </w:tc>
        <w:tc>
          <w:tcPr>
            <w:tcW w:type="dxa" w:w="1247"/>
          </w:tcPr>
          <w:p>
            <w:r/>
            <w:r>
              <w:rPr>
                <w:sz w:val="17"/>
              </w:rPr>
              <w:t>0.431</w:t>
            </w:r>
          </w:p>
        </w:tc>
        <w:tc>
          <w:tcPr>
            <w:tcW w:type="dxa" w:w="1247"/>
          </w:tcPr>
          <w:p>
            <w:r/>
            <w:r>
              <w:rPr>
                <w:sz w:val="17"/>
              </w:rPr>
              <w:t>0.378</w:t>
            </w:r>
          </w:p>
        </w:tc>
        <w:tc>
          <w:tcPr>
            <w:tcW w:type="dxa" w:w="1361"/>
          </w:tcPr>
          <w:p>
            <w:r/>
            <w:r>
              <w:rPr>
                <w:sz w:val="17"/>
              </w:rPr>
              <w:t>0.940</w:t>
            </w:r>
          </w:p>
        </w:tc>
        <w:tc>
          <w:tcPr>
            <w:tcW w:type="dxa" w:w="2154"/>
          </w:tcPr>
          <w:p>
            <w:r/>
            <w:r>
              <w:rPr>
                <w:sz w:val="17"/>
              </w:rPr>
              <w:t>Pierde la mitad de las positivas</w:t>
            </w:r>
          </w:p>
        </w:tc>
      </w:tr>
      <w:tr>
        <w:tc>
          <w:tcPr>
            <w:tcW w:type="dxa" w:w="1701"/>
          </w:tcPr>
          <w:p>
            <w:r/>
            <w:r>
              <w:rPr>
                <w:b/>
                <w:sz w:val="17"/>
              </w:rPr>
              <w:t>mBERT nlptown</w:t>
            </w:r>
          </w:p>
        </w:tc>
        <w:tc>
          <w:tcPr>
            <w:tcW w:type="dxa" w:w="1247"/>
          </w:tcPr>
          <w:p>
            <w:r/>
            <w:r>
              <w:rPr>
                <w:sz w:val="17"/>
              </w:rPr>
              <w:t>0.605</w:t>
            </w:r>
          </w:p>
        </w:tc>
        <w:tc>
          <w:tcPr>
            <w:tcW w:type="dxa" w:w="1247"/>
          </w:tcPr>
          <w:p>
            <w:r/>
            <w:r>
              <w:rPr>
                <w:sz w:val="17"/>
              </w:rPr>
              <w:t>0.297</w:t>
            </w:r>
          </w:p>
        </w:tc>
        <w:tc>
          <w:tcPr>
            <w:tcW w:type="dxa" w:w="1247"/>
          </w:tcPr>
          <w:p>
            <w:r/>
            <w:r>
              <w:rPr>
                <w:sz w:val="17"/>
              </w:rPr>
              <w:t>0.453</w:t>
            </w:r>
          </w:p>
        </w:tc>
        <w:tc>
          <w:tcPr>
            <w:tcW w:type="dxa" w:w="1361"/>
          </w:tcPr>
          <w:p>
            <w:r/>
            <w:r>
              <w:rPr>
                <w:sz w:val="17"/>
              </w:rPr>
              <w:t>0.357</w:t>
            </w:r>
          </w:p>
        </w:tc>
        <w:tc>
          <w:tcPr>
            <w:tcW w:type="dxa" w:w="2154"/>
          </w:tcPr>
          <w:p>
            <w:r/>
            <w:r>
              <w:rPr>
                <w:sz w:val="17"/>
              </w:rPr>
              <w:t>El menos sesgado a NEUTRAL, pero el más plano</w:t>
            </w:r>
          </w:p>
        </w:tc>
      </w:tr>
      <w:tr>
        <w:tc>
          <w:tcPr>
            <w:tcW w:type="dxa" w:w="1701"/>
          </w:tcPr>
          <w:p>
            <w:r/>
            <w:r>
              <w:rPr>
                <w:b/>
                <w:sz w:val="17"/>
              </w:rPr>
              <w:t>RoBERTuito</w:t>
            </w:r>
          </w:p>
        </w:tc>
        <w:tc>
          <w:tcPr>
            <w:tcW w:type="dxa" w:w="1247"/>
          </w:tcPr>
          <w:p>
            <w:r/>
            <w:r>
              <w:rPr>
                <w:sz w:val="17"/>
              </w:rPr>
              <w:t>0.632</w:t>
            </w:r>
          </w:p>
        </w:tc>
        <w:tc>
          <w:tcPr>
            <w:tcW w:type="dxa" w:w="1247"/>
          </w:tcPr>
          <w:p>
            <w:r/>
            <w:r>
              <w:rPr>
                <w:sz w:val="17"/>
              </w:rPr>
              <w:t>0.419</w:t>
            </w:r>
          </w:p>
        </w:tc>
        <w:tc>
          <w:tcPr>
            <w:tcW w:type="dxa" w:w="1247"/>
          </w:tcPr>
          <w:p>
            <w:r/>
            <w:r>
              <w:rPr>
                <w:sz w:val="17"/>
              </w:rPr>
              <w:t>0.013</w:t>
            </w:r>
          </w:p>
        </w:tc>
        <w:tc>
          <w:tcPr>
            <w:tcW w:type="dxa" w:w="1361"/>
          </w:tcPr>
          <w:p>
            <w:r/>
            <w:r>
              <w:rPr>
                <w:sz w:val="17"/>
              </w:rPr>
              <w:t>0.976</w:t>
            </w:r>
          </w:p>
        </w:tc>
        <w:tc>
          <w:tcPr>
            <w:tcW w:type="dxa" w:w="2154"/>
          </w:tcPr>
          <w:p>
            <w:r/>
            <w:r>
              <w:rPr>
                <w:sz w:val="17"/>
              </w:rPr>
              <w:t>Prácticamente ciego a la clase POSITIVO</w:t>
            </w:r>
          </w:p>
        </w:tc>
      </w:tr>
    </w:tbl>
    <w:p>
      <w:pPr>
        <w:spacing w:after="200"/>
        <w:jc w:val="center"/>
      </w:pPr>
      <w:r>
        <w:rPr>
          <w:i/>
          <w:sz w:val="18"/>
        </w:rPr>
        <w:t>Tabla 5. Desglose por clase. El sesgo hacia NEUTRAL es el patrón dominante y confirma el riesgo R-01 declarado antes de medir.</w:t>
      </w:r>
    </w:p>
    <w:p>
      <w:pPr>
        <w:jc w:val="center"/>
      </w:pPr>
      <w:r>
        <w:drawing>
          <wp:inline xmlns:a="http://schemas.openxmlformats.org/drawingml/2006/main" xmlns:pic="http://schemas.openxmlformats.org/drawingml/2006/picture">
            <wp:extent cx="4896000" cy="4183855"/>
            <wp:docPr id="59398398" name="Picture 59398398"/>
            <wp:cNvGraphicFramePr>
              <a:graphicFrameLocks noChangeAspect="1"/>
            </wp:cNvGraphicFramePr>
            <a:graphic>
              <a:graphicData uri="http://schemas.openxmlformats.org/drawingml/2006/picture">
                <pic:pic>
                  <pic:nvPicPr>
                    <pic:cNvPr id="0" name="matrices_confusion.png"/>
                    <pic:cNvPicPr/>
                  </pic:nvPicPr>
                  <pic:blipFill>
                    <a:blip r:embed="rId13"/>
                    <a:stretch>
                      <a:fillRect/>
                    </a:stretch>
                  </pic:blipFill>
                  <pic:spPr>
                    <a:xfrm>
                      <a:off x="0" y="0"/>
                      <a:ext cx="4896000" cy="4183855"/>
                    </a:xfrm>
                    <a:prstGeom prst="rect"/>
                  </pic:spPr>
                </pic:pic>
              </a:graphicData>
            </a:graphic>
          </wp:inline>
        </w:drawing>
      </w:r>
    </w:p>
    <w:p>
      <w:pPr>
        <w:spacing w:after="200"/>
        <w:jc w:val="center"/>
      </w:pPr>
      <w:r>
        <w:rPr>
          <w:i/>
          <w:sz w:val="18"/>
        </w:rPr>
        <w:t>Figura 1. Matrices de confusión de los cuatro modelos sobre las 400 notas, ordenadas por F1-score macro. La diagonal son los aciertos. Nótese la columna NEUTRAL cargada en los tres primeros: ahí van a parar las notas que el modelo no sabe leer. RoBERTuito manda 146 de las 158 notas positivas a esa columna. Fuente: resultados/matrices_confusion.png.</w:t>
      </w:r>
    </w:p>
    <w:p>
      <w:pPr>
        <w:spacing w:after="120"/>
      </w:pPr>
      <w:r>
        <w:rPr>
          <w:b/>
          <w:sz w:val="22"/>
        </w:rPr>
        <w:t xml:space="preserve">Métricas y por qué el F1 macro manda. </w:t>
      </w:r>
      <w:r>
        <w:rPr>
          <w:i w:val="0"/>
          <w:sz w:val="22"/>
        </w:rPr>
        <w:t>El corpus está desbalanceado: la clase NEUTRAL está sub-representada frente a POSITIVO y NEGATIVO, porque la nota que la mesa escribe y distribuye suele ser la que tiene una dirección. Con ese desbalance, la exactitud sola premia al modelo que se apoya en la clase mayoritaria. El F1-score macro pesa igual a las tres clases y castiga al que ignora la minoritaria, que es el comportamiento que me rompería el motor.</w:t>
      </w:r>
    </w:p>
    <w:p>
      <w:pPr>
        <w:pStyle w:val="Ttulo1"/>
      </w:pPr>
      <w:r>
        <w:t>4. Análisis de trade-offs: eficiencia frente a precisión</w:t>
      </w:r>
    </w:p>
    <w:p>
      <w:pPr>
        <w:spacing w:after="120"/>
      </w:pPr>
      <w:r>
        <w:rPr>
          <w:i w:val="0"/>
          <w:sz w:val="22"/>
        </w:rPr>
        <w:t>La pregunta no es cuál modelo es mejor en abstracto, sino cuál conviene dado el volumen y las consecuencias de mi caso de uso. Tres tensiones concretas:</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494"/>
        <w:gridCol w:w="6463"/>
      </w:tblGrid>
      <w:tr>
        <w:tc>
          <w:tcPr>
            <w:tcW w:type="dxa" w:w="2494"/>
            <w:shd w:val="clear" w:color="auto" w:fill="072146"/>
          </w:tcPr>
          <w:p>
            <w:r/>
            <w:r>
              <w:rPr>
                <w:b/>
                <w:color w:val="FFFFFF"/>
                <w:sz w:val="18"/>
              </w:rPr>
              <w:t>Tensión</w:t>
            </w:r>
          </w:p>
        </w:tc>
        <w:tc>
          <w:tcPr>
            <w:tcW w:type="dxa" w:w="6463"/>
            <w:shd w:val="clear" w:color="auto" w:fill="072146"/>
          </w:tcPr>
          <w:p>
            <w:r/>
            <w:r>
              <w:rPr>
                <w:b/>
                <w:color w:val="FFFFFF"/>
                <w:sz w:val="18"/>
              </w:rPr>
              <w:t>Cómo se resuelve en este caso</w:t>
            </w:r>
          </w:p>
        </w:tc>
      </w:tr>
      <w:tr>
        <w:tc>
          <w:tcPr>
            <w:tcW w:type="dxa" w:w="2494"/>
          </w:tcPr>
          <w:p>
            <w:r/>
            <w:r>
              <w:rPr>
                <w:b/>
                <w:sz w:val="18"/>
              </w:rPr>
              <w:t>Precisión frente a latencia</w:t>
            </w:r>
          </w:p>
        </w:tc>
        <w:tc>
          <w:tcPr>
            <w:tcW w:type="dxa" w:w="6463"/>
          </w:tcPr>
          <w:p>
            <w:r/>
            <w:r>
              <w:rPr>
                <w:sz w:val="18"/>
              </w:rPr>
              <w:t>Resuelto, y sin tensión real. Los cuatro modelos están entre 2.98 y 6.31 ms por nota en lote. A 250 notas diarias eso son menos de dos segundos al día en el peor caso. El ganador en F1 es además de los más rápidos: 3.02 ms. No hubo que sacrificar nada.</w:t>
            </w:r>
          </w:p>
        </w:tc>
      </w:tr>
      <w:tr>
        <w:tc>
          <w:tcPr>
            <w:tcW w:type="dxa" w:w="2494"/>
          </w:tcPr>
          <w:p>
            <w:r/>
            <w:r>
              <w:rPr>
                <w:b/>
                <w:sz w:val="18"/>
              </w:rPr>
              <w:t>Tamaño frente a desempeño</w:t>
            </w:r>
          </w:p>
        </w:tc>
        <w:tc>
          <w:tcPr>
            <w:tcW w:type="dxa" w:w="6463"/>
          </w:tcPr>
          <w:p>
            <w:r/>
            <w:r>
              <w:rPr>
                <w:sz w:val="18"/>
              </w:rPr>
              <w:t>Aquí sí hubo tensión, y el modelo grande la ganó. XLM-R triplica en parámetros a RoBERTuito (278 M contra 108.8 M) y le saca 20 puntos de F1 macro. Paga su tamaño con 21.6 s de carga contra 12.0 s, un costo que se absorbe al arrancar el servicio y no por cada nota.</w:t>
            </w:r>
          </w:p>
        </w:tc>
      </w:tr>
      <w:tr>
        <w:tc>
          <w:tcPr>
            <w:tcW w:type="dxa" w:w="2494"/>
          </w:tcPr>
          <w:p>
            <w:r/>
            <w:r>
              <w:rPr>
                <w:b/>
                <w:sz w:val="18"/>
              </w:rPr>
              <w:t>Español específico frente a multilingüe</w:t>
            </w:r>
          </w:p>
        </w:tc>
        <w:tc>
          <w:tcPr>
            <w:tcW w:type="dxa" w:w="6463"/>
          </w:tcPr>
          <w:p>
            <w:r/>
            <w:r>
              <w:rPr>
                <w:sz w:val="18"/>
              </w:rPr>
              <w:t>La hipótesis se refutó. Los dos primeros lugares no son los dos modelos en español: el ganador es multilingüe y el peor del conjunto es uno de los dos entrenados en español. La explicación más plausible es el dominio y no el idioma: los cuatro se entrenaron con texto de redes sociales y reseñas, y el registro formal de la mesa les resulta igual de ajeno. XLM-R, entrenado sobre ocho idiomas, parece haber aprendido una representación menos atada a ese registro informal.</w:t>
            </w:r>
          </w:p>
        </w:tc>
      </w:tr>
    </w:tbl>
    <w:p>
      <w:pPr>
        <w:spacing w:after="200"/>
        <w:jc w:val="center"/>
      </w:pPr>
      <w:r>
        <w:rPr>
          <w:i/>
          <w:sz w:val="18"/>
        </w:rPr>
        <w:t>Tabla 6. Tensiones de diseño y criterio de resolución. Elaboración propia.</w:t>
      </w:r>
    </w:p>
    <w:p>
      <w:pPr>
        <w:jc w:val="center"/>
      </w:pPr>
      <w:r>
        <w:drawing>
          <wp:inline xmlns:a="http://schemas.openxmlformats.org/drawingml/2006/main" xmlns:pic="http://schemas.openxmlformats.org/drawingml/2006/picture">
            <wp:extent cx="5040000" cy="1915200"/>
            <wp:docPr id="59398399" name="Picture 59398399"/>
            <wp:cNvGraphicFramePr>
              <a:graphicFrameLocks noChangeAspect="1"/>
            </wp:cNvGraphicFramePr>
            <a:graphic>
              <a:graphicData uri="http://schemas.openxmlformats.org/drawingml/2006/picture">
                <pic:pic>
                  <pic:nvPicPr>
                    <pic:cNvPr id="0" name="tradeoff_precision_latencia.png"/>
                    <pic:cNvPicPr/>
                  </pic:nvPicPr>
                  <pic:blipFill>
                    <a:blip r:embed="rId14"/>
                    <a:stretch>
                      <a:fillRect/>
                    </a:stretch>
                  </pic:blipFill>
                  <pic:spPr>
                    <a:xfrm>
                      <a:off x="0" y="0"/>
                      <a:ext cx="5040000" cy="1915200"/>
                    </a:xfrm>
                    <a:prstGeom prst="rect"/>
                  </pic:spPr>
                </pic:pic>
              </a:graphicData>
            </a:graphic>
          </wp:inline>
        </w:drawing>
      </w:r>
    </w:p>
    <w:p>
      <w:pPr>
        <w:spacing w:after="200"/>
        <w:jc w:val="center"/>
      </w:pPr>
      <w:r>
        <w:rPr>
          <w:i/>
          <w:sz w:val="18"/>
        </w:rPr>
        <w:t>Figura 2. Trade-off entre F1-score macro y latencia por nota. El cuadrante útil es el superior izquierdo: más precisión, menos milisegundos. XLM-R lo ocupa solo. Fuente: resultados/tradeoff_precision_latencia.png.</w:t>
      </w:r>
    </w:p>
    <w:p>
      <w:pPr>
        <w:spacing w:after="120"/>
      </w:pPr>
      <w:r>
        <w:rPr>
          <w:b/>
          <w:sz w:val="22"/>
        </w:rPr>
        <w:t xml:space="preserve">Sobre el costo. </w:t>
      </w:r>
      <w:r>
        <w:rPr>
          <w:i w:val="0"/>
          <w:sz w:val="22"/>
        </w:rPr>
        <w:t>Los cuatro modelos corrieron en una sola GPU T4, que en Colab es gratuita y en infraestructura del banco es el escalón más bajo de cómputo acelerado. El costo del prototipo no lo determina el modelo que se elija, sino el volumen de inferencia y el servicio de datos de mercado que alimenta las notas. Esa es una buena noticia para la decisión: libera el criterio para optimizar precisión en vez de centavos.</w:t>
      </w:r>
    </w:p>
    <w:p>
      <w:pPr>
        <w:pStyle w:val="Ttulo1"/>
      </w:pPr>
      <w:r>
        <w:t>5. Decisiones de ajuste mínimo</w:t>
      </w:r>
    </w:p>
    <w:p>
      <w:pPr>
        <w:spacing w:after="120"/>
      </w:pPr>
      <w:r>
        <w:rPr>
          <w:i w:val="0"/>
          <w:sz w:val="22"/>
        </w:rPr>
        <w:t>El Tema 10 define los ajustes mínimos como configuraciones sobre el modelo preentrenado que lo alinean al caso de uso sin reentrenarlo. Apliqué tres, en orden de costo creciente, y ninguno requirió fine-tuning.</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984"/>
        <w:gridCol w:w="2608"/>
        <w:gridCol w:w="3061"/>
        <w:gridCol w:w="1304"/>
      </w:tblGrid>
      <w:tr>
        <w:tc>
          <w:tcPr>
            <w:tcW w:type="dxa" w:w="1984"/>
            <w:shd w:val="clear" w:color="auto" w:fill="072146"/>
          </w:tcPr>
          <w:p>
            <w:r/>
            <w:r>
              <w:rPr>
                <w:b/>
                <w:color w:val="FFFFFF"/>
                <w:sz w:val="17"/>
              </w:rPr>
              <w:t>Ajuste</w:t>
            </w:r>
          </w:p>
        </w:tc>
        <w:tc>
          <w:tcPr>
            <w:tcW w:type="dxa" w:w="2608"/>
            <w:shd w:val="clear" w:color="auto" w:fill="072146"/>
          </w:tcPr>
          <w:p>
            <w:r/>
            <w:r>
              <w:rPr>
                <w:b/>
                <w:color w:val="FFFFFF"/>
                <w:sz w:val="17"/>
              </w:rPr>
              <w:t>En qué consiste</w:t>
            </w:r>
          </w:p>
        </w:tc>
        <w:tc>
          <w:tcPr>
            <w:tcW w:type="dxa" w:w="3061"/>
            <w:shd w:val="clear" w:color="auto" w:fill="072146"/>
          </w:tcPr>
          <w:p>
            <w:r/>
            <w:r>
              <w:rPr>
                <w:b/>
                <w:color w:val="FFFFFF"/>
                <w:sz w:val="17"/>
              </w:rPr>
              <w:t>Por qué</w:t>
            </w:r>
          </w:p>
        </w:tc>
        <w:tc>
          <w:tcPr>
            <w:tcW w:type="dxa" w:w="1304"/>
            <w:shd w:val="clear" w:color="auto" w:fill="072146"/>
          </w:tcPr>
          <w:p>
            <w:r/>
            <w:r>
              <w:rPr>
                <w:b/>
                <w:color w:val="FFFFFF"/>
                <w:sz w:val="17"/>
              </w:rPr>
              <w:t>Costo</w:t>
            </w:r>
          </w:p>
        </w:tc>
      </w:tr>
      <w:tr>
        <w:tc>
          <w:tcPr>
            <w:tcW w:type="dxa" w:w="1984"/>
          </w:tcPr>
          <w:p>
            <w:r/>
            <w:r>
              <w:rPr>
                <w:b/>
                <w:sz w:val="17"/>
              </w:rPr>
              <w:t>A1. Mapeo de etiquetas</w:t>
            </w:r>
          </w:p>
        </w:tc>
        <w:tc>
          <w:tcPr>
            <w:tcW w:type="dxa" w:w="2608"/>
          </w:tcPr>
          <w:p>
            <w:r/>
            <w:r>
              <w:rPr>
                <w:sz w:val="17"/>
              </w:rPr>
              <w:t>Tabla única que lleva POS/NEU/NEG, Negative/Neutral/Positive y la escala de 1 a 5 estrellas a un vocabulario común.</w:t>
            </w:r>
          </w:p>
        </w:tc>
        <w:tc>
          <w:tcPr>
            <w:tcW w:type="dxa" w:w="3061"/>
          </w:tcPr>
          <w:p>
            <w:r/>
            <w:r>
              <w:rPr>
                <w:sz w:val="17"/>
              </w:rPr>
              <w:t>Sin esto los modelos no son comparables. El mapeo de estrellas a tres clases es una decisión de criterio, no un detalle: 3 estrellas se trata como NEUTRAL.</w:t>
            </w:r>
          </w:p>
        </w:tc>
        <w:tc>
          <w:tcPr>
            <w:tcW w:type="dxa" w:w="1304"/>
          </w:tcPr>
          <w:p>
            <w:r/>
            <w:r>
              <w:rPr>
                <w:sz w:val="17"/>
              </w:rPr>
              <w:t>Nulo</w:t>
            </w:r>
          </w:p>
        </w:tc>
      </w:tr>
      <w:tr>
        <w:tc>
          <w:tcPr>
            <w:tcW w:type="dxa" w:w="1984"/>
          </w:tcPr>
          <w:p>
            <w:r/>
            <w:r>
              <w:rPr>
                <w:b/>
                <w:sz w:val="17"/>
              </w:rPr>
              <w:t>A2. Normalización del texto</w:t>
            </w:r>
          </w:p>
        </w:tc>
        <w:tc>
          <w:tcPr>
            <w:tcW w:type="dxa" w:w="2608"/>
          </w:tcPr>
          <w:p>
            <w:r/>
            <w:r>
              <w:rPr>
                <w:sz w:val="17"/>
              </w:rPr>
              <w:t>Eliminar los prefijos de la mesa («Flash informativo:», «Cierre de mercado:») antes de la inferencia.</w:t>
            </w:r>
          </w:p>
        </w:tc>
        <w:tc>
          <w:tcPr>
            <w:tcW w:type="dxa" w:w="3061"/>
          </w:tcPr>
          <w:p>
            <w:r/>
            <w:r>
              <w:rPr>
                <w:sz w:val="17"/>
              </w:rPr>
              <w:t>No aportan señal de impacto y consumen tokens. Medido: 0.546 de exactitud con prefijo contra 0.556 sin él, un punto sobre 238 notas. NO se aplica: no justifica el paso extra.</w:t>
            </w:r>
          </w:p>
        </w:tc>
        <w:tc>
          <w:tcPr>
            <w:tcW w:type="dxa" w:w="1304"/>
          </w:tcPr>
          <w:p>
            <w:r/>
            <w:r>
              <w:rPr>
                <w:sz w:val="17"/>
              </w:rPr>
              <w:t>Nulo</w:t>
            </w:r>
          </w:p>
        </w:tc>
      </w:tr>
      <w:tr>
        <w:tc>
          <w:tcPr>
            <w:tcW w:type="dxa" w:w="1984"/>
          </w:tcPr>
          <w:p>
            <w:r/>
            <w:r>
              <w:rPr>
                <w:b/>
                <w:sz w:val="17"/>
              </w:rPr>
              <w:t>A3. Umbral de confianza con abstención</w:t>
            </w:r>
          </w:p>
        </w:tc>
        <w:tc>
          <w:tcPr>
            <w:tcW w:type="dxa" w:w="2608"/>
          </w:tcPr>
          <w:p>
            <w:r/>
            <w:r>
              <w:rPr>
                <w:sz w:val="17"/>
              </w:rPr>
              <w:t>Si la confianza del modelo queda por debajo del umbral, el motor no emite señal y la nota pasa a revisión del asesor.</w:t>
            </w:r>
          </w:p>
        </w:tc>
        <w:tc>
          <w:tcPr>
            <w:tcW w:type="dxa" w:w="3061"/>
          </w:tcPr>
          <w:p>
            <w:r/>
            <w:r>
              <w:rPr>
                <w:sz w:val="17"/>
              </w:rPr>
              <w:t>Convierte la incertidumbre del modelo en una decisión de proceso. Es el control de supervisión humana efectiva del prototipo.</w:t>
            </w:r>
          </w:p>
        </w:tc>
        <w:tc>
          <w:tcPr>
            <w:tcW w:type="dxa" w:w="1304"/>
          </w:tcPr>
          <w:p>
            <w:r/>
            <w:r>
              <w:rPr>
                <w:sz w:val="17"/>
              </w:rPr>
              <w:t>Medido: a umbral 0.70 la cobertura cae a 34.8 %</w:t>
            </w:r>
          </w:p>
        </w:tc>
      </w:tr>
    </w:tbl>
    <w:p>
      <w:pPr>
        <w:spacing w:after="200"/>
        <w:jc w:val="center"/>
      </w:pPr>
      <w:r>
        <w:rPr>
          <w:i/>
          <w:sz w:val="18"/>
        </w:rPr>
        <w:t>Tabla 7. Ajustes mínimos. A1 y A3 se aplican; A2 se descartó por la medición. Elaboración propia a partir del Tema 10.</w:t>
      </w:r>
    </w:p>
    <w:p>
      <w:pPr>
        <w:spacing w:after="120"/>
      </w:pPr>
      <w:r>
        <w:rPr>
          <w:b/>
          <w:sz w:val="22"/>
        </w:rPr>
        <w:t xml:space="preserve">Lo que decidí no hacer, y por qué. </w:t>
      </w:r>
      <w:r>
        <w:rPr>
          <w:i w:val="0"/>
          <w:sz w:val="22"/>
        </w:rPr>
        <w:t>No hice fine-tuning. Con 400 notas etiquetadas por una sola persona —yo— el riesgo de sobreajustar a mi propio criterio es alto, y un modelo ajustado a las preferencias de un solo banquero no es un activo del banco: es un sesgo con buena métrica. El fine-tuning queda como fase posterior, condicionado a un corpus etiquetado por al menos tres personas de la mesa con medición de acuerdo entre ellas.</w:t>
      </w:r>
    </w:p>
    <w:p>
      <w:pPr>
        <w:pStyle w:val="Ttulo1"/>
      </w:pPr>
      <w:r>
        <w:t>6. Justificación del modelo recomendado</w:t>
      </w:r>
    </w:p>
    <w:p>
      <w:pPr>
        <w:spacing w:after="120"/>
      </w:pPr>
      <w:r>
        <w:rPr>
          <w:b/>
          <w:sz w:val="22"/>
        </w:rPr>
        <w:t xml:space="preserve">Modelo recomendado: </w:t>
      </w:r>
      <w:r>
        <w:rPr>
          <w:i w:val="0"/>
          <w:sz w:val="22"/>
        </w:rPr>
        <w:t>cardiffnlp/twitter-xlm-roberta-base-sentiment, con una salvedad importante que desarrollo al final de esta sección.</w:t>
      </w:r>
    </w:p>
    <w:p>
      <w:pPr>
        <w:spacing w:after="120"/>
      </w:pPr>
      <w:r>
        <w:rPr>
          <w:i w:val="0"/>
          <w:sz w:val="22"/>
        </w:rPr>
        <w:t>La ponderación de los diez criterios de la Tabla 3 aplicada a los resultados medidos da este orden:</w:t>
      </w:r>
    </w:p>
    <w:p>
      <w:pPr>
        <w:pStyle w:val="Prrafodelista"/>
        <w:numPr>
          <w:ilvl w:val="0"/>
          <w:numId w:val="2"/>
        </w:numPr>
        <w:spacing w:after="60"/>
      </w:pPr>
      <w:r>
        <w:rPr>
          <w:b/>
          <w:sz w:val="22"/>
        </w:rPr>
        <w:t xml:space="preserve">Desempeño global (C1, 25 %). </w:t>
      </w:r>
      <w:r>
        <w:rPr>
          <w:sz w:val="22"/>
        </w:rPr>
        <w:t>XLM-R gana con 0.5544 de F1 macro frente a 0.4719 del segundo. La ventaja de 8.3 puntos supera con holgura el umbral de dos puntos que me había fijado para decidir por precisión, así que la decisión se resuelve aquí.</w:t>
      </w:r>
    </w:p>
    <w:p>
      <w:pPr>
        <w:pStyle w:val="Prrafodelista"/>
        <w:numPr>
          <w:ilvl w:val="0"/>
          <w:numId w:val="2"/>
        </w:numPr>
        <w:spacing w:after="60"/>
      </w:pPr>
      <w:r>
        <w:rPr>
          <w:b/>
          <w:sz w:val="22"/>
        </w:rPr>
        <w:t xml:space="preserve">Subconjunto crítico (C2, 20 %). </w:t>
      </w:r>
      <w:r>
        <w:rPr>
          <w:sz w:val="22"/>
        </w:rPr>
        <w:t>Aquí XLM-R no gana: en notas con negación acierta 40.5 % y mBERT llega a 52.7 %. Pero mBERT paga esa ventaja con 10 puntos menos de F1 macro y con el peor desempeño general del conjunto en precisión. Ponderando ambos criterios, XLM-R sigue adelante.</w:t>
      </w:r>
    </w:p>
    <w:p>
      <w:pPr>
        <w:pStyle w:val="Prrafodelista"/>
        <w:numPr>
          <w:ilvl w:val="0"/>
          <w:numId w:val="2"/>
        </w:numPr>
        <w:spacing w:after="60"/>
      </w:pPr>
      <w:r>
        <w:rPr>
          <w:b/>
          <w:sz w:val="22"/>
        </w:rPr>
        <w:t xml:space="preserve">Entrenamiento en español (C3, 10 %). </w:t>
      </w:r>
      <w:r>
        <w:rPr>
          <w:sz w:val="22"/>
        </w:rPr>
        <w:t>Criterio preferente, no excluyente, y la medición lo desactivó: los dos modelos en español quedaron en segundo y cuarto lugar.</w:t>
      </w:r>
    </w:p>
    <w:p>
      <w:pPr>
        <w:pStyle w:val="Prrafodelista"/>
        <w:numPr>
          <w:ilvl w:val="0"/>
          <w:numId w:val="2"/>
        </w:numPr>
        <w:spacing w:after="60"/>
      </w:pPr>
      <w:r>
        <w:rPr>
          <w:b/>
          <w:sz w:val="22"/>
        </w:rPr>
        <w:t xml:space="preserve">Confianza utilizable (C4, 10 %). </w:t>
      </w:r>
      <w:r>
        <w:rPr>
          <w:sz w:val="22"/>
        </w:rPr>
        <w:t>XLM-R es el único cuya confianza discrimina de forma útil: al subir el umbral de 0.50 a 0.70 la exactitud pasa de 56.7 % a 77.7 %. Esa pendiente es lo que permite construir una regla de abstención.</w:t>
      </w:r>
    </w:p>
    <w:p>
      <w:pPr>
        <w:pStyle w:val="Prrafodelista"/>
        <w:numPr>
          <w:ilvl w:val="0"/>
          <w:numId w:val="2"/>
        </w:numPr>
        <w:spacing w:after="60"/>
      </w:pPr>
      <w:r>
        <w:rPr>
          <w:b/>
          <w:sz w:val="22"/>
        </w:rPr>
        <w:t xml:space="preserve">Latencia, tamaño, licencia (C5 a C8). </w:t>
      </w:r>
      <w:r>
        <w:rPr>
          <w:sz w:val="22"/>
        </w:rPr>
        <w:t>3.02 ms por nota en lote, 331 notas por segundo, licencia MIT y acceso abierto. Cumple todo, incluidos los dos criterios excluyentes.</w:t>
      </w:r>
    </w:p>
    <w:p>
      <w:pPr>
        <w:spacing w:after="120"/>
      </w:pPr>
      <w:r>
        <w:rPr>
          <w:b/>
          <w:sz w:val="22"/>
        </w:rPr>
        <w:t xml:space="preserve">La hipótesis que declaré antes de medir se refutó. </w:t>
      </w:r>
      <w:r>
        <w:rPr>
          <w:i w:val="0"/>
          <w:sz w:val="22"/>
        </w:rPr>
        <w:t>Esperaba que ganara un modelo entrenado en español y que el de cinco estrellas fuera el más débil en NEUTRAL. Ganó un multilingüe, y el más débil en NEUTRAL no fue el de cinco estrellas sino RoBERTuito, uno de los dos modelos en español. Lo dejé por escrito justamente para poder decir esto sin acomodar el relato. Ánimo, que un experimento que solo confirma lo que uno ya creía no era un experimento.</w:t>
      </w:r>
    </w:p>
    <w:p>
      <w:pPr>
        <w:spacing w:after="120"/>
      </w:pPr>
      <w:r>
        <w:rPr>
          <w:b/>
          <w:sz w:val="22"/>
        </w:rPr>
        <w:t xml:space="preserve">La salvedad, y es la conclusión que más me importa. </w:t>
      </w:r>
      <w:r>
        <w:rPr>
          <w:i w:val="0"/>
          <w:sz w:val="22"/>
        </w:rPr>
        <w:t>XLM-R es el mejor de los cuatro, pero no es lo bastante bueno para operar. Con 0.5544 de F1 macro y un máximo de 77.7 % de exactitud alcanzable —y solo sobre el 34.8 % de las notas— el prototipo no cumple los umbrales de operación que fijé en la sección 7 antes de medir. La recomendación completa, entonces, es de dos tiempos: adoptar XLM-R como modelo base del prototipo, y no habilitar la emisión automática de señales hasta haberlo ajustado con un corpus etiquetado por varias personas de la mesa. Decir lo contrario sería vender una herramienta que todavía no está.</w:t>
      </w:r>
    </w:p>
    <w:p>
      <w:pPr>
        <w:pStyle w:val="Ttulo1"/>
      </w:pPr>
      <w:r>
        <w:t>7. Umbrales y riesgos</w:t>
      </w:r>
    </w:p>
    <w:p>
      <w:pPr>
        <w:spacing w:after="120"/>
      </w:pPr>
      <w:r>
        <w:rPr>
          <w:b/>
          <w:sz w:val="22"/>
        </w:rPr>
        <w:t xml:space="preserve">Umbrales de operación. </w:t>
      </w:r>
      <w:r>
        <w:rPr>
          <w:i w:val="0"/>
          <w:sz w:val="22"/>
        </w:rPr>
        <w:t>El prototipo no se opera como un clasificador que siempre responde, sino como un clasificador con derecho a abstenerse. Fijé los cinco umbrales de la Tabla 9 ANTES de medir, para no acomodarlos al resultado. La medición los puso a prueba y lo que salió de ahí es el hallazgo más relevante de la actividad.</w:t>
      </w:r>
    </w:p>
    <w:tbl>
      <w:tblPr>
        <w:tblW w:type="dxa" w:w="8505"/>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927"/>
        <w:gridCol w:w="1701"/>
        <w:gridCol w:w="1587"/>
        <w:gridCol w:w="1360"/>
        <w:gridCol w:w="1927"/>
      </w:tblGrid>
      <w:tr>
        <w:tc>
          <w:tcPr>
            <w:tcW w:type="dxa" w:w="1928"/>
            <w:shd w:val="clear" w:color="auto" w:fill="072146"/>
          </w:tcPr>
          <w:p>
            <w:r/>
            <w:r>
              <w:rPr>
                <w:b/>
                <w:color w:val="FFFFFF"/>
                <w:sz w:val="17"/>
              </w:rPr>
              <w:t>Umbral de confianza</w:t>
            </w:r>
          </w:p>
        </w:tc>
        <w:tc>
          <w:tcPr>
            <w:tcW w:type="dxa" w:w="1701"/>
            <w:shd w:val="clear" w:color="auto" w:fill="072146"/>
          </w:tcPr>
          <w:p>
            <w:r/>
            <w:r>
              <w:rPr>
                <w:b/>
                <w:color w:val="FFFFFF"/>
                <w:sz w:val="17"/>
              </w:rPr>
              <w:t>Cobertura automática</w:t>
            </w:r>
          </w:p>
        </w:tc>
        <w:tc>
          <w:tcPr>
            <w:tcW w:type="dxa" w:w="1587"/>
            <w:shd w:val="clear" w:color="auto" w:fill="072146"/>
          </w:tcPr>
          <w:p>
            <w:r/>
            <w:r>
              <w:rPr>
                <w:b/>
                <w:color w:val="FFFFFF"/>
                <w:sz w:val="17"/>
              </w:rPr>
              <w:t>Notas automáticas</w:t>
            </w:r>
          </w:p>
        </w:tc>
        <w:tc>
          <w:tcPr>
            <w:tcW w:type="dxa" w:w="1361"/>
            <w:shd w:val="clear" w:color="auto" w:fill="072146"/>
          </w:tcPr>
          <w:p>
            <w:r/>
            <w:r>
              <w:rPr>
                <w:b/>
                <w:color w:val="FFFFFF"/>
                <w:sz w:val="17"/>
              </w:rPr>
              <w:t>A revisión</w:t>
            </w:r>
          </w:p>
        </w:tc>
        <w:tc>
          <w:tcPr>
            <w:tcW w:type="dxa" w:w="1928"/>
            <w:shd w:val="clear" w:color="auto" w:fill="072146"/>
          </w:tcPr>
          <w:p>
            <w:r/>
            <w:r>
              <w:rPr>
                <w:b/>
                <w:color w:val="FFFFFF"/>
                <w:sz w:val="17"/>
              </w:rPr>
              <w:t>Exactitud en aceptadas</w:t>
            </w:r>
          </w:p>
        </w:tc>
      </w:tr>
      <w:tr>
        <w:tc>
          <w:tcPr>
            <w:tcW w:type="dxa" w:w="1928"/>
          </w:tcPr>
          <w:p>
            <w:r/>
            <w:r>
              <w:rPr>
                <w:b/>
                <w:sz w:val="17"/>
              </w:rPr>
              <w:t>Sin umbral (0.00)</w:t>
            </w:r>
          </w:p>
        </w:tc>
        <w:tc>
          <w:tcPr>
            <w:tcW w:type="dxa" w:w="1701"/>
          </w:tcPr>
          <w:p>
            <w:r/>
            <w:r>
              <w:rPr>
                <w:sz w:val="17"/>
              </w:rPr>
              <w:t>100.0 %</w:t>
            </w:r>
          </w:p>
        </w:tc>
        <w:tc>
          <w:tcPr>
            <w:tcW w:type="dxa" w:w="1587"/>
          </w:tcPr>
          <w:p>
            <w:r/>
            <w:r>
              <w:rPr>
                <w:sz w:val="17"/>
              </w:rPr>
              <w:t>400</w:t>
            </w:r>
          </w:p>
        </w:tc>
        <w:tc>
          <w:tcPr>
            <w:tcW w:type="dxa" w:w="1361"/>
          </w:tcPr>
          <w:p>
            <w:r/>
            <w:r>
              <w:rPr>
                <w:sz w:val="17"/>
              </w:rPr>
              <w:t>0</w:t>
            </w:r>
          </w:p>
        </w:tc>
        <w:tc>
          <w:tcPr>
            <w:tcW w:type="dxa" w:w="1928"/>
          </w:tcPr>
          <w:p>
            <w:r/>
            <w:r>
              <w:rPr>
                <w:sz w:val="17"/>
              </w:rPr>
              <w:t>55.0 %</w:t>
            </w:r>
          </w:p>
        </w:tc>
      </w:tr>
      <w:tr>
        <w:tc>
          <w:tcPr>
            <w:tcW w:type="dxa" w:w="1928"/>
          </w:tcPr>
          <w:p>
            <w:r/>
            <w:r>
              <w:rPr>
                <w:b/>
                <w:sz w:val="17"/>
              </w:rPr>
              <w:t>0.50</w:t>
            </w:r>
          </w:p>
        </w:tc>
        <w:tc>
          <w:tcPr>
            <w:tcW w:type="dxa" w:w="1701"/>
          </w:tcPr>
          <w:p>
            <w:r/>
            <w:r>
              <w:rPr>
                <w:sz w:val="17"/>
              </w:rPr>
              <w:t>89.0 %</w:t>
            </w:r>
          </w:p>
        </w:tc>
        <w:tc>
          <w:tcPr>
            <w:tcW w:type="dxa" w:w="1587"/>
          </w:tcPr>
          <w:p>
            <w:r/>
            <w:r>
              <w:rPr>
                <w:sz w:val="17"/>
              </w:rPr>
              <w:t>356</w:t>
            </w:r>
          </w:p>
        </w:tc>
        <w:tc>
          <w:tcPr>
            <w:tcW w:type="dxa" w:w="1361"/>
          </w:tcPr>
          <w:p>
            <w:r/>
            <w:r>
              <w:rPr>
                <w:sz w:val="17"/>
              </w:rPr>
              <w:t>44</w:t>
            </w:r>
          </w:p>
        </w:tc>
        <w:tc>
          <w:tcPr>
            <w:tcW w:type="dxa" w:w="1928"/>
          </w:tcPr>
          <w:p>
            <w:r/>
            <w:r>
              <w:rPr>
                <w:sz w:val="17"/>
              </w:rPr>
              <w:t>56.7 %</w:t>
            </w:r>
          </w:p>
        </w:tc>
      </w:tr>
      <w:tr>
        <w:tc>
          <w:tcPr>
            <w:tcW w:type="dxa" w:w="1928"/>
          </w:tcPr>
          <w:p>
            <w:r/>
            <w:r>
              <w:rPr>
                <w:b/>
                <w:sz w:val="17"/>
              </w:rPr>
              <w:t>0.60</w:t>
            </w:r>
          </w:p>
        </w:tc>
        <w:tc>
          <w:tcPr>
            <w:tcW w:type="dxa" w:w="1701"/>
          </w:tcPr>
          <w:p>
            <w:r/>
            <w:r>
              <w:rPr>
                <w:sz w:val="17"/>
              </w:rPr>
              <w:t>63.5 %</w:t>
            </w:r>
          </w:p>
        </w:tc>
        <w:tc>
          <w:tcPr>
            <w:tcW w:type="dxa" w:w="1587"/>
          </w:tcPr>
          <w:p>
            <w:r/>
            <w:r>
              <w:rPr>
                <w:sz w:val="17"/>
              </w:rPr>
              <w:t>254</w:t>
            </w:r>
          </w:p>
        </w:tc>
        <w:tc>
          <w:tcPr>
            <w:tcW w:type="dxa" w:w="1361"/>
          </w:tcPr>
          <w:p>
            <w:r/>
            <w:r>
              <w:rPr>
                <w:sz w:val="17"/>
              </w:rPr>
              <w:t>146</w:t>
            </w:r>
          </w:p>
        </w:tc>
        <w:tc>
          <w:tcPr>
            <w:tcW w:type="dxa" w:w="1928"/>
          </w:tcPr>
          <w:p>
            <w:r/>
            <w:r>
              <w:rPr>
                <w:sz w:val="17"/>
              </w:rPr>
              <w:t>61.4 %</w:t>
            </w:r>
          </w:p>
        </w:tc>
      </w:tr>
      <w:tr>
        <w:tc>
          <w:tcPr>
            <w:tcW w:type="dxa" w:w="1928"/>
          </w:tcPr>
          <w:p>
            <w:r/>
            <w:r>
              <w:rPr>
                <w:b/>
                <w:sz w:val="17"/>
              </w:rPr>
              <w:t>0.70</w:t>
            </w:r>
          </w:p>
        </w:tc>
        <w:tc>
          <w:tcPr>
            <w:tcW w:type="dxa" w:w="1701"/>
          </w:tcPr>
          <w:p>
            <w:r/>
            <w:r>
              <w:rPr>
                <w:sz w:val="17"/>
              </w:rPr>
              <w:t>34.8 %</w:t>
            </w:r>
          </w:p>
        </w:tc>
        <w:tc>
          <w:tcPr>
            <w:tcW w:type="dxa" w:w="1587"/>
          </w:tcPr>
          <w:p>
            <w:r/>
            <w:r>
              <w:rPr>
                <w:sz w:val="17"/>
              </w:rPr>
              <w:t>139</w:t>
            </w:r>
          </w:p>
        </w:tc>
        <w:tc>
          <w:tcPr>
            <w:tcW w:type="dxa" w:w="1361"/>
          </w:tcPr>
          <w:p>
            <w:r/>
            <w:r>
              <w:rPr>
                <w:sz w:val="17"/>
              </w:rPr>
              <w:t>261</w:t>
            </w:r>
          </w:p>
        </w:tc>
        <w:tc>
          <w:tcPr>
            <w:tcW w:type="dxa" w:w="1928"/>
          </w:tcPr>
          <w:p>
            <w:r/>
            <w:r>
              <w:rPr>
                <w:sz w:val="17"/>
              </w:rPr>
              <w:t>77.7 %</w:t>
            </w:r>
          </w:p>
        </w:tc>
      </w:tr>
      <w:tr>
        <w:tc>
          <w:tcPr>
            <w:tcW w:type="dxa" w:w="1928"/>
          </w:tcPr>
          <w:p>
            <w:r/>
            <w:r>
              <w:rPr>
                <w:b/>
                <w:sz w:val="17"/>
              </w:rPr>
              <w:t>0.80</w:t>
            </w:r>
          </w:p>
        </w:tc>
        <w:tc>
          <w:tcPr>
            <w:tcW w:type="dxa" w:w="1701"/>
          </w:tcPr>
          <w:p>
            <w:r/>
            <w:r>
              <w:rPr>
                <w:sz w:val="17"/>
              </w:rPr>
              <w:t>13.2 %</w:t>
            </w:r>
          </w:p>
        </w:tc>
        <w:tc>
          <w:tcPr>
            <w:tcW w:type="dxa" w:w="1587"/>
          </w:tcPr>
          <w:p>
            <w:r/>
            <w:r>
              <w:rPr>
                <w:sz w:val="17"/>
              </w:rPr>
              <w:t>53</w:t>
            </w:r>
          </w:p>
        </w:tc>
        <w:tc>
          <w:tcPr>
            <w:tcW w:type="dxa" w:w="1361"/>
          </w:tcPr>
          <w:p>
            <w:r/>
            <w:r>
              <w:rPr>
                <w:sz w:val="17"/>
              </w:rPr>
              <w:t>347</w:t>
            </w:r>
          </w:p>
        </w:tc>
        <w:tc>
          <w:tcPr>
            <w:tcW w:type="dxa" w:w="1928"/>
          </w:tcPr>
          <w:p>
            <w:r/>
            <w:r>
              <w:rPr>
                <w:sz w:val="17"/>
              </w:rPr>
              <w:t>77.4 %</w:t>
            </w:r>
          </w:p>
        </w:tc>
      </w:tr>
      <w:tr>
        <w:tc>
          <w:tcPr>
            <w:tcW w:type="dxa" w:w="1928"/>
          </w:tcPr>
          <w:p>
            <w:r/>
            <w:r>
              <w:rPr>
                <w:b/>
                <w:sz w:val="17"/>
              </w:rPr>
              <w:t>0.90</w:t>
            </w:r>
          </w:p>
        </w:tc>
        <w:tc>
          <w:tcPr>
            <w:tcW w:type="dxa" w:w="1701"/>
          </w:tcPr>
          <w:p>
            <w:r/>
            <w:r>
              <w:rPr>
                <w:sz w:val="17"/>
              </w:rPr>
              <w:t>0.0 %</w:t>
            </w:r>
          </w:p>
        </w:tc>
        <w:tc>
          <w:tcPr>
            <w:tcW w:type="dxa" w:w="1587"/>
          </w:tcPr>
          <w:p>
            <w:r/>
            <w:r>
              <w:rPr>
                <w:sz w:val="17"/>
              </w:rPr>
              <w:t>0</w:t>
            </w:r>
          </w:p>
        </w:tc>
        <w:tc>
          <w:tcPr>
            <w:tcW w:type="dxa" w:w="1361"/>
          </w:tcPr>
          <w:p>
            <w:r/>
            <w:r>
              <w:rPr>
                <w:sz w:val="17"/>
              </w:rPr>
              <w:t>400</w:t>
            </w:r>
          </w:p>
        </w:tc>
        <w:tc>
          <w:tcPr>
            <w:tcW w:type="dxa" w:w="1928"/>
          </w:tcPr>
          <w:p>
            <w:r/>
            <w:r>
              <w:rPr>
                <w:sz w:val="17"/>
              </w:rPr>
              <w:t>sin notas que medir</w:t>
            </w:r>
          </w:p>
        </w:tc>
      </w:tr>
      <w:tr>
        <w:tc>
          <w:tcPr>
            <w:tcW w:type="dxa" w:w="1928"/>
          </w:tcPr>
          <w:p>
            <w:r/>
            <w:r>
              <w:rPr>
                <w:b/>
                <w:sz w:val="17"/>
              </w:rPr>
              <w:t>0.95</w:t>
            </w:r>
          </w:p>
        </w:tc>
        <w:tc>
          <w:tcPr>
            <w:tcW w:type="dxa" w:w="1701"/>
          </w:tcPr>
          <w:p>
            <w:r/>
            <w:r>
              <w:rPr>
                <w:sz w:val="17"/>
              </w:rPr>
              <w:t>0.0 %</w:t>
            </w:r>
          </w:p>
        </w:tc>
        <w:tc>
          <w:tcPr>
            <w:tcW w:type="dxa" w:w="1587"/>
          </w:tcPr>
          <w:p>
            <w:r/>
            <w:r>
              <w:rPr>
                <w:sz w:val="17"/>
              </w:rPr>
              <w:t>0</w:t>
            </w:r>
          </w:p>
        </w:tc>
        <w:tc>
          <w:tcPr>
            <w:tcW w:type="dxa" w:w="1361"/>
          </w:tcPr>
          <w:p>
            <w:r/>
            <w:r>
              <w:rPr>
                <w:sz w:val="17"/>
              </w:rPr>
              <w:t>400</w:t>
            </w:r>
          </w:p>
        </w:tc>
        <w:tc>
          <w:tcPr>
            <w:tcW w:type="dxa" w:w="1928"/>
          </w:tcPr>
          <w:p>
            <w:r/>
            <w:r>
              <w:rPr>
                <w:sz w:val="17"/>
              </w:rPr>
              <w:t>sin notas que medir</w:t>
            </w:r>
          </w:p>
        </w:tc>
      </w:tr>
    </w:tbl>
    <w:p>
      <w:pPr>
        <w:spacing w:after="200"/>
        <w:jc w:val="center"/>
      </w:pPr>
      <w:r>
        <w:rPr>
          <w:i/>
          <w:sz w:val="18"/>
        </w:rPr>
        <w:t>Tabla 8. Curva de umbral del modelo recomendado sobre las 400 notas. Fuente: resultados/curva_umbral.csv.</w:t>
      </w:r>
    </w:p>
    <w:p>
      <w:pPr>
        <w:spacing w:after="120"/>
      </w:pPr>
      <w:r>
        <w:rPr>
          <w:b/>
          <w:sz w:val="22"/>
        </w:rPr>
        <w:t xml:space="preserve">El punto de operación que pedí no existe. </w:t>
      </w:r>
      <w:r>
        <w:rPr>
          <w:i w:val="0"/>
          <w:sz w:val="22"/>
        </w:rPr>
        <w:t>U2 exige al menos 70 % de cobertura automática y U3 al menos 90 % de exactitud sobre las notas aceptadas. En toda la curva no hay un umbral que cumpla ambos: donde la cobertura alcanza (0.60 y abajo) la exactitud se queda en 61 % o menos, y donde la exactitud sube (0.70) la cobertura cae a 34.8 %. A 0.90 el modelo no emite nada: ninguna de las 400 notas alcanza esa confianza. El mejor punto disponible es 0.70, con 77.7 % de exactitud sobre 139 notas, y ese punto falla U2 por 35 puntos y U3 por 12.</w:t>
      </w:r>
    </w:p>
    <w:p>
      <w:pPr>
        <w:spacing w:after="120"/>
      </w:pPr>
      <w:r>
        <w:rPr>
          <w:b/>
          <w:sz w:val="22"/>
        </w:rPr>
        <w:t xml:space="preserve">U4 falla todavía más claro. </w:t>
      </w:r>
      <w:r>
        <w:rPr>
          <w:i w:val="0"/>
          <w:sz w:val="22"/>
        </w:rPr>
        <w:t>En las 74 notas con negación el modelo recomendado acierta 30 y se equivoca en 44: 40.5 % de exactitud contra el 85 % que fijé como condición. Un ejemplo del corpus deja ver el problema sin necesidad de más estadística. La nota «La calificadora no modificó la nota soberana y retiró la perspectiva negativa» —una noticia buena, etiquetada POSITIVO— fue clasificada NEGATIVO con 0.78 de confianza. El modelo leyó «nota» y «negativa», y no leyó el «no modificó» ni el «retiró». Es exactamente el error más caro en una mesa: una señal invertida, emitida con seguridad alta, sobre el único tipo de nota donde el banquero no puede permitirse una lectura al revés.</w:t>
      </w:r>
    </w:p>
    <w:p>
      <w:pPr>
        <w:spacing w:after="120"/>
      </w:pPr>
      <w:r>
        <w:rPr>
          <w:b/>
          <w:sz w:val="22"/>
        </w:rPr>
        <w:t xml:space="preserve">Qué hago con eso. </w:t>
      </w:r>
      <w:r>
        <w:rPr>
          <w:i w:val="0"/>
          <w:sz w:val="22"/>
        </w:rPr>
        <w:t>No bajar los umbrales. Un umbral que se mueve para que el resultado quepa dentro deja de ser un control. La conclusión operativa es que ningún modelo preentrenado sin fine-tuning califica hoy para emitir señales automáticas en este caso de uso, y que el prototipo arranca en modo asistido: el motor ordena y prioriza la lectura de las notas del día para el asesor, que es donde ya aporta valor, y no emite señal por su cuenta. La emisión automática queda condicionada a superar U2, U3 y U4 con un modelo ajustado sobre corpus etiquetado por la mesa.</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948"/>
        <w:gridCol w:w="4309"/>
        <w:gridCol w:w="1701"/>
      </w:tblGrid>
      <w:tr>
        <w:tc>
          <w:tcPr>
            <w:tcW w:type="dxa" w:w="2948"/>
            <w:shd w:val="clear" w:color="auto" w:fill="072146"/>
          </w:tcPr>
          <w:p>
            <w:r/>
            <w:r>
              <w:rPr>
                <w:b/>
                <w:color w:val="FFFFFF"/>
                <w:sz w:val="17"/>
              </w:rPr>
              <w:t>Umbral</w:t>
            </w:r>
          </w:p>
        </w:tc>
        <w:tc>
          <w:tcPr>
            <w:tcW w:type="dxa" w:w="4309"/>
            <w:shd w:val="clear" w:color="auto" w:fill="072146"/>
          </w:tcPr>
          <w:p>
            <w:r/>
            <w:r>
              <w:rPr>
                <w:b/>
                <w:color w:val="FFFFFF"/>
                <w:sz w:val="17"/>
              </w:rPr>
              <w:t>Regla de operación</w:t>
            </w:r>
          </w:p>
        </w:tc>
        <w:tc>
          <w:tcPr>
            <w:tcW w:type="dxa" w:w="1701"/>
            <w:shd w:val="clear" w:color="auto" w:fill="072146"/>
          </w:tcPr>
          <w:p>
            <w:r/>
            <w:r>
              <w:rPr>
                <w:b/>
                <w:color w:val="FFFFFF"/>
                <w:sz w:val="17"/>
              </w:rPr>
              <w:t>Valor</w:t>
            </w:r>
          </w:p>
        </w:tc>
      </w:tr>
      <w:tr>
        <w:tc>
          <w:tcPr>
            <w:tcW w:type="dxa" w:w="2948"/>
          </w:tcPr>
          <w:p>
            <w:r/>
            <w:r>
              <w:rPr>
                <w:b/>
                <w:sz w:val="17"/>
              </w:rPr>
              <w:t>U1. Confianza mínima para emitir señal</w:t>
            </w:r>
          </w:p>
        </w:tc>
        <w:tc>
          <w:tcPr>
            <w:tcW w:type="dxa" w:w="4309"/>
          </w:tcPr>
          <w:p>
            <w:r/>
            <w:r>
              <w:rPr>
                <w:sz w:val="17"/>
              </w:rPr>
              <w:t>Por debajo, la nota pasa a revisión del asesor y no genera señal automática</w:t>
            </w:r>
          </w:p>
        </w:tc>
        <w:tc>
          <w:tcPr>
            <w:tcW w:type="dxa" w:w="1701"/>
          </w:tcPr>
          <w:p>
            <w:r/>
            <w:r>
              <w:rPr>
                <w:sz w:val="17"/>
              </w:rPr>
              <w:t>0.70 · medido</w:t>
            </w:r>
          </w:p>
        </w:tc>
      </w:tr>
      <w:tr>
        <w:tc>
          <w:tcPr>
            <w:tcW w:type="dxa" w:w="2948"/>
          </w:tcPr>
          <w:p>
            <w:r/>
            <w:r>
              <w:rPr>
                <w:b/>
                <w:sz w:val="17"/>
              </w:rPr>
              <w:t>U2. Cobertura automática mínima aceptable</w:t>
            </w:r>
          </w:p>
        </w:tc>
        <w:tc>
          <w:tcPr>
            <w:tcW w:type="dxa" w:w="4309"/>
          </w:tcPr>
          <w:p>
            <w:r/>
            <w:r>
              <w:rPr>
                <w:sz w:val="17"/>
              </w:rPr>
              <w:t>Si cae por debajo, el modelo no está aportando eficiencia y hay que recalibrar</w:t>
            </w:r>
          </w:p>
        </w:tc>
        <w:tc>
          <w:tcPr>
            <w:tcW w:type="dxa" w:w="1701"/>
          </w:tcPr>
          <w:p>
            <w:r/>
            <w:r>
              <w:rPr>
                <w:sz w:val="17"/>
              </w:rPr>
              <w:t>70 %</w:t>
            </w:r>
          </w:p>
        </w:tc>
      </w:tr>
      <w:tr>
        <w:tc>
          <w:tcPr>
            <w:tcW w:type="dxa" w:w="2948"/>
          </w:tcPr>
          <w:p>
            <w:r/>
            <w:r>
              <w:rPr>
                <w:b/>
                <w:sz w:val="17"/>
              </w:rPr>
              <w:t>U3. Exactitud mínima sobre notas aceptadas</w:t>
            </w:r>
          </w:p>
        </w:tc>
        <w:tc>
          <w:tcPr>
            <w:tcW w:type="dxa" w:w="4309"/>
          </w:tcPr>
          <w:p>
            <w:r/>
            <w:r>
              <w:rPr>
                <w:sz w:val="17"/>
              </w:rPr>
              <w:t>Condición para que el motor opere sin revisión caso por caso</w:t>
            </w:r>
          </w:p>
        </w:tc>
        <w:tc>
          <w:tcPr>
            <w:tcW w:type="dxa" w:w="1701"/>
          </w:tcPr>
          <w:p>
            <w:r/>
            <w:r>
              <w:rPr>
                <w:sz w:val="17"/>
              </w:rPr>
              <w:t>90 %</w:t>
            </w:r>
          </w:p>
        </w:tc>
      </w:tr>
      <w:tr>
        <w:tc>
          <w:tcPr>
            <w:tcW w:type="dxa" w:w="2948"/>
          </w:tcPr>
          <w:p>
            <w:r/>
            <w:r>
              <w:rPr>
                <w:b/>
                <w:sz w:val="17"/>
              </w:rPr>
              <w:t>U4. Exactitud mínima en notas con negación</w:t>
            </w:r>
          </w:p>
        </w:tc>
        <w:tc>
          <w:tcPr>
            <w:tcW w:type="dxa" w:w="4309"/>
          </w:tcPr>
          <w:p>
            <w:r/>
            <w:r>
              <w:rPr>
                <w:sz w:val="17"/>
              </w:rPr>
              <w:t>Subconjunto crítico; por debajo se desactiva la emisión automática</w:t>
            </w:r>
          </w:p>
        </w:tc>
        <w:tc>
          <w:tcPr>
            <w:tcW w:type="dxa" w:w="1701"/>
          </w:tcPr>
          <w:p>
            <w:r/>
            <w:r>
              <w:rPr>
                <w:sz w:val="17"/>
              </w:rPr>
              <w:t>85 %</w:t>
            </w:r>
          </w:p>
        </w:tc>
      </w:tr>
      <w:tr>
        <w:tc>
          <w:tcPr>
            <w:tcW w:type="dxa" w:w="2948"/>
          </w:tcPr>
          <w:p>
            <w:r/>
            <w:r>
              <w:rPr>
                <w:b/>
                <w:sz w:val="17"/>
              </w:rPr>
              <w:t>U5. Caída máxima tolerada entre revisiones trimestrales</w:t>
            </w:r>
          </w:p>
        </w:tc>
        <w:tc>
          <w:tcPr>
            <w:tcW w:type="dxa" w:w="4309"/>
          </w:tcPr>
          <w:p>
            <w:r/>
            <w:r>
              <w:rPr>
                <w:sz w:val="17"/>
              </w:rPr>
              <w:t>Detecta deriva del dominio; dispara reentrenamiento o cambio de modelo</w:t>
            </w:r>
          </w:p>
        </w:tc>
        <w:tc>
          <w:tcPr>
            <w:tcW w:type="dxa" w:w="1701"/>
          </w:tcPr>
          <w:p>
            <w:r/>
            <w:r>
              <w:rPr>
                <w:sz w:val="17"/>
              </w:rPr>
              <w:t>5 puntos de F1</w:t>
            </w:r>
          </w:p>
        </w:tc>
      </w:tr>
    </w:tbl>
    <w:p>
      <w:pPr>
        <w:spacing w:after="200"/>
        <w:jc w:val="center"/>
      </w:pPr>
      <w:r>
        <w:rPr>
          <w:i/>
          <w:sz w:val="18"/>
        </w:rPr>
        <w:t>Tabla 9. Umbrales fijados antes de medir. U2, U3 y U4 NO se cumplen con ninguno de los cuatro modelos evaluados.</w:t>
      </w:r>
    </w:p>
    <w:p>
      <w:pPr>
        <w:spacing w:after="120"/>
      </w:pPr>
      <w:r>
        <w:rPr>
          <w:b/>
          <w:sz w:val="22"/>
        </w:rPr>
        <w:t xml:space="preserve">Resultado contra los umbrales: </w:t>
      </w:r>
      <w:r>
        <w:rPr>
          <w:i w:val="0"/>
          <w:sz w:val="22"/>
        </w:rPr>
        <w:t>U1 queda en 0.70 · U2 falla, 34.8 % contra 70 % exigido · U3 falla, 77.7 % contra 90 % · U4 falla, 40.5 % contra 85 % · U5 queda establecido como control trimestral para la fase siguiente. Tres de cinco umbrales no se cumplen, y ese es el resultado de la actividad, no su fracaso: el ejercicio sirvió precisamente para saberlo antes de prometerle algo a la mesa.</w:t>
      </w:r>
    </w:p>
    <w:p>
      <w:pPr>
        <w:spacing w:after="120"/>
      </w:pPr>
      <w:r>
        <w:rPr>
          <w:b/>
          <w:sz w:val="22"/>
        </w:rPr>
        <w:t xml:space="preserve">Riesgos. </w:t>
      </w:r>
      <w:r>
        <w:rPr>
          <w:i w:val="0"/>
          <w:sz w:val="22"/>
        </w:rPr>
        <w:t>Los organizo en las cuatro categorías que venimos usando en la materia: sesgo, ética y privacidad, explicabilidad y mantenimiento.</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567"/>
        <w:gridCol w:w="1247"/>
        <w:gridCol w:w="2608"/>
        <w:gridCol w:w="623"/>
        <w:gridCol w:w="623"/>
        <w:gridCol w:w="3288"/>
      </w:tblGrid>
      <w:tr>
        <w:tc>
          <w:tcPr>
            <w:tcW w:type="dxa" w:w="567"/>
            <w:shd w:val="clear" w:color="auto" w:fill="072146"/>
          </w:tcPr>
          <w:p>
            <w:r/>
            <w:r>
              <w:rPr>
                <w:b/>
                <w:color w:val="FFFFFF"/>
                <w:sz w:val="16"/>
              </w:rPr>
              <w:t>ID</w:t>
            </w:r>
          </w:p>
        </w:tc>
        <w:tc>
          <w:tcPr>
            <w:tcW w:type="dxa" w:w="1247"/>
            <w:shd w:val="clear" w:color="auto" w:fill="072146"/>
          </w:tcPr>
          <w:p>
            <w:r/>
            <w:r>
              <w:rPr>
                <w:b/>
                <w:color w:val="FFFFFF"/>
                <w:sz w:val="16"/>
              </w:rPr>
              <w:t>Categoría</w:t>
            </w:r>
          </w:p>
        </w:tc>
        <w:tc>
          <w:tcPr>
            <w:tcW w:type="dxa" w:w="2608"/>
            <w:shd w:val="clear" w:color="auto" w:fill="072146"/>
          </w:tcPr>
          <w:p>
            <w:r/>
            <w:r>
              <w:rPr>
                <w:b/>
                <w:color w:val="FFFFFF"/>
                <w:sz w:val="16"/>
              </w:rPr>
              <w:t>Riesgo</w:t>
            </w:r>
          </w:p>
        </w:tc>
        <w:tc>
          <w:tcPr>
            <w:tcW w:type="dxa" w:w="624"/>
            <w:shd w:val="clear" w:color="auto" w:fill="072146"/>
          </w:tcPr>
          <w:p>
            <w:r/>
            <w:r>
              <w:rPr>
                <w:b/>
                <w:color w:val="FFFFFF"/>
                <w:sz w:val="16"/>
              </w:rPr>
              <w:t>Prob.</w:t>
            </w:r>
          </w:p>
        </w:tc>
        <w:tc>
          <w:tcPr>
            <w:tcW w:type="dxa" w:w="624"/>
            <w:shd w:val="clear" w:color="auto" w:fill="072146"/>
          </w:tcPr>
          <w:p>
            <w:r/>
            <w:r>
              <w:rPr>
                <w:b/>
                <w:color w:val="FFFFFF"/>
                <w:sz w:val="16"/>
              </w:rPr>
              <w:t>Imp.</w:t>
            </w:r>
          </w:p>
        </w:tc>
        <w:tc>
          <w:tcPr>
            <w:tcW w:type="dxa" w:w="3288"/>
            <w:shd w:val="clear" w:color="auto" w:fill="072146"/>
          </w:tcPr>
          <w:p>
            <w:r/>
            <w:r>
              <w:rPr>
                <w:b/>
                <w:color w:val="FFFFFF"/>
                <w:sz w:val="16"/>
              </w:rPr>
              <w:t>Mitigación</w:t>
            </w:r>
          </w:p>
        </w:tc>
      </w:tr>
      <w:tr>
        <w:tc>
          <w:tcPr>
            <w:tcW w:type="dxa" w:w="567"/>
          </w:tcPr>
          <w:p>
            <w:r/>
            <w:r>
              <w:rPr>
                <w:sz w:val="16"/>
              </w:rPr>
              <w:t>R-01</w:t>
            </w:r>
          </w:p>
        </w:tc>
        <w:tc>
          <w:tcPr>
            <w:tcW w:type="dxa" w:w="1247"/>
          </w:tcPr>
          <w:p>
            <w:r/>
            <w:r>
              <w:rPr>
                <w:sz w:val="16"/>
              </w:rPr>
              <w:t>Sesgo</w:t>
            </w:r>
          </w:p>
        </w:tc>
        <w:tc>
          <w:tcPr>
            <w:tcW w:type="dxa" w:w="2608"/>
          </w:tcPr>
          <w:p>
            <w:r/>
            <w:r>
              <w:rPr>
                <w:sz w:val="16"/>
              </w:rPr>
              <w:t>Los cuatro modelos fueron entrenados con texto de redes sociales y reseñas, no con lenguaje financiero. Pueden leer el registro formal de la mesa como neutro y perder señal.</w:t>
            </w:r>
          </w:p>
        </w:tc>
        <w:tc>
          <w:tcPr>
            <w:tcW w:type="dxa" w:w="624"/>
          </w:tcPr>
          <w:p>
            <w:r/>
            <w:r>
              <w:rPr>
                <w:sz w:val="16"/>
              </w:rPr>
              <w:t>Alta</w:t>
            </w:r>
          </w:p>
        </w:tc>
        <w:tc>
          <w:tcPr>
            <w:tcW w:type="dxa" w:w="624"/>
          </w:tcPr>
          <w:p>
            <w:r/>
            <w:r>
              <w:rPr>
                <w:sz w:val="16"/>
              </w:rPr>
              <w:t>Alta</w:t>
            </w:r>
          </w:p>
        </w:tc>
        <w:tc>
          <w:tcPr>
            <w:tcW w:type="dxa" w:w="3288"/>
          </w:tcPr>
          <w:p>
            <w:r/>
            <w:r>
              <w:rPr>
                <w:sz w:val="16"/>
              </w:rPr>
              <w:t>CONFIRMADO por la medición: recall en NEUTRAL de 0.988, 0.976 y 0.940 en los tres modelos de sentimiento. La mitigación por umbral resultó insuficiente y se eleva a condición de fine-tuning previo a cualquier emisión automática.</w:t>
            </w:r>
          </w:p>
        </w:tc>
      </w:tr>
      <w:tr>
        <w:tc>
          <w:tcPr>
            <w:tcW w:type="dxa" w:w="567"/>
          </w:tcPr>
          <w:p>
            <w:r/>
            <w:r>
              <w:rPr>
                <w:sz w:val="16"/>
              </w:rPr>
              <w:t>R-02</w:t>
            </w:r>
          </w:p>
        </w:tc>
        <w:tc>
          <w:tcPr>
            <w:tcW w:type="dxa" w:w="1247"/>
          </w:tcPr>
          <w:p>
            <w:r/>
            <w:r>
              <w:rPr>
                <w:sz w:val="16"/>
              </w:rPr>
              <w:t>Sesgo</w:t>
            </w:r>
          </w:p>
        </w:tc>
        <w:tc>
          <w:tcPr>
            <w:tcW w:type="dxa" w:w="2608"/>
          </w:tcPr>
          <w:p>
            <w:r/>
            <w:r>
              <w:rPr>
                <w:sz w:val="16"/>
              </w:rPr>
              <w:t>El corpus lo etiqueté yo solo. Mi criterio de qué es POSITIVO queda incrustado en la medición y en cualquier ajuste posterior.</w:t>
            </w:r>
          </w:p>
        </w:tc>
        <w:tc>
          <w:tcPr>
            <w:tcW w:type="dxa" w:w="624"/>
          </w:tcPr>
          <w:p>
            <w:r/>
            <w:r>
              <w:rPr>
                <w:sz w:val="16"/>
              </w:rPr>
              <w:t>Alta</w:t>
            </w:r>
          </w:p>
        </w:tc>
        <w:tc>
          <w:tcPr>
            <w:tcW w:type="dxa" w:w="624"/>
          </w:tcPr>
          <w:p>
            <w:r/>
            <w:r>
              <w:rPr>
                <w:sz w:val="16"/>
              </w:rPr>
              <w:t>Media</w:t>
            </w:r>
          </w:p>
        </w:tc>
        <w:tc>
          <w:tcPr>
            <w:tcW w:type="dxa" w:w="3288"/>
          </w:tcPr>
          <w:p>
            <w:r/>
            <w:r>
              <w:rPr>
                <w:sz w:val="16"/>
              </w:rPr>
              <w:t>Declarado como limitación. Antes de cualquier fine-tuning, etiquetado por tres personas de la mesa con medición de acuerdo entre evaluadores.</w:t>
            </w:r>
          </w:p>
        </w:tc>
      </w:tr>
      <w:tr>
        <w:tc>
          <w:tcPr>
            <w:tcW w:type="dxa" w:w="567"/>
          </w:tcPr>
          <w:p>
            <w:r/>
            <w:r>
              <w:rPr>
                <w:sz w:val="16"/>
              </w:rPr>
              <w:t>R-03</w:t>
            </w:r>
          </w:p>
        </w:tc>
        <w:tc>
          <w:tcPr>
            <w:tcW w:type="dxa" w:w="1247"/>
          </w:tcPr>
          <w:p>
            <w:r/>
            <w:r>
              <w:rPr>
                <w:sz w:val="16"/>
              </w:rPr>
              <w:t>Ética y privacidad</w:t>
            </w:r>
          </w:p>
        </w:tc>
        <w:tc>
          <w:tcPr>
            <w:tcW w:type="dxa" w:w="2608"/>
          </w:tcPr>
          <w:p>
            <w:r/>
            <w:r>
              <w:rPr>
                <w:sz w:val="16"/>
              </w:rPr>
              <w:t>Enviar notas internas o datos de clientes a un servicio externo de inferencia.</w:t>
            </w:r>
          </w:p>
        </w:tc>
        <w:tc>
          <w:tcPr>
            <w:tcW w:type="dxa" w:w="624"/>
          </w:tcPr>
          <w:p>
            <w:r/>
            <w:r>
              <w:rPr>
                <w:sz w:val="16"/>
              </w:rPr>
              <w:t>Media</w:t>
            </w:r>
          </w:p>
        </w:tc>
        <w:tc>
          <w:tcPr>
            <w:tcW w:type="dxa" w:w="624"/>
          </w:tcPr>
          <w:p>
            <w:r/>
            <w:r>
              <w:rPr>
                <w:sz w:val="16"/>
              </w:rPr>
              <w:t>Alta</w:t>
            </w:r>
          </w:p>
        </w:tc>
        <w:tc>
          <w:tcPr>
            <w:tcW w:type="dxa" w:w="3288"/>
          </w:tcPr>
          <w:p>
            <w:r/>
            <w:r>
              <w:rPr>
                <w:sz w:val="16"/>
              </w:rPr>
              <w:t>Los cuatro modelos son descargables y se ejecutan dentro del perímetro. Ninguna nota con información de cliente sale del banco. Tratamiento conforme a la LFPDPPP.</w:t>
            </w:r>
          </w:p>
        </w:tc>
      </w:tr>
      <w:tr>
        <w:tc>
          <w:tcPr>
            <w:tcW w:type="dxa" w:w="567"/>
          </w:tcPr>
          <w:p>
            <w:r/>
            <w:r>
              <w:rPr>
                <w:sz w:val="16"/>
              </w:rPr>
              <w:t>R-04</w:t>
            </w:r>
          </w:p>
        </w:tc>
        <w:tc>
          <w:tcPr>
            <w:tcW w:type="dxa" w:w="1247"/>
          </w:tcPr>
          <w:p>
            <w:r/>
            <w:r>
              <w:rPr>
                <w:sz w:val="16"/>
              </w:rPr>
              <w:t>Ética y privacidad</w:t>
            </w:r>
          </w:p>
        </w:tc>
        <w:tc>
          <w:tcPr>
            <w:tcW w:type="dxa" w:w="2608"/>
          </w:tcPr>
          <w:p>
            <w:r/>
            <w:r>
              <w:rPr>
                <w:sz w:val="16"/>
              </w:rPr>
              <w:t>Que una señal mal clasificada derive en una recomendación no idónea para el perfil del cliente.</w:t>
            </w:r>
          </w:p>
        </w:tc>
        <w:tc>
          <w:tcPr>
            <w:tcW w:type="dxa" w:w="624"/>
          </w:tcPr>
          <w:p>
            <w:r/>
            <w:r>
              <w:rPr>
                <w:sz w:val="16"/>
              </w:rPr>
              <w:t>Media</w:t>
            </w:r>
          </w:p>
        </w:tc>
        <w:tc>
          <w:tcPr>
            <w:tcW w:type="dxa" w:w="624"/>
          </w:tcPr>
          <w:p>
            <w:r/>
            <w:r>
              <w:rPr>
                <w:sz w:val="16"/>
              </w:rPr>
              <w:t>Alta</w:t>
            </w:r>
          </w:p>
        </w:tc>
        <w:tc>
          <w:tcPr>
            <w:tcW w:type="dxa" w:w="3288"/>
          </w:tcPr>
          <w:p>
            <w:r/>
            <w:r>
              <w:rPr>
                <w:sz w:val="16"/>
              </w:rPr>
              <w:t>La clasificación no emite órdenes. Alimenta un motor que aplica el umbral de costo del 2 % y el menú autorizado del perfil, y toda propuesta la firma el asesor.</w:t>
            </w:r>
          </w:p>
        </w:tc>
      </w:tr>
      <w:tr>
        <w:tc>
          <w:tcPr>
            <w:tcW w:type="dxa" w:w="567"/>
          </w:tcPr>
          <w:p>
            <w:r/>
            <w:r>
              <w:rPr>
                <w:sz w:val="16"/>
              </w:rPr>
              <w:t>R-05</w:t>
            </w:r>
          </w:p>
        </w:tc>
        <w:tc>
          <w:tcPr>
            <w:tcW w:type="dxa" w:w="1247"/>
          </w:tcPr>
          <w:p>
            <w:r/>
            <w:r>
              <w:rPr>
                <w:sz w:val="16"/>
              </w:rPr>
              <w:t>Explicabilidad</w:t>
            </w:r>
          </w:p>
        </w:tc>
        <w:tc>
          <w:tcPr>
            <w:tcW w:type="dxa" w:w="2608"/>
          </w:tcPr>
          <w:p>
            <w:r/>
            <w:r>
              <w:rPr>
                <w:sz w:val="16"/>
              </w:rPr>
              <w:t>El modelo entrega una etiqueta y una confianza, no una razón. El asesor no puede defender ante el cliente una señal que no sabe explicar.</w:t>
            </w:r>
          </w:p>
        </w:tc>
        <w:tc>
          <w:tcPr>
            <w:tcW w:type="dxa" w:w="624"/>
          </w:tcPr>
          <w:p>
            <w:r/>
            <w:r>
              <w:rPr>
                <w:sz w:val="16"/>
              </w:rPr>
              <w:t>Alta</w:t>
            </w:r>
          </w:p>
        </w:tc>
        <w:tc>
          <w:tcPr>
            <w:tcW w:type="dxa" w:w="624"/>
          </w:tcPr>
          <w:p>
            <w:r/>
            <w:r>
              <w:rPr>
                <w:sz w:val="16"/>
              </w:rPr>
              <w:t>Media</w:t>
            </w:r>
          </w:p>
        </w:tc>
        <w:tc>
          <w:tcPr>
            <w:tcW w:type="dxa" w:w="3288"/>
          </w:tcPr>
          <w:p>
            <w:r/>
            <w:r>
              <w:rPr>
                <w:sz w:val="16"/>
              </w:rPr>
              <w:t>Toda señal se entrega con la nota que la originó, su fuente y su fecha. El asesor lee el texto, no solo la etiqueta.</w:t>
            </w:r>
          </w:p>
        </w:tc>
      </w:tr>
      <w:tr>
        <w:tc>
          <w:tcPr>
            <w:tcW w:type="dxa" w:w="567"/>
          </w:tcPr>
          <w:p>
            <w:r/>
            <w:r>
              <w:rPr>
                <w:sz w:val="16"/>
              </w:rPr>
              <w:t>R-06</w:t>
            </w:r>
          </w:p>
        </w:tc>
        <w:tc>
          <w:tcPr>
            <w:tcW w:type="dxa" w:w="1247"/>
          </w:tcPr>
          <w:p>
            <w:r/>
            <w:r>
              <w:rPr>
                <w:sz w:val="16"/>
              </w:rPr>
              <w:t>Mantenimiento</w:t>
            </w:r>
          </w:p>
        </w:tc>
        <w:tc>
          <w:tcPr>
            <w:tcW w:type="dxa" w:w="2608"/>
          </w:tcPr>
          <w:p>
            <w:r/>
            <w:r>
              <w:rPr>
                <w:sz w:val="16"/>
              </w:rPr>
              <w:t>Deriva del dominio: el vocabulario del mercado cambia y el desempeño se degrada en silencio.</w:t>
            </w:r>
          </w:p>
        </w:tc>
        <w:tc>
          <w:tcPr>
            <w:tcW w:type="dxa" w:w="624"/>
          </w:tcPr>
          <w:p>
            <w:r/>
            <w:r>
              <w:rPr>
                <w:sz w:val="16"/>
              </w:rPr>
              <w:t>Alta</w:t>
            </w:r>
          </w:p>
        </w:tc>
        <w:tc>
          <w:tcPr>
            <w:tcW w:type="dxa" w:w="624"/>
          </w:tcPr>
          <w:p>
            <w:r/>
            <w:r>
              <w:rPr>
                <w:sz w:val="16"/>
              </w:rPr>
              <w:t>Media</w:t>
            </w:r>
          </w:p>
        </w:tc>
        <w:tc>
          <w:tcPr>
            <w:tcW w:type="dxa" w:w="3288"/>
          </w:tcPr>
          <w:p>
            <w:r/>
            <w:r>
              <w:rPr>
                <w:sz w:val="16"/>
              </w:rPr>
              <w:t>Umbral U5: revisión trimestral sobre notas nuevas. Caída mayor a 5 puntos de F1 dispara recalibración o cambio de modelo.</w:t>
            </w:r>
          </w:p>
        </w:tc>
      </w:tr>
      <w:tr>
        <w:tc>
          <w:tcPr>
            <w:tcW w:type="dxa" w:w="567"/>
          </w:tcPr>
          <w:p>
            <w:r/>
            <w:r>
              <w:rPr>
                <w:sz w:val="16"/>
              </w:rPr>
              <w:t>R-07</w:t>
            </w:r>
          </w:p>
        </w:tc>
        <w:tc>
          <w:tcPr>
            <w:tcW w:type="dxa" w:w="1247"/>
          </w:tcPr>
          <w:p>
            <w:r/>
            <w:r>
              <w:rPr>
                <w:sz w:val="16"/>
              </w:rPr>
              <w:t>Mantenimiento</w:t>
            </w:r>
          </w:p>
        </w:tc>
        <w:tc>
          <w:tcPr>
            <w:tcW w:type="dxa" w:w="2608"/>
          </w:tcPr>
          <w:p>
            <w:r/>
            <w:r>
              <w:rPr>
                <w:sz w:val="16"/>
              </w:rPr>
              <w:t>Dependencia de un repositorio público de terceros que puede cambiar o desaparecer.</w:t>
            </w:r>
          </w:p>
        </w:tc>
        <w:tc>
          <w:tcPr>
            <w:tcW w:type="dxa" w:w="624"/>
          </w:tcPr>
          <w:p>
            <w:r/>
            <w:r>
              <w:rPr>
                <w:sz w:val="16"/>
              </w:rPr>
              <w:t>Media</w:t>
            </w:r>
          </w:p>
        </w:tc>
        <w:tc>
          <w:tcPr>
            <w:tcW w:type="dxa" w:w="624"/>
          </w:tcPr>
          <w:p>
            <w:r/>
            <w:r>
              <w:rPr>
                <w:sz w:val="16"/>
              </w:rPr>
              <w:t>Media</w:t>
            </w:r>
          </w:p>
        </w:tc>
        <w:tc>
          <w:tcPr>
            <w:tcW w:type="dxa" w:w="3288"/>
          </w:tcPr>
          <w:p>
            <w:r/>
            <w:r>
              <w:rPr>
                <w:sz w:val="16"/>
              </w:rPr>
              <w:t>Versión fijada en requirements.txt y copia del modelo en el registro interno antes de cualquier despliegue productivo.</w:t>
            </w:r>
          </w:p>
        </w:tc>
      </w:tr>
    </w:tbl>
    <w:p>
      <w:pPr>
        <w:spacing w:after="200"/>
        <w:jc w:val="center"/>
      </w:pPr>
      <w:r>
        <w:rPr>
          <w:i/>
          <w:sz w:val="18"/>
        </w:rPr>
        <w:t>Tabla 10. Riesgos del prototipo y su mitigación. La medición confirmó R-01. Elaboración propia.</w:t>
      </w:r>
    </w:p>
    <w:p>
      <w:pPr>
        <w:pStyle w:val="Ttulo1"/>
      </w:pPr>
      <w:r>
        <w:t>8. Conclusiones</w:t>
      </w:r>
    </w:p>
    <w:p>
      <w:pPr>
        <w:spacing w:after="120"/>
      </w:pPr>
      <w:r>
        <w:rPr>
          <w:b/>
          <w:sz w:val="22"/>
        </w:rPr>
        <w:t xml:space="preserve">Primera: ganó el modelo que no esperaba, y eso también es un resultado. </w:t>
      </w:r>
      <w:r>
        <w:rPr>
          <w:i w:val="0"/>
          <w:sz w:val="22"/>
        </w:rPr>
        <w:t>Dejé escrito, antes de medir, que esperaba ganar con un modelo entrenado en español. Ganó cardiffnlp/twitter-xlm-roberta-base-sentiment, que es multilingüe, con 0.5544 de F1 macro contra 0.4719 del mejor modelo en español; y el último lugar de los cuatro también fue un modelo en español. La lectura que me queda es que en este caso de uso el cuello de botella no es el idioma sino el dominio: los cuatro aprendieron de tuits y reseñas, y el lenguaje de una mesa de dinero les resulta ajeno por igual.</w:t>
      </w:r>
    </w:p>
    <w:p>
      <w:pPr>
        <w:spacing w:after="120"/>
      </w:pPr>
      <w:r>
        <w:rPr>
          <w:b/>
          <w:sz w:val="22"/>
        </w:rPr>
        <w:t xml:space="preserve">Segunda: la brecha de dominio es mucho mayor de lo que anticipé. </w:t>
      </w:r>
      <w:r>
        <w:rPr>
          <w:i w:val="0"/>
          <w:sz w:val="22"/>
        </w:rPr>
        <w:t>0.5544 de F1 macro sobre tres clases, cuando el azar daría 0.333. Los tres modelos de sentimiento colapsan hacia NEUTRAL en cuanto leen registro financiero formal —recall de 0.988, 0.976 y 0.940 en esa clase— y uno de ellos acertó una sola de las 158 notas positivas del corpus. Las tarjetas de estos modelos reportan desempeños muy superiores en sus propios conjuntos de prueba. Esa distancia entre la métrica publicada y la métrica propia es el argumento central del Tema 9, y aquí quedó medida sobre mis datos y no citada de un artículo.</w:t>
      </w:r>
    </w:p>
    <w:p>
      <w:pPr>
        <w:spacing w:after="120"/>
      </w:pPr>
      <w:r>
        <w:rPr>
          <w:b/>
          <w:sz w:val="22"/>
        </w:rPr>
        <w:t xml:space="preserve">Tercera, y la que importa para el prototipo: el punto de operación que exigí no existe. </w:t>
      </w:r>
      <w:r>
        <w:rPr>
          <w:i w:val="0"/>
          <w:sz w:val="22"/>
        </w:rPr>
        <w:t>Fijé antes de medir que el motor solo podría emitir señales si cubría al menos 70 % de las notas con al menos 90 % de exactitud. En la curva completa no hay un umbral que cumpla ambas condiciones, y a 0.90 de confianza el modelo no emite nada. La conclusión honesta es que ningún modelo preentrenado sin fine-tuning califica hoy para emisión automática en este caso de uso. No bajé el umbral para que el resultado cupiera: un umbral que se mueve para validar el resultado deja de ser un control, y en banca esa es justamente la clase de atajo que después se paga.</w:t>
      </w:r>
    </w:p>
    <w:p>
      <w:pPr>
        <w:spacing w:after="120"/>
      </w:pPr>
      <w:r>
        <w:rPr>
          <w:b/>
          <w:sz w:val="22"/>
        </w:rPr>
        <w:t xml:space="preserve">Cuarta: el prototipo sigue siendo viable, en otro modo. </w:t>
      </w:r>
      <w:r>
        <w:rPr>
          <w:i w:val="0"/>
          <w:sz w:val="22"/>
        </w:rPr>
        <w:t>Lo que la medición descarta es la emisión automática de señales, no la herramienta. A 331 notas por segundo y 3 ms por nota, el motor puede ordenar y priorizar la lectura del día para el asesor —qué notas tocan a qué clientes de la cartera y en qué orden— sin afirmar nada sobre su signo. Ese es el alcance que la evidencia sostiene y es el alcance con el que arranca. La emisión automática queda como fase dos, condicionada a un corpus etiquetado por al menos tres personas de la mesa y a volver a correr esta misma comparación.</w:t>
      </w:r>
    </w:p>
    <w:p>
      <w:pPr>
        <w:spacing w:after="120"/>
      </w:pPr>
      <w:r>
        <w:rPr>
          <w:b/>
          <w:sz w:val="22"/>
        </w:rPr>
        <w:t xml:space="preserve">Quinta: el ejercicio hizo su trabajo. </w:t>
      </w:r>
      <w:r>
        <w:rPr>
          <w:i w:val="0"/>
          <w:sz w:val="22"/>
        </w:rPr>
        <w:t>Una actividad cuyos números hubieran confirmado todo lo que supuse de entrada no me habría enseñado nada. Esta refutó mi hipótesis sobre el idioma, confirmó el riesgo R-01 que había declarado antes de medir y tumbó tres de mis cinco umbrales. Ese es el valor de medir sobre datos propios antes de comprometer un entregable con la mesa, y es la razón por la que construí 400 notas a mano en lugar de citar las métricas de las tarjetas.</w:t>
      </w:r>
    </w:p>
    <w:p>
      <w:pPr>
        <w:spacing w:after="120"/>
      </w:pPr>
      <w:r>
        <w:rPr>
          <w:i w:val="0"/>
          <w:sz w:val="22"/>
        </w:rPr>
        <w:t>Cierro con la frase con la que he trabajado toda la materia, que este ejercicio confirma desde el lado más técnico: la inteligencia artificial no sustituye el criterio del banquero, lo aumenta. Un clasificador que sabe cuándo callarse es más útil para la mesa que uno que siempre responde. Y un reporte que sabe decir «esto todavía no sirve para lo que yo quería» vale más que uno que acomoda los umbrales hasta que todo salga en verde. Ánimo, y seguimos.</w:t>
      </w:r>
    </w:p>
    <w:p>
      <w:pPr>
        <w:pStyle w:val="Ttulo1"/>
      </w:pPr>
      <w:r>
        <w:t>Referencias bibliográficas</w:t>
      </w:r>
    </w:p>
    <w:p>
      <w:pPr>
        <w:spacing w:after="120"/>
      </w:pPr>
      <w:r>
        <w:rPr>
          <w:i/>
          <w:sz w:val="18"/>
        </w:rPr>
        <w:t>Formato APA 7.ª edición, ordenadas alfabéticamente.</w:t>
      </w:r>
    </w:p>
    <w:p>
      <w:pPr>
        <w:spacing w:after="80"/>
      </w:pPr>
      <w:r>
        <w:rPr>
          <w:i w:val="0"/>
          <w:sz w:val="19"/>
        </w:rPr>
        <w:t>AlgoMX. (2025). Hugging Face: colaboración, transparencia y accesibilidad en inteligencia artificial.</w:t>
      </w:r>
    </w:p>
    <w:p>
      <w:pPr>
        <w:spacing w:after="80"/>
      </w:pPr>
      <w:r>
        <w:rPr>
          <w:i w:val="0"/>
          <w:sz w:val="19"/>
        </w:rPr>
        <w:t>BBVA México. (2026). Anaquel con rendimientos históricos del día actual, 8 de octubre de 2026 [Documento de análisis]. https://portal.bbva.mx/siabinternet/Repositorio/import/doctos/analisis/00003776.pdf</w:t>
      </w:r>
    </w:p>
    <w:p>
      <w:pPr>
        <w:spacing w:after="80"/>
      </w:pPr>
      <w:r>
        <w:rPr>
          <w:i w:val="0"/>
          <w:sz w:val="19"/>
        </w:rPr>
        <w:t>BBVA México. (s.f.). Normativa de fondos de inversión. https://www.bbva.mx/personas/productos/inversion/normativa-de-fondos.html</w:t>
      </w:r>
    </w:p>
    <w:p>
      <w:pPr>
        <w:spacing w:after="80"/>
      </w:pPr>
      <w:r>
        <w:rPr>
          <w:i w:val="0"/>
          <w:sz w:val="19"/>
        </w:rPr>
        <w:t>Bratslavsky, D. (2025). Markdown syntax guide.</w:t>
      </w:r>
    </w:p>
    <w:p>
      <w:pPr>
        <w:spacing w:after="80"/>
      </w:pPr>
      <w:r>
        <w:rPr>
          <w:i w:val="0"/>
          <w:sz w:val="19"/>
        </w:rPr>
        <w:t>Cámara de Diputados del H. Congreso de la Unión. (2025). Ley Federal de Protección de Datos Personales en Posesión de los Particulares. Diario Oficial de la Federación.</w:t>
      </w:r>
    </w:p>
    <w:p>
      <w:pPr>
        <w:spacing w:after="80"/>
      </w:pPr>
      <w:r>
        <w:rPr>
          <w:i w:val="0"/>
          <w:sz w:val="19"/>
        </w:rPr>
        <w:t>Fourrier, C., Habib, N., Wolf, T. y Tunstall, L. (2025). The LLM evaluation guidebook. Hugging Face.</w:t>
      </w:r>
    </w:p>
    <w:p>
      <w:pPr>
        <w:spacing w:after="80"/>
      </w:pPr>
      <w:r>
        <w:rPr>
          <w:i w:val="0"/>
          <w:sz w:val="19"/>
        </w:rPr>
        <w:t>GeeksforGeeks. (2025). What is a GPU? https://www.geeksforgeeks.org/</w:t>
      </w:r>
    </w:p>
    <w:p>
      <w:pPr>
        <w:spacing w:after="80"/>
      </w:pPr>
      <w:r>
        <w:rPr>
          <w:i w:val="0"/>
          <w:sz w:val="19"/>
        </w:rPr>
        <w:t>GeeksforGeeks. (2026a). Reproducibility in machine learning.</w:t>
      </w:r>
    </w:p>
    <w:p>
      <w:pPr>
        <w:spacing w:after="80"/>
      </w:pPr>
      <w:r>
        <w:rPr>
          <w:i w:val="0"/>
          <w:sz w:val="19"/>
        </w:rPr>
        <w:t>GeeksforGeeks. (2026b). F1 score in machine learning.</w:t>
      </w:r>
    </w:p>
    <w:p>
      <w:pPr>
        <w:spacing w:after="80"/>
      </w:pPr>
      <w:r>
        <w:rPr>
          <w:i w:val="0"/>
          <w:sz w:val="19"/>
        </w:rPr>
        <w:t>GitHub. (s.f.). About repositories. https://docs.github.com/</w:t>
      </w:r>
    </w:p>
    <w:p>
      <w:pPr>
        <w:spacing w:after="80"/>
      </w:pPr>
      <w:r>
        <w:rPr>
          <w:i w:val="0"/>
          <w:sz w:val="19"/>
        </w:rPr>
        <w:t>Guerra, J. (2024). Hugging Face: democratizar el acceso a modelos avanzados de machine learning.</w:t>
      </w:r>
    </w:p>
    <w:p>
      <w:pPr>
        <w:spacing w:after="80"/>
      </w:pPr>
      <w:r>
        <w:rPr>
          <w:i w:val="0"/>
          <w:sz w:val="19"/>
        </w:rPr>
        <w:t>Hugging Face. (s.f.). The AI community building the future. https://huggingface.co/</w:t>
      </w:r>
    </w:p>
    <w:p>
      <w:pPr>
        <w:spacing w:after="80"/>
      </w:pPr>
      <w:r>
        <w:rPr>
          <w:i w:val="0"/>
          <w:sz w:val="19"/>
        </w:rPr>
        <w:t>Intel. (2023). Case study: simplifying access to AI models with Hugging Face on Intel Developer Cloud.</w:t>
      </w:r>
    </w:p>
    <w:p>
      <w:pPr>
        <w:spacing w:after="80"/>
      </w:pPr>
      <w:r>
        <w:rPr>
          <w:i w:val="0"/>
          <w:sz w:val="19"/>
        </w:rPr>
        <w:t>Muñoz, A. (2023). Métricas de evaluación en clasificación: accuracy, precisión, recall y F1-score.</w:t>
      </w:r>
    </w:p>
    <w:p>
      <w:pPr>
        <w:spacing w:after="80"/>
      </w:pPr>
      <w:r>
        <w:rPr>
          <w:i w:val="0"/>
          <w:sz w:val="19"/>
        </w:rPr>
        <w:t>Stryker, C. (s.f.). What is a pretrained model? IBM.</w:t>
      </w:r>
    </w:p>
    <w:p>
      <w:pPr>
        <w:spacing w:after="80"/>
      </w:pPr>
      <w:r>
        <w:rPr>
          <w:i w:val="0"/>
          <w:sz w:val="19"/>
        </w:rPr>
        <w:t>Universidad Tecmilenio. (2026). Gestión de Proyectos de Inteligencia Artificial: Tema 9. Selección de modelos preentrenados; Tema 10. Implementación y documentación de prototipos [Material del curso].</w:t>
      </w:r>
    </w:p>
    <w:p>
      <w:pPr>
        <w:pStyle w:val="Ttulo1"/>
      </w:pPr>
      <w:r>
        <w:t>Anexo A. Dataset y scripts de soporte</w:t>
      </w:r>
    </w:p>
    <w:p>
      <w:pPr>
        <w:pStyle w:val="Ttulo2"/>
      </w:pPr>
      <w:r>
        <w:t>A.1 Origen de los datos</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041"/>
        <w:gridCol w:w="1701"/>
        <w:gridCol w:w="1474"/>
        <w:gridCol w:w="3742"/>
      </w:tblGrid>
      <w:tr>
        <w:tc>
          <w:tcPr>
            <w:tcW w:type="dxa" w:w="2041"/>
            <w:shd w:val="clear" w:color="auto" w:fill="072146"/>
          </w:tcPr>
          <w:p>
            <w:r/>
            <w:r>
              <w:rPr>
                <w:b/>
                <w:color w:val="FFFFFF"/>
                <w:sz w:val="17"/>
              </w:rPr>
              <w:t>Archivo</w:t>
            </w:r>
          </w:p>
        </w:tc>
        <w:tc>
          <w:tcPr>
            <w:tcW w:type="dxa" w:w="1701"/>
            <w:shd w:val="clear" w:color="auto" w:fill="072146"/>
          </w:tcPr>
          <w:p>
            <w:r/>
            <w:r>
              <w:rPr>
                <w:b/>
                <w:color w:val="FFFFFF"/>
                <w:sz w:val="17"/>
              </w:rPr>
              <w:t>Registros</w:t>
            </w:r>
          </w:p>
        </w:tc>
        <w:tc>
          <w:tcPr>
            <w:tcW w:type="dxa" w:w="1474"/>
            <w:shd w:val="clear" w:color="auto" w:fill="072146"/>
          </w:tcPr>
          <w:p>
            <w:r/>
            <w:r>
              <w:rPr>
                <w:b/>
                <w:color w:val="FFFFFF"/>
                <w:sz w:val="17"/>
              </w:rPr>
              <w:t>Naturaleza</w:t>
            </w:r>
          </w:p>
        </w:tc>
        <w:tc>
          <w:tcPr>
            <w:tcW w:type="dxa" w:w="3742"/>
            <w:shd w:val="clear" w:color="auto" w:fill="072146"/>
          </w:tcPr>
          <w:p>
            <w:r/>
            <w:r>
              <w:rPr>
                <w:b/>
                <w:color w:val="FFFFFF"/>
                <w:sz w:val="17"/>
              </w:rPr>
              <w:t>Origen</w:t>
            </w:r>
          </w:p>
        </w:tc>
      </w:tr>
      <w:tr>
        <w:tc>
          <w:tcPr>
            <w:tcW w:type="dxa" w:w="2041"/>
          </w:tcPr>
          <w:p>
            <w:r/>
            <w:r>
              <w:rPr>
                <w:b/>
                <w:sz w:val="17"/>
              </w:rPr>
              <w:t>catalogo_fondos.csv</w:t>
            </w:r>
          </w:p>
        </w:tc>
        <w:tc>
          <w:tcPr>
            <w:tcW w:type="dxa" w:w="1701"/>
          </w:tcPr>
          <w:p>
            <w:r/>
            <w:r>
              <w:rPr>
                <w:sz w:val="17"/>
              </w:rPr>
              <w:t>484 series · 59 fondos</w:t>
            </w:r>
          </w:p>
        </w:tc>
        <w:tc>
          <w:tcPr>
            <w:tcW w:type="dxa" w:w="1474"/>
          </w:tcPr>
          <w:p>
            <w:r/>
            <w:r>
              <w:rPr>
                <w:sz w:val="17"/>
              </w:rPr>
              <w:t>Real</w:t>
            </w:r>
          </w:p>
        </w:tc>
        <w:tc>
          <w:tcPr>
            <w:tcW w:type="dxa" w:w="3742"/>
          </w:tcPr>
          <w:p>
            <w:r/>
            <w:r>
              <w:rPr>
                <w:sz w:val="17"/>
              </w:rPr>
              <w:t>Anaquel con Rendimientos Históricos de BBVA México, 08/10/2026 (documento público), procesado con src/parse_anaquel.py</w:t>
            </w:r>
          </w:p>
        </w:tc>
      </w:tr>
      <w:tr>
        <w:tc>
          <w:tcPr>
            <w:tcW w:type="dxa" w:w="2041"/>
          </w:tcPr>
          <w:p>
            <w:r/>
            <w:r>
              <w:rPr>
                <w:b/>
                <w:sz w:val="17"/>
              </w:rPr>
              <w:t>notas_mercado.csv</w:t>
            </w:r>
          </w:p>
        </w:tc>
        <w:tc>
          <w:tcPr>
            <w:tcW w:type="dxa" w:w="1701"/>
          </w:tcPr>
          <w:p>
            <w:r/>
            <w:r>
              <w:rPr>
                <w:sz w:val="17"/>
              </w:rPr>
              <w:t>400 notas</w:t>
            </w:r>
          </w:p>
        </w:tc>
        <w:tc>
          <w:tcPr>
            <w:tcW w:type="dxa" w:w="1474"/>
          </w:tcPr>
          <w:p>
            <w:r/>
            <w:r>
              <w:rPr>
                <w:sz w:val="17"/>
              </w:rPr>
              <w:t>Sintético, declarado</w:t>
            </w:r>
          </w:p>
        </w:tc>
        <w:tc>
          <w:tcPr>
            <w:tcW w:type="dxa" w:w="3742"/>
          </w:tcPr>
          <w:p>
            <w:r/>
            <w:r>
              <w:rPr>
                <w:sz w:val="17"/>
              </w:rPr>
              <w:t>Generado con src/build_dataset.py, semilla 20261008</w:t>
            </w:r>
          </w:p>
        </w:tc>
      </w:tr>
      <w:tr>
        <w:tc>
          <w:tcPr>
            <w:tcW w:type="dxa" w:w="2041"/>
          </w:tcPr>
          <w:p>
            <w:r/>
            <w:r>
              <w:rPr>
                <w:b/>
                <w:sz w:val="17"/>
              </w:rPr>
              <w:t>clientes_simulados.csv</w:t>
            </w:r>
          </w:p>
        </w:tc>
        <w:tc>
          <w:tcPr>
            <w:tcW w:type="dxa" w:w="1701"/>
          </w:tcPr>
          <w:p>
            <w:r/>
            <w:r>
              <w:rPr>
                <w:sz w:val="17"/>
              </w:rPr>
              <w:t>150 clientes</w:t>
            </w:r>
          </w:p>
        </w:tc>
        <w:tc>
          <w:tcPr>
            <w:tcW w:type="dxa" w:w="1474"/>
          </w:tcPr>
          <w:p>
            <w:r/>
            <w:r>
              <w:rPr>
                <w:sz w:val="17"/>
              </w:rPr>
              <w:t>Sintético, declarado</w:t>
            </w:r>
          </w:p>
        </w:tc>
        <w:tc>
          <w:tcPr>
            <w:tcW w:type="dxa" w:w="3742"/>
          </w:tcPr>
          <w:p>
            <w:r/>
            <w:r>
              <w:rPr>
                <w:sz w:val="17"/>
              </w:rPr>
              <w:t>Generado con src/build_dataset.py; nombres de superhéroes y villanos</w:t>
            </w:r>
          </w:p>
        </w:tc>
      </w:tr>
    </w:tbl>
    <w:p>
      <w:pPr>
        <w:spacing w:after="200"/>
        <w:jc w:val="center"/>
      </w:pPr>
      <w:r>
        <w:rPr>
          <w:i/>
          <w:sz w:val="18"/>
        </w:rPr>
        <w:t>Tabla 11. Origen de los tres archivos de datos.</w:t>
      </w:r>
    </w:p>
    <w:p>
      <w:pPr>
        <w:spacing w:after="120"/>
      </w:pPr>
      <w:r>
        <w:rPr>
          <w:i w:val="0"/>
          <w:sz w:val="22"/>
        </w:rPr>
        <w:t>Por qué las notas y los clientes son sintéticos. Las notas de análisis de la mesa son material propietario y no puedo publicarlas en un repositorio académico; las carteras reales son datos personales y financieros protegidos por la LFPDPPP. Para fines didácticos y por privacidad de los datos usaremos nombres de superhéroes y villanos, ya que les puedo simular características individuales relacionadas con la ficción para poder comprobar la lógica de los resultados. Lo que sí es real son los fondos, sus categorías y sus rendimientos, tomados del anaquel que BBVA publica todos los días.</w:t>
      </w:r>
    </w:p>
    <w:p>
      <w:pPr>
        <w:pStyle w:val="Ttulo2"/>
      </w:pPr>
      <w:r>
        <w:t>A.2 Estructura de notas_mercado.csv</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814"/>
        <w:gridCol w:w="1020"/>
        <w:gridCol w:w="6123"/>
      </w:tblGrid>
      <w:tr>
        <w:tc>
          <w:tcPr>
            <w:tcW w:type="dxa" w:w="1814"/>
            <w:shd w:val="clear" w:color="auto" w:fill="072146"/>
          </w:tcPr>
          <w:p>
            <w:r/>
            <w:r>
              <w:rPr>
                <w:b/>
                <w:color w:val="FFFFFF"/>
                <w:sz w:val="17"/>
              </w:rPr>
              <w:t>Campo</w:t>
            </w:r>
          </w:p>
        </w:tc>
        <w:tc>
          <w:tcPr>
            <w:tcW w:type="dxa" w:w="1020"/>
            <w:shd w:val="clear" w:color="auto" w:fill="072146"/>
          </w:tcPr>
          <w:p>
            <w:r/>
            <w:r>
              <w:rPr>
                <w:b/>
                <w:color w:val="FFFFFF"/>
                <w:sz w:val="17"/>
              </w:rPr>
              <w:t>Tipo</w:t>
            </w:r>
          </w:p>
        </w:tc>
        <w:tc>
          <w:tcPr>
            <w:tcW w:type="dxa" w:w="6123"/>
            <w:shd w:val="clear" w:color="auto" w:fill="072146"/>
          </w:tcPr>
          <w:p>
            <w:r/>
            <w:r>
              <w:rPr>
                <w:b/>
                <w:color w:val="FFFFFF"/>
                <w:sz w:val="17"/>
              </w:rPr>
              <w:t>Descripción</w:t>
            </w:r>
          </w:p>
        </w:tc>
      </w:tr>
      <w:tr>
        <w:tc>
          <w:tcPr>
            <w:tcW w:type="dxa" w:w="1814"/>
          </w:tcPr>
          <w:p>
            <w:r/>
            <w:r>
              <w:rPr>
                <w:b/>
                <w:sz w:val="17"/>
              </w:rPr>
              <w:t>id</w:t>
            </w:r>
          </w:p>
        </w:tc>
        <w:tc>
          <w:tcPr>
            <w:tcW w:type="dxa" w:w="1020"/>
          </w:tcPr>
          <w:p>
            <w:r/>
            <w:r>
              <w:rPr>
                <w:sz w:val="17"/>
              </w:rPr>
              <w:t>Texto</w:t>
            </w:r>
          </w:p>
        </w:tc>
        <w:tc>
          <w:tcPr>
            <w:tcW w:type="dxa" w:w="6123"/>
          </w:tcPr>
          <w:p>
            <w:r/>
            <w:r>
              <w:rPr>
                <w:sz w:val="17"/>
              </w:rPr>
              <w:t>Identificador único de la nota (N0001 a N0400)</w:t>
            </w:r>
          </w:p>
        </w:tc>
      </w:tr>
      <w:tr>
        <w:tc>
          <w:tcPr>
            <w:tcW w:type="dxa" w:w="1814"/>
          </w:tcPr>
          <w:p>
            <w:r/>
            <w:r>
              <w:rPr>
                <w:b/>
                <w:sz w:val="17"/>
              </w:rPr>
              <w:t>fecha</w:t>
            </w:r>
          </w:p>
        </w:tc>
        <w:tc>
          <w:tcPr>
            <w:tcW w:type="dxa" w:w="1020"/>
          </w:tcPr>
          <w:p>
            <w:r/>
            <w:r>
              <w:rPr>
                <w:sz w:val="17"/>
              </w:rPr>
              <w:t>Fecha</w:t>
            </w:r>
          </w:p>
        </w:tc>
        <w:tc>
          <w:tcPr>
            <w:tcW w:type="dxa" w:w="6123"/>
          </w:tcPr>
          <w:p>
            <w:r/>
            <w:r>
              <w:rPr>
                <w:sz w:val="17"/>
              </w:rPr>
              <w:t>Fecha de publicación simulada, dentro del rango 1 al 8 de octubre de 2026</w:t>
            </w:r>
          </w:p>
        </w:tc>
      </w:tr>
      <w:tr>
        <w:tc>
          <w:tcPr>
            <w:tcW w:type="dxa" w:w="1814"/>
          </w:tcPr>
          <w:p>
            <w:r/>
            <w:r>
              <w:rPr>
                <w:b/>
                <w:sz w:val="17"/>
              </w:rPr>
              <w:t>fuente</w:t>
            </w:r>
          </w:p>
        </w:tc>
        <w:tc>
          <w:tcPr>
            <w:tcW w:type="dxa" w:w="1020"/>
          </w:tcPr>
          <w:p>
            <w:r/>
            <w:r>
              <w:rPr>
                <w:sz w:val="17"/>
              </w:rPr>
              <w:t>Categórico</w:t>
            </w:r>
          </w:p>
        </w:tc>
        <w:tc>
          <w:tcPr>
            <w:tcW w:type="dxa" w:w="6123"/>
          </w:tcPr>
          <w:p>
            <w:r/>
            <w:r>
              <w:rPr>
                <w:sz w:val="17"/>
              </w:rPr>
              <w:t>Nota de análisis · Prensa financiera · Comunicado oficial · Resumen de mesa</w:t>
            </w:r>
          </w:p>
        </w:tc>
      </w:tr>
      <w:tr>
        <w:tc>
          <w:tcPr>
            <w:tcW w:type="dxa" w:w="1814"/>
          </w:tcPr>
          <w:p>
            <w:r/>
            <w:r>
              <w:rPr>
                <w:b/>
                <w:sz w:val="17"/>
              </w:rPr>
              <w:t>clase_activo</w:t>
            </w:r>
          </w:p>
        </w:tc>
        <w:tc>
          <w:tcPr>
            <w:tcW w:type="dxa" w:w="1020"/>
          </w:tcPr>
          <w:p>
            <w:r/>
            <w:r>
              <w:rPr>
                <w:sz w:val="17"/>
              </w:rPr>
              <w:t>Categórico</w:t>
            </w:r>
          </w:p>
        </w:tc>
        <w:tc>
          <w:tcPr>
            <w:tcW w:type="dxa" w:w="6123"/>
          </w:tcPr>
          <w:p>
            <w:r/>
            <w:r>
              <w:rPr>
                <w:sz w:val="17"/>
              </w:rPr>
              <w:t>Deuda Corto Plazo · Deuda Largo Plazo · Renta Variable Nacional · Renta Variable Internacional · Divisas</w:t>
            </w:r>
          </w:p>
        </w:tc>
      </w:tr>
      <w:tr>
        <w:tc>
          <w:tcPr>
            <w:tcW w:type="dxa" w:w="1814"/>
          </w:tcPr>
          <w:p>
            <w:r/>
            <w:r>
              <w:rPr>
                <w:b/>
                <w:sz w:val="17"/>
              </w:rPr>
              <w:t>texto</w:t>
            </w:r>
          </w:p>
        </w:tc>
        <w:tc>
          <w:tcPr>
            <w:tcW w:type="dxa" w:w="1020"/>
          </w:tcPr>
          <w:p>
            <w:r/>
            <w:r>
              <w:rPr>
                <w:sz w:val="17"/>
              </w:rPr>
              <w:t>Texto</w:t>
            </w:r>
          </w:p>
        </w:tc>
        <w:tc>
          <w:tcPr>
            <w:tcW w:type="dxa" w:w="6123"/>
          </w:tcPr>
          <w:p>
            <w:r/>
            <w:r>
              <w:rPr>
                <w:sz w:val="17"/>
              </w:rPr>
              <w:t>Contenido de la nota en español. Longitud media de 25 palabras</w:t>
            </w:r>
          </w:p>
        </w:tc>
      </w:tr>
      <w:tr>
        <w:tc>
          <w:tcPr>
            <w:tcW w:type="dxa" w:w="1814"/>
          </w:tcPr>
          <w:p>
            <w:r/>
            <w:r>
              <w:rPr>
                <w:b/>
                <w:sz w:val="17"/>
              </w:rPr>
              <w:t>impacto</w:t>
            </w:r>
          </w:p>
        </w:tc>
        <w:tc>
          <w:tcPr>
            <w:tcW w:type="dxa" w:w="1020"/>
          </w:tcPr>
          <w:p>
            <w:r/>
            <w:r>
              <w:rPr>
                <w:sz w:val="17"/>
              </w:rPr>
              <w:t>Categórico</w:t>
            </w:r>
          </w:p>
        </w:tc>
        <w:tc>
          <w:tcPr>
            <w:tcW w:type="dxa" w:w="6123"/>
          </w:tcPr>
          <w:p>
            <w:r/>
            <w:r>
              <w:rPr>
                <w:sz w:val="17"/>
              </w:rPr>
              <w:t>ETIQUETA OBJETIVO. POSITIVO · NEUTRAL · NEGATIVO</w:t>
            </w:r>
          </w:p>
        </w:tc>
      </w:tr>
      <w:tr>
        <w:tc>
          <w:tcPr>
            <w:tcW w:type="dxa" w:w="1814"/>
          </w:tcPr>
          <w:p>
            <w:r/>
            <w:r>
              <w:rPr>
                <w:b/>
                <w:sz w:val="17"/>
              </w:rPr>
              <w:t>fenomeno</w:t>
            </w:r>
          </w:p>
        </w:tc>
        <w:tc>
          <w:tcPr>
            <w:tcW w:type="dxa" w:w="1020"/>
          </w:tcPr>
          <w:p>
            <w:r/>
            <w:r>
              <w:rPr>
                <w:sz w:val="17"/>
              </w:rPr>
              <w:t>Categórico</w:t>
            </w:r>
          </w:p>
        </w:tc>
        <w:tc>
          <w:tcPr>
            <w:tcW w:type="dxa" w:w="6123"/>
          </w:tcPr>
          <w:p>
            <w:r/>
            <w:r>
              <w:rPr>
                <w:sz w:val="17"/>
              </w:rPr>
              <w:t>directo · negacion · contraste · cifra_mixta · condicional</w:t>
            </w:r>
          </w:p>
        </w:tc>
      </w:tr>
      <w:tr>
        <w:tc>
          <w:tcPr>
            <w:tcW w:type="dxa" w:w="1814"/>
          </w:tcPr>
          <w:p>
            <w:r/>
            <w:r>
              <w:rPr>
                <w:b/>
                <w:sz w:val="17"/>
              </w:rPr>
              <w:t>dificultad</w:t>
            </w:r>
          </w:p>
        </w:tc>
        <w:tc>
          <w:tcPr>
            <w:tcW w:type="dxa" w:w="1020"/>
          </w:tcPr>
          <w:p>
            <w:r/>
            <w:r>
              <w:rPr>
                <w:sz w:val="17"/>
              </w:rPr>
              <w:t>Categórico</w:t>
            </w:r>
          </w:p>
        </w:tc>
        <w:tc>
          <w:tcPr>
            <w:tcW w:type="dxa" w:w="6123"/>
          </w:tcPr>
          <w:p>
            <w:r/>
            <w:r>
              <w:rPr>
                <w:sz w:val="17"/>
              </w:rPr>
              <w:t>facil · media · dificil. Derivado del fenómeno lingüístico</w:t>
            </w:r>
          </w:p>
        </w:tc>
      </w:tr>
      <w:tr>
        <w:tc>
          <w:tcPr>
            <w:tcW w:type="dxa" w:w="1814"/>
          </w:tcPr>
          <w:p>
            <w:r/>
            <w:r>
              <w:rPr>
                <w:b/>
                <w:sz w:val="17"/>
              </w:rPr>
              <w:t>fondos_relacionados</w:t>
            </w:r>
          </w:p>
        </w:tc>
        <w:tc>
          <w:tcPr>
            <w:tcW w:type="dxa" w:w="1020"/>
          </w:tcPr>
          <w:p>
            <w:r/>
            <w:r>
              <w:rPr>
                <w:sz w:val="17"/>
              </w:rPr>
              <w:t>Texto</w:t>
            </w:r>
          </w:p>
        </w:tc>
        <w:tc>
          <w:tcPr>
            <w:tcW w:type="dxa" w:w="6123"/>
          </w:tcPr>
          <w:p>
            <w:r/>
            <w:r>
              <w:rPr>
                <w:sz w:val="17"/>
              </w:rPr>
              <w:t>Claves reales de fondos BBVA de esa clase de activo</w:t>
            </w:r>
          </w:p>
        </w:tc>
      </w:tr>
    </w:tbl>
    <w:p>
      <w:pPr>
        <w:spacing w:after="200"/>
        <w:jc w:val="center"/>
      </w:pPr>
      <w:r>
        <w:rPr>
          <w:i/>
          <w:sz w:val="18"/>
        </w:rPr>
        <w:t>Tabla 12. Diccionario de datos del corpus de evaluación.</w:t>
      </w:r>
    </w:p>
    <w:p>
      <w:pPr>
        <w:pStyle w:val="Ttulo2"/>
      </w:pPr>
      <w:r>
        <w:t>A.3 Reproducibilidad</w:t>
      </w:r>
    </w:p>
    <w:p>
      <w:pPr>
        <w:spacing w:after="120"/>
      </w:pPr>
      <w:r>
        <w:rPr>
          <w:i w:val="0"/>
          <w:sz w:val="22"/>
        </w:rPr>
        <w:t>Los dos scripts son deterministas: con la misma semilla (20261008) generan exactamente el mismo corpus. La cadena completa se reproduce con tres comandos, documentados en el README del repositorio.</w:t>
      </w:r>
    </w:p>
    <w:p>
      <w:pPr>
        <w:pStyle w:val="Ttulo1"/>
      </w:pPr>
      <w:r>
        <w:t>Anexo B. Repositorio y entorno de ejecución</w:t>
      </w:r>
    </w:p>
    <w:tbl>
      <w:tblPr>
        <w:tblW w:type="dxa" w:w="8958"/>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927"/>
        <w:gridCol w:w="7030"/>
      </w:tblGrid>
      <w:tr>
        <w:tc>
          <w:tcPr>
            <w:tcW w:type="dxa" w:w="1928"/>
            <w:shd w:val="clear" w:color="auto" w:fill="072146"/>
          </w:tcPr>
          <w:p>
            <w:r/>
            <w:r>
              <w:rPr>
                <w:b/>
                <w:color w:val="FFFFFF"/>
                <w:sz w:val="18"/>
              </w:rPr>
              <w:t>Ruta</w:t>
            </w:r>
          </w:p>
        </w:tc>
        <w:tc>
          <w:tcPr>
            <w:tcW w:type="dxa" w:w="7030"/>
            <w:shd w:val="clear" w:color="auto" w:fill="072146"/>
          </w:tcPr>
          <w:p>
            <w:r/>
            <w:r>
              <w:rPr>
                <w:b/>
                <w:color w:val="FFFFFF"/>
                <w:sz w:val="18"/>
              </w:rPr>
              <w:t>Contenido</w:t>
            </w:r>
          </w:p>
        </w:tc>
      </w:tr>
      <w:tr>
        <w:tc>
          <w:tcPr>
            <w:tcW w:type="dxa" w:w="1928"/>
          </w:tcPr>
          <w:p>
            <w:r/>
            <w:r>
              <w:rPr>
                <w:b/>
                <w:sz w:val="18"/>
              </w:rPr>
              <w:t>README.md</w:t>
            </w:r>
          </w:p>
        </w:tc>
        <w:tc>
          <w:tcPr>
            <w:tcW w:type="dxa" w:w="7030"/>
          </w:tcPr>
          <w:p>
            <w:r/>
            <w:r>
              <w:rPr>
                <w:sz w:val="18"/>
              </w:rPr>
              <w:t>Descripción del proyecto, entorno, pasos de ejecución y conclusiones</w:t>
            </w:r>
          </w:p>
        </w:tc>
      </w:tr>
      <w:tr>
        <w:tc>
          <w:tcPr>
            <w:tcW w:type="dxa" w:w="1928"/>
          </w:tcPr>
          <w:p>
            <w:r/>
            <w:r>
              <w:rPr>
                <w:b/>
                <w:sz w:val="18"/>
              </w:rPr>
              <w:t>requirements.txt</w:t>
            </w:r>
          </w:p>
        </w:tc>
        <w:tc>
          <w:tcPr>
            <w:tcW w:type="dxa" w:w="7030"/>
          </w:tcPr>
          <w:p>
            <w:r/>
            <w:r>
              <w:rPr>
                <w:sz w:val="18"/>
              </w:rPr>
              <w:t>Dependencias con versión mínima fijada</w:t>
            </w:r>
          </w:p>
        </w:tc>
      </w:tr>
      <w:tr>
        <w:tc>
          <w:tcPr>
            <w:tcW w:type="dxa" w:w="1928"/>
          </w:tcPr>
          <w:p>
            <w:r/>
            <w:r>
              <w:rPr>
                <w:b/>
                <w:sz w:val="18"/>
              </w:rPr>
              <w:t>data/</w:t>
            </w:r>
          </w:p>
        </w:tc>
        <w:tc>
          <w:tcPr>
            <w:tcW w:type="dxa" w:w="7030"/>
          </w:tcPr>
          <w:p>
            <w:r/>
            <w:r>
              <w:rPr>
                <w:sz w:val="18"/>
              </w:rPr>
              <w:t>Los tres archivos CSV y su propio README con el diccionario de datos</w:t>
            </w:r>
          </w:p>
        </w:tc>
      </w:tr>
      <w:tr>
        <w:tc>
          <w:tcPr>
            <w:tcW w:type="dxa" w:w="1928"/>
          </w:tcPr>
          <w:p>
            <w:r/>
            <w:r>
              <w:rPr>
                <w:b/>
                <w:sz w:val="18"/>
              </w:rPr>
              <w:t>notebooks/</w:t>
            </w:r>
          </w:p>
        </w:tc>
        <w:tc>
          <w:tcPr>
            <w:tcW w:type="dxa" w:w="7030"/>
          </w:tcPr>
          <w:p>
            <w:r/>
            <w:r>
              <w:rPr>
                <w:sz w:val="18"/>
              </w:rPr>
              <w:t>01_comparacion_modelos_hf.ipynb (versión limpia, reproducible) y 01_comparacion_modelos_hf_EJECUTADO.ipynb (la misma corrida con sus 20 salidas)</w:t>
            </w:r>
          </w:p>
        </w:tc>
      </w:tr>
      <w:tr>
        <w:tc>
          <w:tcPr>
            <w:tcW w:type="dxa" w:w="1928"/>
          </w:tcPr>
          <w:p>
            <w:r/>
            <w:r>
              <w:rPr>
                <w:b/>
                <w:sz w:val="18"/>
              </w:rPr>
              <w:t>src/</w:t>
            </w:r>
          </w:p>
        </w:tc>
        <w:tc>
          <w:tcPr>
            <w:tcW w:type="dxa" w:w="7030"/>
          </w:tcPr>
          <w:p>
            <w:r/>
            <w:r>
              <w:rPr>
                <w:sz w:val="18"/>
              </w:rPr>
              <w:t>parse_anaquel.py · build_dataset.py · evaluate.py</w:t>
            </w:r>
          </w:p>
        </w:tc>
      </w:tr>
      <w:tr>
        <w:tc>
          <w:tcPr>
            <w:tcW w:type="dxa" w:w="1928"/>
          </w:tcPr>
          <w:p>
            <w:r/>
            <w:r>
              <w:rPr>
                <w:b/>
                <w:sz w:val="18"/>
              </w:rPr>
              <w:t>results/</w:t>
            </w:r>
          </w:p>
        </w:tc>
        <w:tc>
          <w:tcPr>
            <w:tcW w:type="dxa" w:w="7030"/>
          </w:tcPr>
          <w:p>
            <w:r/>
            <w:r>
              <w:rPr>
                <w:sz w:val="18"/>
              </w:rPr>
              <w:t>Las siete salidas de la corrida: tabla_comparativa.csv, metricas_por_clase.csv, desempeno_por_dificultad.csv, curva_umbral.csv, condiciones_ejecucion.json, matrices_confusion.png y tradeoff_precision_latencia.png</w:t>
            </w:r>
          </w:p>
        </w:tc>
      </w:tr>
      <w:tr>
        <w:tc>
          <w:tcPr>
            <w:tcW w:type="dxa" w:w="1928"/>
          </w:tcPr>
          <w:p>
            <w:r/>
            <w:r>
              <w:rPr>
                <w:b/>
                <w:sz w:val="18"/>
              </w:rPr>
              <w:t>docs/</w:t>
            </w:r>
          </w:p>
        </w:tc>
        <w:tc>
          <w:tcPr>
            <w:tcW w:type="dxa" w:w="7030"/>
          </w:tcPr>
          <w:p>
            <w:r/>
            <w:r>
              <w:rPr>
                <w:sz w:val="18"/>
              </w:rPr>
              <w:t>Este documento de análisis comparativo</w:t>
            </w:r>
          </w:p>
        </w:tc>
      </w:tr>
    </w:tbl>
    <w:p>
      <w:pPr>
        <w:spacing w:after="200"/>
        <w:jc w:val="center"/>
      </w:pPr>
      <w:r>
        <w:rPr>
          <w:i/>
          <w:sz w:val="18"/>
        </w:rPr>
        <w:t>Tabla 13. Estructura del repositorio.</w:t>
      </w:r>
    </w:p>
    <w:p>
      <w:pPr>
        <w:spacing w:after="120"/>
      </w:pPr>
      <w:r>
        <w:rPr>
          <w:b/>
          <w:sz w:val="22"/>
        </w:rPr>
        <w:t xml:space="preserve">Entorno de la corrida que se reporta. </w:t>
      </w:r>
      <w:r>
        <w:rPr>
          <w:i w:val="0"/>
          <w:sz w:val="22"/>
        </w:rPr>
        <w:t>Google Colab con GPU NVIDIA Tesla T4 de 15.6 GB, Python 3.13.15, torch 2.11.0+cu130, transformers 5.18.0, huggingface_hub 1.33.0, scikit-learn 1.6.1 y pandas 2.2.3, el 9 de octubre de 2026. El cuaderno registra estas condiciones por sí mismo en results/condiciones_ejecucion.json —GPU asignada, versiones, fecha, semilla del corpus y huella sha256 del CSV— para que cualquiera pueda contrastar sus resultados con los míos y saber si está comparando lo mismo.</w:t>
      </w:r>
    </w:p>
    <w:p>
      <w:pPr>
        <w:spacing w:after="120"/>
      </w:pPr>
      <w:r>
        <w:rPr>
          <w:b/>
          <w:sz w:val="22"/>
        </w:rPr>
        <w:t xml:space="preserve">Reproducibilidad del corpus. </w:t>
      </w:r>
      <w:r>
        <w:rPr>
          <w:i w:val="0"/>
          <w:sz w:val="22"/>
        </w:rPr>
        <w:t>El dataset se genera con semilla 20261008 y el cuaderno verifica la huella sha256 del CSV (cfde77a9fc80add4…) antes de usarlo, además de comprobar que trae los 400 registros, las nueve columnas y el reparto 158 / 158 / 84 por clase. Si algo no coincide, la celda 4b levanta un error y detiene la corrida en lugar de seguir con datos distintos a los que aquí se reportan. Ese control lo agregué después de que una herramienta de apoyo sustituyera el corpus por uno inventado de siete frases repetidas: el reporte habría salido con un desempeño falso y mejor que el real.</w:t>
      </w:r>
    </w:p>
    <w:p>
      <w:pPr>
        <w:pStyle w:val="Ttulo1"/>
      </w:pPr>
      <w:r>
        <w:t>Anexo C. Cuadro de cumplimiento de la rúbrica</w:t>
      </w:r>
    </w:p>
    <w:tbl>
      <w:tblPr>
        <w:tblW w:type="dxa" w:w="9639"/>
        <w:tblLayout w:type="fixed"/>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154"/>
        <w:gridCol w:w="510"/>
        <w:gridCol w:w="2835"/>
        <w:gridCol w:w="4139"/>
      </w:tblGrid>
      <w:tr>
        <w:tc>
          <w:tcPr>
            <w:tcW w:type="dxa" w:w="2154"/>
            <w:shd w:val="clear" w:color="auto" w:fill="072146"/>
          </w:tcPr>
          <w:p>
            <w:r/>
            <w:r>
              <w:rPr>
                <w:b/>
                <w:color w:val="FFFFFF"/>
                <w:sz w:val="16"/>
              </w:rPr>
              <w:t>Criterio de la rúbrica</w:t>
            </w:r>
          </w:p>
        </w:tc>
        <w:tc>
          <w:tcPr>
            <w:tcW w:type="dxa" w:w="510"/>
            <w:shd w:val="clear" w:color="auto" w:fill="072146"/>
          </w:tcPr>
          <w:p>
            <w:r/>
            <w:r>
              <w:rPr>
                <w:b/>
                <w:color w:val="FFFFFF"/>
                <w:sz w:val="16"/>
              </w:rPr>
              <w:t>%</w:t>
            </w:r>
          </w:p>
        </w:tc>
        <w:tc>
          <w:tcPr>
            <w:tcW w:type="dxa" w:w="2835"/>
            <w:shd w:val="clear" w:color="auto" w:fill="072146"/>
          </w:tcPr>
          <w:p>
            <w:r/>
            <w:r>
              <w:rPr>
                <w:b/>
                <w:color w:val="FFFFFF"/>
                <w:sz w:val="16"/>
              </w:rPr>
              <w:t>Qué pide</w:t>
            </w:r>
          </w:p>
        </w:tc>
        <w:tc>
          <w:tcPr>
            <w:tcW w:type="dxa" w:w="4139"/>
            <w:shd w:val="clear" w:color="auto" w:fill="072146"/>
          </w:tcPr>
          <w:p>
            <w:r/>
            <w:r>
              <w:rPr>
                <w:b/>
                <w:color w:val="FFFFFF"/>
                <w:sz w:val="16"/>
              </w:rPr>
              <w:t>Dónde se cubre</w:t>
            </w:r>
          </w:p>
        </w:tc>
      </w:tr>
      <w:tr>
        <w:tc>
          <w:tcPr>
            <w:tcW w:type="dxa" w:w="2154"/>
          </w:tcPr>
          <w:p>
            <w:r/>
            <w:r>
              <w:rPr>
                <w:sz w:val="16"/>
              </w:rPr>
              <w:t>1. Selección y análisis de modelos preentrenados</w:t>
            </w:r>
          </w:p>
        </w:tc>
        <w:tc>
          <w:tcPr>
            <w:tcW w:type="dxa" w:w="510"/>
          </w:tcPr>
          <w:p>
            <w:r/>
            <w:r>
              <w:rPr>
                <w:sz w:val="16"/>
              </w:rPr>
              <w:t>25 %</w:t>
            </w:r>
          </w:p>
        </w:tc>
        <w:tc>
          <w:tcPr>
            <w:tcW w:type="dxa" w:w="2835"/>
          </w:tcPr>
          <w:p>
            <w:r/>
            <w:r>
              <w:rPr>
                <w:sz w:val="16"/>
              </w:rPr>
              <w:t>Identificar el ecosistema Hugging Face, definir criterios técnicos y prácticos sólidos y evaluar al menos tres modelos de forma justificada y contextualizada</w:t>
            </w:r>
          </w:p>
        </w:tc>
        <w:tc>
          <w:tcPr>
            <w:tcW w:type="dxa" w:w="4139"/>
          </w:tcPr>
          <w:p>
            <w:r/>
            <w:r>
              <w:rPr>
                <w:sz w:val="16"/>
              </w:rPr>
              <w:t>Secciones 1 a 3: caso de uso delimitado (Tabla 2), diez criterios ponderados y divididos en técnicos y prácticos (Tabla 3), y cuatro modelos evaluados con los tres componentes del ecosistema —Models, Datasets y Spaces— identificados en el cuaderno. Se evalúan cuatro modelos, uno más del mínimo</w:t>
            </w:r>
          </w:p>
        </w:tc>
      </w:tr>
      <w:tr>
        <w:tc>
          <w:tcPr>
            <w:tcW w:type="dxa" w:w="2154"/>
          </w:tcPr>
          <w:p>
            <w:r/>
            <w:r>
              <w:rPr>
                <w:sz w:val="16"/>
              </w:rPr>
              <w:t>2. Implementación y prototipado en Google Colab</w:t>
            </w:r>
          </w:p>
        </w:tc>
        <w:tc>
          <w:tcPr>
            <w:tcW w:type="dxa" w:w="510"/>
          </w:tcPr>
          <w:p>
            <w:r/>
            <w:r>
              <w:rPr>
                <w:sz w:val="16"/>
              </w:rPr>
              <w:t>25 %</w:t>
            </w:r>
          </w:p>
        </w:tc>
        <w:tc>
          <w:tcPr>
            <w:tcW w:type="dxa" w:w="2835"/>
          </w:tcPr>
          <w:p>
            <w:r/>
            <w:r>
              <w:rPr>
                <w:sz w:val="16"/>
              </w:rPr>
              <w:t>Implementar correctamente los modelos en Colab con GPU, estructurar el código por celdas y garantizar ejecución reproducible</w:t>
            </w:r>
          </w:p>
        </w:tc>
        <w:tc>
          <w:tcPr>
            <w:tcW w:type="dxa" w:w="4139"/>
          </w:tcPr>
          <w:p>
            <w:r/>
            <w:r>
              <w:rPr>
                <w:sz w:val="16"/>
              </w:rPr>
              <w:t>Cuaderno 01_comparacion_modelos_hf.ipynb: 36 celdas numeradas y comentadas (20 de código), verificación de GPU (celda 1), dependencias (celda 2), acceso al Hub (celda 3), carga del corpus con cuatro respaldos y validación de integridad (celdas 4 a 4b), pipeline de inferencia (celda 6) y registro automático del entorno. Se entrega además la versión EJECUTADA, con las 20 celdas corridas, sus 20 salidas y cero errores, sobre GPU Tesla T4</w:t>
            </w:r>
          </w:p>
        </w:tc>
      </w:tr>
      <w:tr>
        <w:tc>
          <w:tcPr>
            <w:tcW w:type="dxa" w:w="2154"/>
          </w:tcPr>
          <w:p>
            <w:r/>
            <w:r>
              <w:rPr>
                <w:sz w:val="16"/>
              </w:rPr>
              <w:t>3. Evaluación y comparación del desempeño</w:t>
            </w:r>
          </w:p>
        </w:tc>
        <w:tc>
          <w:tcPr>
            <w:tcW w:type="dxa" w:w="510"/>
          </w:tcPr>
          <w:p>
            <w:r/>
            <w:r>
              <w:rPr>
                <w:sz w:val="16"/>
              </w:rPr>
              <w:t>25 %</w:t>
            </w:r>
          </w:p>
        </w:tc>
        <w:tc>
          <w:tcPr>
            <w:tcW w:type="dxa" w:w="2835"/>
          </w:tcPr>
          <w:p>
            <w:r/>
            <w:r>
              <w:rPr>
                <w:sz w:val="16"/>
              </w:rPr>
              <w:t>Aplicar correctamente accuracy, precision, recall y F1-score; comparar resultados y analizar el balance entre eficiencia y precisión</w:t>
            </w:r>
          </w:p>
        </w:tc>
        <w:tc>
          <w:tcPr>
            <w:tcW w:type="dxa" w:w="4139"/>
          </w:tcPr>
          <w:p>
            <w:r/>
            <w:r>
              <w:rPr>
                <w:sz w:val="16"/>
              </w:rPr>
              <w:t>Celdas 7 a 12 del cuaderno y secciones 3, 4 y 7 del documento: las cuatro métricas en versión macro y por clase sobre las 400 notas, matrices de confusión, dos medidas de latencia, curva de umbral con cobertura y exactitud, análisis de error por fenómeno lingüístico y gráfico de trade-off (Tablas 4 a 6, Figuras 1 y 2)</w:t>
            </w:r>
          </w:p>
        </w:tc>
      </w:tr>
      <w:tr>
        <w:tc>
          <w:tcPr>
            <w:tcW w:type="dxa" w:w="2154"/>
          </w:tcPr>
          <w:p>
            <w:r/>
            <w:r>
              <w:rPr>
                <w:sz w:val="16"/>
              </w:rPr>
              <w:t>4. Documentación técnica y justificación final</w:t>
            </w:r>
          </w:p>
        </w:tc>
        <w:tc>
          <w:tcPr>
            <w:tcW w:type="dxa" w:w="510"/>
          </w:tcPr>
          <w:p>
            <w:r/>
            <w:r>
              <w:rPr>
                <w:sz w:val="16"/>
              </w:rPr>
              <w:t>25 %</w:t>
            </w:r>
          </w:p>
        </w:tc>
        <w:tc>
          <w:tcPr>
            <w:tcW w:type="dxa" w:w="2835"/>
          </w:tcPr>
          <w:p>
            <w:r/>
            <w:r>
              <w:rPr>
                <w:sz w:val="16"/>
              </w:rPr>
              <w:t>Documentar de forma clara y estructurada el prototipo, organizar adecuadamente el repositorio y justificar la selección del modelo con base en métricas y objetivos reales</w:t>
            </w:r>
          </w:p>
        </w:tc>
        <w:tc>
          <w:tcPr>
            <w:tcW w:type="dxa" w:w="4139"/>
          </w:tcPr>
          <w:p>
            <w:r/>
            <w:r>
              <w:rPr>
                <w:sz w:val="16"/>
              </w:rPr>
              <w:t>Este documento completo, el README del repositorio con las secciones recomendadas en el Tema 10, la estructura de carpetas del Anexo B, la justificación ponderada de la sección 6, los umbrales y riesgos de la sección 7 y las siete salidas crudas de la corrida en results/, que permiten reconstruir cada cifra del reporte sin tomar ninguna por buena</w:t>
            </w:r>
          </w:p>
        </w:tc>
      </w:tr>
    </w:tbl>
    <w:p>
      <w:pPr>
        <w:spacing w:after="200"/>
        <w:jc w:val="center"/>
      </w:pPr>
      <w:r>
        <w:rPr>
          <w:i/>
          <w:sz w:val="18"/>
        </w:rPr>
        <w:t>Tabla 14. Cuadro de cumplimiento. Elaboración propia.</w:t>
      </w:r>
    </w:p>
    <w:p>
      <w:pPr>
        <w:spacing w:after="120"/>
      </w:pPr>
      <w:r>
        <w:rPr>
          <w:i/>
          <w:sz w:val="22"/>
        </w:rPr>
        <w:t>Este reporte fue estructurado precisamente para cubrir esos 4 apartados de forma explícita y verificable.</w:t>
      </w:r>
    </w:p>
    <w:sectPr w:rsidR="0067530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095AA1" w14:textId="77777777" w:rsidR="00D911FA" w:rsidRDefault="00D911FA">
      <w:r>
        <w:separator/>
      </w:r>
    </w:p>
  </w:endnote>
  <w:endnote w:type="continuationSeparator" w:id="0">
    <w:p w14:paraId="700FE201" w14:textId="77777777" w:rsidR="00D911FA" w:rsidRDefault="00D91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EDF59" w14:textId="70C32E02" w:rsidR="00675304" w:rsidRDefault="00000000">
    <w:pPr>
      <w:pBdr>
        <w:top w:val="single" w:sz="6" w:space="1" w:color="1464A5"/>
      </w:pBdr>
      <w:tabs>
        <w:tab w:val="right" w:pos="9026"/>
      </w:tabs>
      <w:spacing w:before="100"/>
    </w:pPr>
    <w:r>
      <w:rPr>
        <w:color w:val="888888"/>
        <w:sz w:val="18"/>
        <w:szCs w:val="18"/>
      </w:rPr>
      <w:t>Eduardo Aburto Angulo</w:t>
    </w:r>
    <w:r>
      <w:rPr>
        <w:color w:val="888888"/>
        <w:sz w:val="18"/>
        <w:szCs w:val="18"/>
      </w:rPr>
      <w:tab/>
      <w:t xml:space="preserve">Página </w:t>
    </w:r>
    <w:r>
      <w:fldChar w:fldCharType="begin"/>
    </w:r>
    <w:r>
      <w:instrText>PAGE</w:instrText>
    </w:r>
    <w:r>
      <w:fldChar w:fldCharType="separate"/>
    </w:r>
    <w:r w:rsidR="00D41928">
      <w:rPr>
        <w:noProof/>
      </w:rPr>
      <w:t>2</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A2AEEE" w14:textId="77777777" w:rsidR="00D911FA" w:rsidRDefault="00D911FA">
      <w:r>
        <w:separator/>
      </w:r>
    </w:p>
  </w:footnote>
  <w:footnote w:type="continuationSeparator" w:id="0">
    <w:p w14:paraId="5B3E2294" w14:textId="77777777" w:rsidR="00D911FA" w:rsidRDefault="00D91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19D78B" w14:textId="6FAC3BA5" w:rsidR="00675304" w:rsidRDefault="00000000">
    <w:pPr>
      <w:pBdr>
        <w:bottom w:val="single" w:sz="6" w:space="1" w:color="1464A5"/>
      </w:pBdr>
      <w:tabs>
        <w:tab w:val="right" w:pos="9026"/>
      </w:tabs>
      <w:spacing w:after="100"/>
    </w:pPr>
    <w:r w:rsidRPr="00A92D38">
      <w:rPr>
        <w:b/>
        <w:bCs/>
        <w:color w:val="072146"/>
        <w:sz w:val="18"/>
        <w:szCs w:val="18"/>
      </w:rPr>
      <w:t>Universidad Tecmilenio</w:t>
    </w:r>
    <w:r>
      <w:rPr>
        <w:color w:val="888888"/>
        <w:sz w:val="18"/>
        <w:szCs w:val="18"/>
      </w:rPr>
      <w:tab/>
    </w:r>
    <w:r w:rsidR="00170C53">
      <w:rPr>
        <w:color w:val="888888"/>
        <w:sz w:val="18"/>
        <w:szCs w:val="18"/>
      </w:rPr>
      <w:t>Gestión de Proyectos de Inteligencia Artificial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1">
    <w:multiLevelType w:val="hybridMultilevel"/>
    <w:lvl w:ilvl="0">
      <w:start w:val="1"/>
      <w:numFmt w:val="bullet"/>
      <w:lvlText w:val="•"/>
      <w:lvlJc w:val="left"/>
      <w:pPr>
        <w:ind w:left="720" w:hanging="360"/>
      </w:pPr>
      <w:rPr>
        <w:rFonts w:ascii="Symbol" w:hAnsi="Symbol" w:hint="default"/>
      </w:rPr>
    </w:lvl>
  </w:abstractNum>
  <w:abstractNum w:abstractNumId="0" w15:restartNumberingAfterBreak="0">
    <w:nsid w:val="1746155F"/>
    <w:multiLevelType w:val="hybridMultilevel"/>
    <w:tmpl w:val="73202F26"/>
    <w:lvl w:ilvl="0" w:tplc="197E49BC">
      <w:start w:val="1"/>
      <w:numFmt w:val="bullet"/>
      <w:lvlText w:val="●"/>
      <w:lvlJc w:val="left"/>
      <w:pPr>
        <w:ind w:left="720" w:hanging="360"/>
      </w:pPr>
    </w:lvl>
    <w:lvl w:ilvl="1" w:tplc="12E428E6">
      <w:start w:val="1"/>
      <w:numFmt w:val="bullet"/>
      <w:lvlText w:val="○"/>
      <w:lvlJc w:val="left"/>
      <w:pPr>
        <w:ind w:left="1440" w:hanging="360"/>
      </w:pPr>
    </w:lvl>
    <w:lvl w:ilvl="2" w:tplc="472482EC">
      <w:start w:val="1"/>
      <w:numFmt w:val="bullet"/>
      <w:lvlText w:val="■"/>
      <w:lvlJc w:val="left"/>
      <w:pPr>
        <w:ind w:left="2160" w:hanging="360"/>
      </w:pPr>
    </w:lvl>
    <w:lvl w:ilvl="3" w:tplc="F91406AE">
      <w:start w:val="1"/>
      <w:numFmt w:val="bullet"/>
      <w:lvlText w:val="●"/>
      <w:lvlJc w:val="left"/>
      <w:pPr>
        <w:ind w:left="2880" w:hanging="360"/>
      </w:pPr>
    </w:lvl>
    <w:lvl w:ilvl="4" w:tplc="8C9241B6">
      <w:start w:val="1"/>
      <w:numFmt w:val="bullet"/>
      <w:lvlText w:val="○"/>
      <w:lvlJc w:val="left"/>
      <w:pPr>
        <w:ind w:left="3600" w:hanging="360"/>
      </w:pPr>
    </w:lvl>
    <w:lvl w:ilvl="5" w:tplc="725EE7EA">
      <w:start w:val="1"/>
      <w:numFmt w:val="bullet"/>
      <w:lvlText w:val="■"/>
      <w:lvlJc w:val="left"/>
      <w:pPr>
        <w:ind w:left="4320" w:hanging="360"/>
      </w:pPr>
    </w:lvl>
    <w:lvl w:ilvl="6" w:tplc="B1B019F2">
      <w:start w:val="1"/>
      <w:numFmt w:val="bullet"/>
      <w:lvlText w:val="●"/>
      <w:lvlJc w:val="left"/>
      <w:pPr>
        <w:ind w:left="5040" w:hanging="360"/>
      </w:pPr>
    </w:lvl>
    <w:lvl w:ilvl="7" w:tplc="989043DA">
      <w:start w:val="1"/>
      <w:numFmt w:val="bullet"/>
      <w:lvlText w:val="●"/>
      <w:lvlJc w:val="left"/>
      <w:pPr>
        <w:ind w:left="5760" w:hanging="360"/>
      </w:pPr>
    </w:lvl>
    <w:lvl w:ilvl="8" w:tplc="531CBB38">
      <w:start w:val="1"/>
      <w:numFmt w:val="bullet"/>
      <w:lvlText w:val="●"/>
      <w:lvlJc w:val="left"/>
      <w:pPr>
        <w:ind w:left="6480" w:hanging="360"/>
      </w:pPr>
    </w:lvl>
  </w:abstractNum>
  <w:num w:numId="1" w16cid:durableId="835266364">
    <w:abstractNumId w:val="0"/>
    <w:lvlOverride w:ilvl="0">
      <w:startOverride w:val="1"/>
    </w:lvlOverride>
  </w:num>
  <w:num w:numId="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304"/>
    <w:rsid w:val="00004E18"/>
    <w:rsid w:val="00170C53"/>
    <w:rsid w:val="00174245"/>
    <w:rsid w:val="00675304"/>
    <w:rsid w:val="008A5112"/>
    <w:rsid w:val="00A92D38"/>
    <w:rsid w:val="00D41928"/>
    <w:rsid w:val="00D911F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4262FB8"/>
  <w15:docId w15:val="{53546029-3E6A-E746-BE39-A3F4112E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C1C1C"/>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A5276"/>
      <w:sz w:val="32"/>
      <w:szCs w:val="32"/>
    </w:rPr>
  </w:style>
  <w:style w:type="paragraph" w:styleId="Ttulo2">
    <w:name w:val="heading 2"/>
    <w:uiPriority w:val="9"/>
    <w:unhideWhenUsed/>
    <w:qFormat/>
    <w:pPr>
      <w:spacing w:before="180" w:after="100"/>
      <w:outlineLvl w:val="1"/>
    </w:pPr>
    <w:rPr>
      <w:b/>
      <w:bCs/>
      <w:color w:val="1464A5"/>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92D38"/>
    <w:pPr>
      <w:tabs>
        <w:tab w:val="center" w:pos="4419"/>
        <w:tab w:val="right" w:pos="8838"/>
      </w:tabs>
    </w:pPr>
  </w:style>
  <w:style w:type="character" w:customStyle="1" w:styleId="EncabezadoCar">
    <w:name w:val="Encabezado Car"/>
    <w:basedOn w:val="Fuentedeprrafopredeter"/>
    <w:link w:val="Encabezado"/>
    <w:uiPriority w:val="99"/>
    <w:rsid w:val="00A92D38"/>
  </w:style>
  <w:style w:type="paragraph" w:styleId="Piedepgina">
    <w:name w:val="footer"/>
    <w:basedOn w:val="Normal"/>
    <w:link w:val="PiedepginaCar"/>
    <w:uiPriority w:val="99"/>
    <w:unhideWhenUsed/>
    <w:rsid w:val="00A92D38"/>
    <w:pPr>
      <w:tabs>
        <w:tab w:val="center" w:pos="4419"/>
        <w:tab w:val="right" w:pos="8838"/>
      </w:tabs>
    </w:pPr>
  </w:style>
  <w:style w:type="character" w:customStyle="1" w:styleId="PiedepginaCar">
    <w:name w:val="Pie de página Car"/>
    <w:basedOn w:val="Fuentedeprrafopredeter"/>
    <w:link w:val="Piedepgina"/>
    <w:uiPriority w:val="99"/>
    <w:rsid w:val="00A92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004481"/>
      </a:accent3>
      <a:accent4>
        <a:srgbClr val="0F9ED5"/>
      </a:accent4>
      <a:accent5>
        <a:srgbClr val="A02B93"/>
      </a:accent5>
      <a:accent6>
        <a:srgbClr val="49A5E6"/>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261</Words>
  <Characters>1455</Characters>
  <Application>Microsoft Office Word</Application>
  <DocSecurity>0</DocSecurity>
  <Lines>80</Lines>
  <Paragraphs>53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Ariel Vázquez Piña</cp:lastModifiedBy>
  <cp:revision>3</cp:revision>
  <dcterms:created xsi:type="dcterms:W3CDTF">2026-09-11T04:39:00Z</dcterms:created>
  <dcterms:modified xsi:type="dcterms:W3CDTF">2026-09-11T04:39:00Z</dcterms:modified>
</cp:coreProperties>
</file>