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CCDVI / SEPOL</w:t>
      </w:r>
    </w:p>
    <w:p>
      <w:pPr>
        <w:pBdr>
          <w:bottom w:val="single" w:color="000000" w:sz="12" w:space="6"/>
        </w:pBdr>
        <w:spacing w:after="3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60"/>
          <w:szCs w:val="60"/>
        </w:rPr>
        <w:t xml:space="preserve">Sistema DVI Offline</w:t>
      </w:r>
    </w:p>
    <w:p>
      <w:pPr>
        <w:spacing w:after="600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Documentação Executiva do Projeto</w:t>
      </w:r>
    </w:p>
    <w:p>
      <w:p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Plataforma de apoio à identificação de vítimas de desastres, operando em rede local sem dependência de internet</w:t>
      </w:r>
    </w:p>
    <w:p>
      <w:pPr>
        <w:spacing w:after="80" w:before="1800"/>
      </w:pPr>
      <w:r>
        <w:rPr>
          <w:rFonts w:ascii="Arial" w:cs="Arial" w:eastAsia="Arial" w:hAnsi="Arial"/>
          <w:b/>
          <w:bCs/>
          <w:color w:val="000000"/>
        </w:rPr>
        <w:t xml:space="preserve">Versão do sistema: </w:t>
      </w:r>
      <w:r>
        <w:rPr>
          <w:rFonts w:ascii="Arial" w:cs="Arial" w:eastAsia="Arial" w:hAnsi="Arial"/>
          <w:color w:val="000000"/>
        </w:rPr>
        <w:t xml:space="preserve">0.1.0 — primeiro MVP (Etapas A e B)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Data: </w:t>
      </w:r>
      <w:r>
        <w:rPr>
          <w:rFonts w:ascii="Arial" w:cs="Arial" w:eastAsia="Arial" w:hAnsi="Arial"/>
          <w:color w:val="000000"/>
        </w:rPr>
        <w:t xml:space="preserve">outubro de 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Referência metodológica: </w:t>
      </w:r>
      <w:r>
        <w:rPr>
          <w:rFonts w:ascii="Arial" w:cs="Arial" w:eastAsia="Arial" w:hAnsi="Arial"/>
          <w:color w:val="000000"/>
        </w:rPr>
        <w:t xml:space="preserve">INTERPOL DVI Guide 2023, formulários AM/PM e Anexos 4, 5, 6 e 9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Classificação: </w:t>
      </w:r>
      <w:r>
        <w:rPr>
          <w:rFonts w:ascii="Arial" w:cs="Arial" w:eastAsia="Arial" w:hAnsi="Arial"/>
          <w:color w:val="000000"/>
        </w:rPr>
        <w:t xml:space="preserve">documento demonstrativo — uso interno</w:t>
      </w:r>
    </w:p>
    <w:p>
      <w:pPr>
        <w:spacing w:before="6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Todos os dados utilizados no desenvolvimento e nos testes são fictícios. O sistema não é homologado pela INTERPOL e não realiza identificação de vítimas.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</w:rPr>
        <w:t xml:space="preserve">Controle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15/10/2026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Primeira edição: resultado das Etapas A e B do desenvolvimento</w:t>
            </w:r>
          </w:p>
        </w:tc>
      </w:tr>
    </w:tbl>
    <w:p>
      <w:pPr>
        <w:spacing w:after="120"/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000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i/>
          <w:iCs/>
          <w:color w:val="000000"/>
          <w:sz w:val="16"/>
          <w:szCs w:val="16"/>
        </w:rPr>
        <w:t xml:space="preserve">Para atualizar o sumário no Word: clique com o botão direito sobre ele e escolha “Atualizar campo”.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1. Sumário executivo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O Sistema DVI Offline é uma plataforma web para apoiar as equipes de identificação de vítimas de desastres (DVI) do CCDVI/SEPOL. Ela organiza o registro de pessoas desaparecidas (Ante Mortem, AM), o registro de restos mortais e exames (Post Mortem, PM) e a comparação entre os dois conjuntos de informações, com base nos procedimentos do INTERPOL DVI Guide 2023.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O sistema foi concebido para funcionar onde a internet costuma falhar: cada base operacional usa seu próprio servidor e sua rede local, e notebooks e tablets acessam a aplicação pelo navegador, sem nenhum serviço externo.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00000"/>
        </w:rPr>
        <w:t xml:space="preserve">Resultado desta etapa. </w:t>
      </w:r>
      <w:r>
        <w:rPr>
          <w:rFonts w:ascii="Arial" w:cs="Arial" w:eastAsia="Arial" w:hAnsi="Arial"/>
          <w:color w:val="000000"/>
        </w:rPr>
        <w:t xml:space="preserve">Foi entregue e validado um primeiro MVP funcional, com código-fonte, banco de dados, controle de acesso, armazenamento de documentos e testes automatizados executados contra serviços reais. Não se trata de maquete: cada funcionalidade marcada como concluída foi exercitada por testes.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1.1 Indicadores da entrega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Indicador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Testes automatizados de API (contra PostgreSQL real)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 executados, 38 aprovados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Testes de ponta a ponta no navegador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executados, 5 aprovados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Backup e restauração em ambiente limpo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Aprovado, com 9 anexos conferidos por hash SHA-256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Chamadas a serviços externos pela interface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Nenhuma (verificação automática)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Endpoints da API documentados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Perfis de acesso implementados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(operador AM, operador PM, revisor, coordenador, TIC, auditor)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1.2 Pontos de atenção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Implantação em servidor real: </w:t>
      </w:r>
      <w:r>
        <w:rPr>
          <w:rFonts w:ascii="Arial" w:cs="Arial" w:eastAsia="Arial" w:hAnsi="Arial"/>
          <w:color w:val="000000"/>
        </w:rPr>
        <w:t xml:space="preserve">os arquivos de instalação com Podman estão prontos, mas ainda precisam ser executados e validados no servidor do laboratório.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Operação sem internet: </w:t>
      </w:r>
      <w:r>
        <w:rPr>
          <w:rFonts w:ascii="Arial" w:cs="Arial" w:eastAsia="Arial" w:hAnsi="Arial"/>
          <w:color w:val="000000"/>
        </w:rPr>
        <w:t xml:space="preserve">a ausência de chamadas externas foi verificada; falta o teste com a conexão fisicamente desligada, em campo.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Validação institucional: </w:t>
      </w:r>
      <w:r>
        <w:rPr>
          <w:rFonts w:ascii="Arial" w:cs="Arial" w:eastAsia="Arial" w:hAnsi="Arial"/>
          <w:color w:val="000000"/>
        </w:rPr>
        <w:t xml:space="preserve">campos obrigatórios, regras de retenção de documentos e fluxo de encaminhamento ao Identification Board dependem de definição do CCDVI.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404040" w:sz="2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Princípio inegociável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sistema nunca declara identificação. Ele organiza informações e indica pares de registros para análise pericial; a identificação formal permanece com especialistas e com o Identification Board, conforme o Anexo 6 do Guia INTERPOL.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2. Contexto e objetivo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2.1 Contexto operacional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Em um desastre com múltiplas vítimas, a operação DVI se organiza em bases com papéis distintos. Cada base precisa continuar trabalhando mesmo que os enlaces de comunicação com as demais sejam interrompidos.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mapa.png" descr="Figura 1 — Mapa estratégico de conectividade: três bases interligadas por rádio, operando de forma autônoma" title="Figura 1 — Mapa estratégico de conectividade: três bases interligadas por rádio, operando de forma autôno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1 — Mapa estratégico de conectividade: três bases interligadas por rádio, operando de forma autônoma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Papel na operação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Uso do sistema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Principal / Comando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Coordenação, consolidação e reconciliação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Revisão de candidatos AM×PM, situação da operação, auditoria e administração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Ante Mortem (AM)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Entrevistas com familiares e cadastro de desaparecidos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Fichas AM, entrevistas, sinais particulares, documentos e fotografias de referência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Post Mortem (PM)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Núcleo IML e perícia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Fichas PM, exames, pertences, cadeia de custódia e fotografias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2.2 Objetivo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Oferecer às equipes uma ferramenta única, segura e rastreável para registrar informações AM e PM, armazenar documentos e fotografias com integridade comprovada e apoiar a comparação entre registros, sem depender de internet e sem substituir a decisão pericial.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2.3 Princípios do projeto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Funcionamento local: </w:t>
      </w:r>
      <w:r>
        <w:rPr>
          <w:rFonts w:ascii="Arial" w:cs="Arial" w:eastAsia="Arial" w:hAnsi="Arial"/>
          <w:color w:val="000000"/>
        </w:rPr>
        <w:t xml:space="preserve">todos os serviços rodam no servidor da base; nenhuma API externa é obrigatória.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Rastreabilidade: </w:t>
      </w:r>
      <w:r>
        <w:rPr>
          <w:rFonts w:ascii="Arial" w:cs="Arial" w:eastAsia="Arial" w:hAnsi="Arial"/>
          <w:color w:val="000000"/>
        </w:rPr>
        <w:t xml:space="preserve">cada campo é vinculado ao formulário INTERPOL de origem, e cada ação fica registrada em trilha de auditoria.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Segregação de acesso: </w:t>
      </w:r>
      <w:r>
        <w:rPr>
          <w:rFonts w:ascii="Arial" w:cs="Arial" w:eastAsia="Arial" w:hAnsi="Arial"/>
          <w:color w:val="000000"/>
        </w:rPr>
        <w:t xml:space="preserve">cada perfil vê e altera apenas o que lhe compete; a verificação ocorre no servidor.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Apoio, não decisão: </w:t>
      </w:r>
      <w:r>
        <w:rPr>
          <w:rFonts w:ascii="Arial" w:cs="Arial" w:eastAsia="Arial" w:hAnsi="Arial"/>
          <w:color w:val="000000"/>
        </w:rPr>
        <w:t xml:space="preserve">a comparação explica semelhanças e divergências, mas a conclusão é sempre humana.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Software livre: </w:t>
      </w:r>
      <w:r>
        <w:rPr>
          <w:rFonts w:ascii="Arial" w:cs="Arial" w:eastAsia="Arial" w:hAnsi="Arial"/>
          <w:color w:val="000000"/>
        </w:rPr>
        <w:t xml:space="preserve">toda a pilha tecnológica é aberta, sem custo de licença.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Dados fictícios: </w:t>
      </w:r>
      <w:r>
        <w:rPr>
          <w:rFonts w:ascii="Arial" w:cs="Arial" w:eastAsia="Arial" w:hAnsi="Arial"/>
          <w:color w:val="000000"/>
        </w:rPr>
        <w:t xml:space="preserve">nenhum dado real é usado até a aprovação institucional.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3. Escopo da primeira entrega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A primeira entrega concentrou-se em demonstrar o funcionamento completo do fluxo central, antes de ampliar funcionalidades.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Item solicitado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Autenticação funcional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Entregue e testado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Seleção de operação, base e função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Entregue e testado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Cadastro Ante Mortem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Entregue e testado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Cadastro Post Mortem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Entregue e testado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Upload de documentos e fotografias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Entregue e testado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Persistência em PostgreSQL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Entregue e testado</w:t>
            </w:r>
          </w:p>
        </w:tc>
      </w:tr>
      <w:t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Tela de comparação AM×PM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Entregue e testado, com revisão humana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3.1 Fora do escopo desta etapa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Sincronização automática de dados entre as três bases.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Integração com o SPT Web e outros sistemas oficiais.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Reconhecimento facial, biometria automática ou qualquer forma de identificação automatizada.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Emissão de laudo ou documento de identificação oficial.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4. A solução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4.1 Fluxo de trabalho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O usuário entra com sua conta, escolhe a operação, a base e a função em que vai atuar. A partir daí, a interface mostra apenas os módulos permitidos. As equipes AM e PM registram suas informações; o revisor compara os registros e registra o encaminhamento para a perícia.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666875"/>
            <wp:effectExtent t="0" r="0" b="0" l="0"/>
            <wp:docPr id="1" name="fluxo.png" descr="Figura 2 — Fluxo de trabalho no sistema" title="Figura 2 — Fluxo de trabalho n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2 — Fluxo de trabalho no sistema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4.2 Funcionalidades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Módulo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oferece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Acesso e contexto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com senha protegida; escolha de operação, base e função; troca de contexto validada e auditada; uma pessoa pode atuar em mais de uma base sem várias contas.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 Ante Mortem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Sete abas: identificação, entrevistas e fontes, características e sinais, vestimentas e objetos, dados médicos e odontológicos, fotos e documentos, histórico. Salvamento parcial e grau de certeza de cada informação relatada.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 Post Mortem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Sete abas: recepção e numeração (Anexo 9), características e achados, exames (papiloscopia, odontologia, DNA), fotografias, pertences, cadeia de custódia e histórico.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Documentos e fotografias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JPEG, PNG e PDF validados pelo conteúdo; original preservado com hash SHA-256; novas versões sem sobrescrever; retirada com justificativa; visualização sem metadados de localização.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Comparação AM×PM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ordenada de candidatos; comparação lado a lado por atributo (sexo, idade, estatura, sinais, lateralidade, objetos, implantes); destaque de coincidências, divergências e ausências; registro da análise humana.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Coordenação, auditoria e TIC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Painel com números agregados, trilha de auditoria imutável e administração de contas e autorizações, sem acesso ao conteúdo sensível dos casos.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4.3 Telas do sistema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As imagens a seguir foram capturadas automaticamente durante os testes, com dados fictícios.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tela_contexto.png" descr="Figura 3 — Seleção de operação, base e função" title="Figura 3 — Seleção de operação, base e fun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3 — Seleção de operação, base e função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4562475"/>
            <wp:effectExtent t="0" r="0" b="0" l="0"/>
            <wp:docPr id="1" name="tela_anexos.png" descr="Figura 4 — Ficha AM: fotografias e documentos com hash, versões e recusa de arquivo forjado" title="Figura 4 — Ficha AM: fotografias e documentos com hash, versões e recusa de arquivo forj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4 — Ficha AM: fotografias e documentos com hash, versões e recusa de arquivo forjado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5495925"/>
            <wp:effectExtent t="0" r="0" b="0" l="0"/>
            <wp:docPr id="1" name="tela_comparacao.png" descr="Figura 5 — Comparação AM×PM lado a lado, com justificativas e registro da análise humana" title="Figura 5 — Comparação AM×PM lado a lado, com justificativas e registro da análise hum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5 — Comparação AM×PM lado a lado, com justificativas e registro da análise humana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5. Arquitetura e infraestrutura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5.1 Arquitetura de software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Cada instalação é composta por um servidor Linux que hospeda a interface web, a API, o banco de dados e o armazenamento de anexos. Os usuários acessam pelo navegador, na rede local da base.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438275"/>
            <wp:effectExtent t="0" r="0" b="0" l="0"/>
            <wp:docPr id="1" name="arquitetura.png" descr="Figura 6 — Componentes de uma instalação" title="Figura 6 — Componentes de uma instal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6 — Componentes de uma instalação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226"/>
      </w:tblGrid>
      <w:tr>
        <w:trPr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Camada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Telas em português, responsivas para notebooks e tablets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Regras de negócio, permissões e auditoria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Registros, autorizações e trilha de auditoria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Comparação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 próprio + RapidFuzz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Comparação explicável e semelhança textual auxiliar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 web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Entrega da interface e encaminhamento à API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Podman + Quadlet (systemd)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Contêineres gerenciados como serviços do Linux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Ubuntu Server 24.04 LTS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Plataforma de referência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5.2 Infraestrutura das bases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As ilustrações a seguir representam o cenário-alvo da operação: três bases autônomas, cada uma com servidor local, rede sem fio, energia de contingência e enlace de rádio.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topologia.png" descr="Figura 7 — Topologia conceitual: rede autônoma para três bases operacionais" title="Figura 7 — Topologia conceitual: rede autônoma para três bases operacion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7 — Topologia conceitual: rede autônoma para três bases operacionais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sica.png" descr="Figura 8 — Infraestrutura física de uma base" title="Figura 8 — Infraestrutura física de uma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8 — Infraestrutura física de uma base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logica.png" descr="Figura 9 — Infraestrutura lógica de uma base" title="Figura 9 — Infraestrutura lógica de uma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Figura 9 — Infraestrutura lógica de uma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4"/>
              <w:left w:val="single" w:color="404040" w:sz="2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Situação atual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sistema foi desenvolvido e testado em uma instalação com múltiplos perfis e bases. A operação com um servidor por base e a sincronização posterior entre elas estão previstas na arquitetura (identificadores únicos e registro da base de origem), mas ainda não foram implementadas.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6. Segurança, privacidade e conformidade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6.1 Controles implementados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Autenticação: </w:t>
      </w:r>
      <w:r>
        <w:rPr>
          <w:rFonts w:ascii="Arial" w:cs="Arial" w:eastAsia="Arial" w:hAnsi="Arial"/>
          <w:color w:val="000000"/>
        </w:rPr>
        <w:t xml:space="preserve">senhas armazenadas com Argon2id, sessões revogáveis e limitação de tentativas de acesso.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Autorização no servidor: </w:t>
      </w:r>
      <w:r>
        <w:rPr>
          <w:rFonts w:ascii="Arial" w:cs="Arial" w:eastAsia="Arial" w:hAnsi="Arial"/>
          <w:color w:val="000000"/>
        </w:rPr>
        <w:t xml:space="preserve">cada requisição é conferida contra usuário, operação, base e função; a revogação de acesso tem efeito imediato.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Isolamento: </w:t>
      </w:r>
      <w:r>
        <w:rPr>
          <w:rFonts w:ascii="Arial" w:cs="Arial" w:eastAsia="Arial" w:hAnsi="Arial"/>
          <w:color w:val="000000"/>
        </w:rPr>
        <w:t xml:space="preserve">operador AM não altera PM e vice-versa; coordenação e TIC não acessam fotos nem documentos pessoais.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Integridade de documentos: </w:t>
      </w:r>
      <w:r>
        <w:rPr>
          <w:rFonts w:ascii="Arial" w:cs="Arial" w:eastAsia="Arial" w:hAnsi="Arial"/>
          <w:color w:val="000000"/>
        </w:rPr>
        <w:t xml:space="preserve">hash SHA-256 conferido após a gravação, original preservado, armazenamento fora da área pública e validação real do tipo de arquivo.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Privacidade: </w:t>
      </w:r>
      <w:r>
        <w:rPr>
          <w:rFonts w:ascii="Arial" w:cs="Arial" w:eastAsia="Arial" w:hAnsi="Arial"/>
          <w:color w:val="000000"/>
        </w:rPr>
        <w:t xml:space="preserve">remoção de metadados de localização (GPS) das imagens exibidas.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Auditoria imutável: </w:t>
      </w:r>
      <w:r>
        <w:rPr>
          <w:rFonts w:ascii="Arial" w:cs="Arial" w:eastAsia="Arial" w:hAnsi="Arial"/>
          <w:color w:val="000000"/>
        </w:rPr>
        <w:t xml:space="preserve">o banco de dados bloqueia alteração e exclusão da trilha de auditoria.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</w:rPr>
        <w:t xml:space="preserve">Operação isolada: </w:t>
      </w:r>
      <w:r>
        <w:rPr>
          <w:rFonts w:ascii="Arial" w:cs="Arial" w:eastAsia="Arial" w:hAnsi="Arial"/>
          <w:color w:val="000000"/>
        </w:rPr>
        <w:t xml:space="preserve">a interface não carrega fontes, bibliotecas ou serviços de terceiros.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6.2 Conformidade e responsabilidades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O projeto usa o INTERPOL DVI Guide 2023 como referência metodológica, sem uso de marca e sem pretensão de homologação. Antes de qualquer uso com dados reais, são necessários: avaliação jurídica e de proteção de dados (LGPD), auditoria de segurança, aprovação pela área de TIC, uso de HTTPS com certificados institucionais e criptografia de discos e backups.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7. Qualidade e testes</w:t>
      </w:r>
    </w:p>
    <w:p>
      <w:pPr>
        <w:spacing w:after="120" w:line="300"/>
      </w:pPr>
      <w:r>
        <w:rPr>
          <w:rFonts w:ascii="Arial" w:cs="Arial" w:eastAsia="Arial" w:hAnsi="Arial"/>
          <w:color w:val="000000"/>
        </w:rPr>
        <w:t xml:space="preserve">Todos os testes foram executados contra serviços reais — banco PostgreSQL, API e navegador Chromium — em ambiente Ubuntu 24.04, com dados fictícios. Nenhum resultado foi simulado.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26"/>
        <w:gridCol w:w="220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Conjunto de testes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(pytest)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Autenticação, contexto, cadastros, anexos, permissões, comparação, auditoria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38/38 aprovados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Ponta a ponta (Playwright)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Fluxos completos no navegador para os seis perfis, incluindo acessos negados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5/5 aprovados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Recursos externos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Ausência de referências a serviços de terceiros na interface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Backup e restauração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Recuperação em banco limpo, contagens e hashes de todos os anexos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Qualidade de código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Lint do Python e verificação de tipos do TypeScript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erros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Imagens de contêiner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Construção das imagens Podman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executado — sem Podman no ambiente de desenvolvimento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7.1 Cenários de demonstração comprovados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Registro AM com tatuagem de rosa no antebraço direito, cicatriz no joelho esquerdo e estatura de 1,75 m é apresentado como candidato prioritário para um registro PM com tatuagem floral no mesmo local e estatura de 1,74 m, com explicação de cada semelhança.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Registro PM com tatuagem no lado oposto e idade incompatível gera alerta de divergência crítica, sem qualquer correspondência automática.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Informações ausentes não são tratadas como incompatibilidade.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Usuários sem autorização recebem recusa do servidor ao tentar acessar outra base ou baixar documentos de outro módulo.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Dados e documentos permanecem disponíveis após reinício do sistema.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8. Situação atual e pendências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Itens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 e testado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Acesso e contexto; fichas AM e PM; documentos e fotografias; comparação e revisão humana; perfis de coordenação, auditoria e TIC; trilha de auditoria; backup e restauração.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Implementado, validação pendente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Implantação com Podman/Quadlet no servidor; operação com internet fisicamente desligada; relatório comparativo impresso pelo navegador.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Pendente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Exportação em PDF e CSV gerada pelo servidor; cadastro de operações pela interface; odontograma, árvore genealógica e perfis de DNA; verificação por segundo revisor.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Bloqueado (aguarda instituição)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Campos e telas do SPT Web; regras de obrigatoriedade, retenção e cadeia de custódia do CCDVI.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9. Riscos e mitigação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Impacto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Interpretação da comparação como identificação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Ausência de status de identificação; avisos em todas as telas e relatórios; registro obrigatório de análise humana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Uso de dados reais antes da aprovação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de dados fictícios; marca d'água nos arquivos de teste; aprovação jurídica e de TIC antes do uso real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Falha de energia ou de enlace na base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Operação local autônoma; nobreak e gerador na infraestrutura; backups verificados por hash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Divergência entre o sistema e as regras do CCDVI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 dos campos e fluxos com as equipes antes da próxima etapa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Implantação não validada em servidor real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Executar a implantação no laboratório como próximo passo prioritário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Conflitos na futura sincronização entre bases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Pacotes de exportação com identificadores únicos e fila de revisão de conflitos, sem replicação automática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10. Próximos passos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Entregas previstas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 do MVP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Implantação no servidor do laboratório; demonstração às equipes AM, PM e de reconciliação; teste com a internet desligada; ajuste dos campos obrigatórios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Etapa C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Relatórios em PDF e exportação CSV/JSON; verificação por segundo revisor; parâmetros de comparação configuráveis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Etapa D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Implantação Podman consolidada; rotina de backup no servidor; manual do laboratório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Evolução futura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Uma instalação por base; pacotes de sincronização cifrados; integração com sistemas oficiais mediante contrato aprovado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000000"/>
        </w:rPr>
        <w:t xml:space="preserve">10.1 Decisões necessárias da instituição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Definir os campos obrigatórios de cada aba das fichas AM e PM.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Definir prazos de retenção de documentos e quem autoriza a retirada de evidências.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Confirmar o código de país usado na numeração AM/PM (padrão adotado: 55).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Definir o fluxo formal de encaminhamento ao Identification Board e o modelo de relatório.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Fornecer, se autorizado, as telas e campos do SPT Web para alinhamento.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Definir política de senhas e responsáveis pela criação de contas.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Anexo A —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Termo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DVI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Disaster Victim Identification — identificação de vítimas de desastres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 (Ante Mortem)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Informações da pessoa desaparecida antes do óbito, obtidas com familiares e documentos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(Post Mortem)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Informações obtidas dos restos mortais por meio de exames periciais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Reconciliação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Comparação entre registros AM e PM para indicar possíveis correspondências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Identification Board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Comissão de especialistas que decide formalmente sobre a identificação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Identificadores primários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Papiloscopia, odontologia comparativa e DNA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SHA-256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Assinatura digital do arquivo que comprova que ele não foi alterado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Podman / Quadlet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Ferramentas livres para executar a aplicação em contêineres como serviços do Linux</w:t>
            </w:r>
          </w:p>
        </w:tc>
      </w:tr>
    </w:tbl>
    <w:p>
      <w:pPr>
        <w:pStyle w:val="Heading1"/>
        <w:spacing w:before="480"/>
      </w:pPr>
      <w:r>
        <w:rPr>
          <w:rFonts w:ascii="Arial" w:cs="Arial" w:eastAsia="Arial" w:hAnsi="Arial"/>
          <w:color w:val="000000"/>
        </w:rPr>
        <w:t xml:space="preserve">Anexo B — Referências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INTERPOL. Disaster Victim Identification Guide, 2023.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INTERPOL. DVI Guide — Annexure 4 (Post Mortem), Annexure 5 (Ante Mortem), Annexure 6 (Reconciliation) e Annexure 9 (Numbering), 2023.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INTERPOL. Ante Mortem e Post Mortem DVI Form Sets, versão 2023.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CCDVI/SEPOL. Prompt de desenvolvimento do Sistema DVI Offline, v1.1, e Fluxo de telas e testes, v1.1.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000000"/>
        </w:rPr>
        <w:t xml:space="preserve">Repositório do projeto: documentação técnica em docs/ (arquitetura, rastreabilidade, RBAC, esquema do banco, instalação e status).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440" w:bottom="1418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000000"/>
        <w:sz w:val="16"/>
        <w:szCs w:val="16"/>
      </w:rPr>
      <w:t xml:space="preserve">Documento demonstrativo — dados fictícios</w:t>
    </w:r>
    <w:r>
      <w:rPr>
        <w:rFonts w:ascii="Arial" w:cs="Arial" w:eastAsia="Arial" w:hAnsi="Arial"/>
        <w:color w:val="000000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tabs>
        <w:tab w:val="right" w:pos="9026"/>
      </w:tabs>
    </w:pPr>
    <w:r>
      <w:rPr>
        <w:rFonts w:ascii="Arial" w:cs="Arial" w:eastAsia="Arial" w:hAnsi="Arial"/>
        <w:color w:val="000000"/>
        <w:sz w:val="16"/>
        <w:szCs w:val="16"/>
      </w:rPr>
      <w:t xml:space="preserve">Sistema DVI Offline — Documentação Executiva</w:t>
    </w:r>
    <w:r>
      <w:rPr>
        <w:rFonts w:ascii="Arial" w:cs="Arial" w:eastAsia="Arial" w:hAnsi="Arial"/>
        <w:color w:val="000000"/>
        <w:sz w:val="16"/>
        <w:szCs w:val="16"/>
      </w:rPr>
      <w:t xml:space="preserve">	CCDVI / SEPOL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8" w:space="4"/>
      </w:pBdr>
      <w:spacing w:after="240" w:before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7d57a87311b2ee193ea7faa8d094ad21502e293.png"/><Relationship Id="rId12" Type="http://schemas.openxmlformats.org/officeDocument/2006/relationships/image" Target="media/85f5497479dc67ddba60207505ac89c46c43d8a5.png"/><Relationship Id="rId13" Type="http://schemas.openxmlformats.org/officeDocument/2006/relationships/image" Target="media/02280b05de0de9665a7e9c35c01cb0fa99803afc.png"/><Relationship Id="rId14" Type="http://schemas.openxmlformats.org/officeDocument/2006/relationships/image" Target="media/284eaca4075af9c6757eb2ed6f50a85de857a2fc.png"/><Relationship Id="rId15" Type="http://schemas.openxmlformats.org/officeDocument/2006/relationships/image" Target="media/e6642e2183a0e834410ee48c5101371538c8b3d4.png"/><Relationship Id="rId16" Type="http://schemas.openxmlformats.org/officeDocument/2006/relationships/image" Target="media/36961f0066633ab4e4bb849b23e267ea7a3501b3.png"/><Relationship Id="rId17" Type="http://schemas.openxmlformats.org/officeDocument/2006/relationships/image" Target="media/d58a0aa0d37ba8954d11007588b955bfd2407dba.png"/><Relationship Id="rId18" Type="http://schemas.openxmlformats.org/officeDocument/2006/relationships/image" Target="media/38ae0bba6e8894ab99be6e33137df45a9b0d2e74.png"/><Relationship Id="rId19" Type="http://schemas.openxmlformats.org/officeDocument/2006/relationships/image" Target="media/d57c049f022e58bdd5800eec0bd8094cff6eb47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DVI Offline — Documentação Executiva</dc:title>
  <dc:creator>Projeto Sistema DVI Offline</dc:creator>
  <cp:lastModifiedBy>Un-named</cp:lastModifiedBy>
  <cp:revision>1</cp:revision>
  <dcterms:created xsi:type="dcterms:W3CDTF">2026-10-15T05:21:33.235Z</dcterms:created>
  <dcterms:modified xsi:type="dcterms:W3CDTF">2026-10-15T05:21:33.236Z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