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75A8" w14:textId="77777777" w:rsidR="004B3BF2" w:rsidRPr="004B3BF2" w:rsidRDefault="004B3BF2" w:rsidP="004B3BF2">
      <w:pPr>
        <w:jc w:val="both"/>
      </w:pPr>
      <w:r w:rsidRPr="004B3BF2">
        <w:t xml:space="preserve">O processo de randomização foi estruturado com base no tamanho amostral estatisticamente calculado (n=96) e estratificado de acordo com as metas de recrutamento de cada centro clínico e a alocação para análises farmacocinéticas (PK). Para mitigar eventuais assimetrias de taxa de inclusão e assegurar uma distribuição balanceada </w:t>
      </w:r>
      <w:proofErr w:type="spellStart"/>
      <w:r w:rsidRPr="004B3BF2">
        <w:t>intercentros</w:t>
      </w:r>
      <w:proofErr w:type="spellEnd"/>
      <w:r w:rsidRPr="004B3BF2">
        <w:t>, o sistema foi programado com uma margem compensatória de recrutamento, elevando o limite operacional de randomização para 140 participantes.</w:t>
      </w:r>
    </w:p>
    <w:p w14:paraId="0B005AD8" w14:textId="77777777" w:rsidR="004B3BF2" w:rsidRPr="004B3BF2" w:rsidRDefault="004B3BF2" w:rsidP="004B3BF2">
      <w:pPr>
        <w:jc w:val="both"/>
      </w:pPr>
      <w:r w:rsidRPr="004B3BF2">
        <w:t xml:space="preserve">A alocação aleatória foi executada de forma centralizada por meio de um algoritmo customizado em linguagem Python. A geração da sequência pseudoaleatória foi conduzida empregando-se a função </w:t>
      </w:r>
      <w:proofErr w:type="spellStart"/>
      <w:r w:rsidRPr="004B3BF2">
        <w:rPr>
          <w:i/>
          <w:iCs/>
        </w:rPr>
        <w:t>shuffle</w:t>
      </w:r>
      <w:proofErr w:type="spellEnd"/>
      <w:r w:rsidRPr="004B3BF2">
        <w:t xml:space="preserve"> do módulo </w:t>
      </w:r>
      <w:proofErr w:type="spellStart"/>
      <w:r w:rsidRPr="004B3BF2">
        <w:rPr>
          <w:i/>
          <w:iCs/>
        </w:rPr>
        <w:t>random</w:t>
      </w:r>
      <w:proofErr w:type="spellEnd"/>
      <w:r w:rsidRPr="004B3BF2">
        <w:t>. Utilizou-se o método de randomização em blocos permutados com tamanho fixo igual a quatro, com estratificação prévia por centro de pesquisa e sexo. Esse delineamento garantiu uma razão de alocação rigorosa de 1:1, determinando a inclusão exata de um participante do sexo masculino e um do feminino no grupo intervenção e, simetricamente, no grupo placebo a cada bloco, além de permutar aleatoriamente a sequência dos blocos gerados.</w:t>
      </w:r>
    </w:p>
    <w:p w14:paraId="27A9B569" w14:textId="77777777" w:rsidR="004B3BF2" w:rsidRPr="004B3BF2" w:rsidRDefault="004B3BF2" w:rsidP="004B3BF2">
      <w:pPr>
        <w:jc w:val="both"/>
      </w:pPr>
      <w:r w:rsidRPr="004B3BF2">
        <w:t xml:space="preserve">Uma rotina computacional independente, ancorada no mesmo princípio de </w:t>
      </w:r>
      <w:proofErr w:type="spellStart"/>
      <w:r w:rsidRPr="004B3BF2">
        <w:t>pseudoaleatorização</w:t>
      </w:r>
      <w:proofErr w:type="spellEnd"/>
      <w:r w:rsidRPr="004B3BF2">
        <w:t xml:space="preserve"> </w:t>
      </w:r>
      <w:proofErr w:type="spellStart"/>
      <w:r w:rsidRPr="004B3BF2">
        <w:t>inter</w:t>
      </w:r>
      <w:proofErr w:type="spellEnd"/>
      <w:r w:rsidRPr="004B3BF2">
        <w:t xml:space="preserve"> e intrablocos, foi desenvolvida para definir a subamostra destinada à avaliação farmacocinética. O protocolo determinou que apenas os indivíduos alocados no braço de intervenção seriam elegíveis para a coorte PK, com um limite predefinido de 10 participantes por centro. Para tanto, aplicou-se uma </w:t>
      </w:r>
      <w:proofErr w:type="spellStart"/>
      <w:r w:rsidRPr="004B3BF2">
        <w:t>sub-randomização</w:t>
      </w:r>
      <w:proofErr w:type="spellEnd"/>
      <w:r w:rsidRPr="004B3BF2">
        <w:t xml:space="preserve"> em blocos permutados de tamanho igual a dois, assegurando a imprevisibilidade e a homogeneidade estatística da amostragem secundária.</w:t>
      </w:r>
    </w:p>
    <w:p w14:paraId="6F4A81DC" w14:textId="77777777" w:rsidR="00C048B8" w:rsidRDefault="00C048B8" w:rsidP="004B3BF2">
      <w:pPr>
        <w:jc w:val="both"/>
      </w:pPr>
    </w:p>
    <w:sectPr w:rsidR="00C048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F2"/>
    <w:rsid w:val="002369C1"/>
    <w:rsid w:val="004B3BF2"/>
    <w:rsid w:val="008E28AD"/>
    <w:rsid w:val="00911109"/>
    <w:rsid w:val="00C0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AA6DA"/>
  <w15:chartTrackingRefBased/>
  <w15:docId w15:val="{E9857669-05AE-430E-A0E6-C3341E4A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3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3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B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B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B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B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B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B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3B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B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3B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B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Socca - SVRI</dc:creator>
  <cp:keywords/>
  <dc:description/>
  <cp:lastModifiedBy>Eduardo Socca - SVRI</cp:lastModifiedBy>
  <cp:revision>1</cp:revision>
  <dcterms:created xsi:type="dcterms:W3CDTF">2026-10-13T14:41:00Z</dcterms:created>
  <dcterms:modified xsi:type="dcterms:W3CDTF">2026-10-13T14:43:00Z</dcterms:modified>
</cp:coreProperties>
</file>