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484110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484110" w:rsidRPr="00C619BB" w:rsidRDefault="00484110" w:rsidP="00641EB5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 w:rsidRPr="00C619BB">
              <w:rPr>
                <w:rFonts w:ascii="Arial Narrow" w:hAnsi="Arial Narrow"/>
                <w:b/>
                <w:smallCaps/>
                <w:sz w:val="12"/>
                <w:szCs w:val="12"/>
              </w:rPr>
              <w:t>ROE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quanto de lucro a empresa consegue gerar com seu patrimônio líqu</w:t>
            </w:r>
            <w:r w:rsidR="003034CF">
              <w:rPr>
                <w:smallCaps/>
                <w:sz w:val="12"/>
                <w:szCs w:val="12"/>
              </w:rPr>
              <w:t>ido (pertencentes a acionistas)</w:t>
            </w:r>
          </w:p>
          <w:p w:rsidR="00484110" w:rsidRPr="00170A0E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indica se a empresa está aplicando bem o dinheiro dos acionistas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484110" w:rsidRPr="005F5541" w:rsidRDefault="00484110" w:rsidP="00641EB5">
            <w:pPr>
              <w:jc w:val="center"/>
              <w:rPr>
                <w:smallCaps/>
                <w:sz w:val="8"/>
                <w:szCs w:val="8"/>
              </w:rPr>
            </w:pPr>
            <w:r w:rsidRPr="005F5541">
              <w:rPr>
                <w:b/>
                <w:smallCaps/>
                <w:color w:val="C00000"/>
                <w:sz w:val="12"/>
                <w:szCs w:val="12"/>
              </w:rPr>
              <w:t>acima de 15% (anual)</w:t>
            </w:r>
            <w:r w:rsidR="005F5541" w:rsidRPr="005F5541">
              <w:rPr>
                <w:b/>
                <w:smallCaps/>
                <w:color w:val="C00000"/>
                <w:sz w:val="12"/>
                <w:szCs w:val="12"/>
              </w:rPr>
              <w:br/>
              <w:t>alguns autores consideram válido até 12%</w:t>
            </w:r>
            <w:r w:rsidR="005F5541">
              <w:rPr>
                <w:smallCaps/>
                <w:sz w:val="12"/>
                <w:szCs w:val="12"/>
              </w:rPr>
              <w:br/>
            </w:r>
            <w:proofErr w:type="spellStart"/>
            <w:r w:rsidR="005F5541" w:rsidRPr="005F5541">
              <w:rPr>
                <w:smallCaps/>
                <w:color w:val="7F7F7F" w:themeColor="text1" w:themeTint="80"/>
                <w:sz w:val="10"/>
                <w:szCs w:val="10"/>
              </w:rPr>
              <w:t>ref</w:t>
            </w:r>
            <w:proofErr w:type="spellEnd"/>
            <w:r w:rsidR="005F5541" w:rsidRPr="005F5541">
              <w:rPr>
                <w:smallCaps/>
                <w:color w:val="7F7F7F" w:themeColor="text1" w:themeTint="80"/>
                <w:sz w:val="10"/>
                <w:szCs w:val="10"/>
              </w:rPr>
              <w:t>: manual do pequeno investidor</w:t>
            </w:r>
          </w:p>
        </w:tc>
      </w:tr>
      <w:tr w:rsidR="00484110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484110" w:rsidRPr="005360EA" w:rsidRDefault="00484110" w:rsidP="00641EB5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 w:rsidRPr="005360EA">
              <w:rPr>
                <w:rFonts w:ascii="Arial Narrow" w:hAnsi="Arial Narrow"/>
                <w:b/>
                <w:smallCaps/>
                <w:sz w:val="12"/>
                <w:szCs w:val="12"/>
              </w:rPr>
              <w:t>retorno sobre o patrimônio líquido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484110" w:rsidRPr="00170A0E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484110" w:rsidRPr="00170A0E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484110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484110" w:rsidRDefault="00484110" w:rsidP="00641EB5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lucro líquido / patrimônio líquido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484110" w:rsidRPr="00170A0E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484110" w:rsidRPr="005F5541" w:rsidRDefault="00484110" w:rsidP="00641EB5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5F5541">
              <w:rPr>
                <w:b/>
                <w:smallCaps/>
                <w:color w:val="C00000"/>
                <w:sz w:val="12"/>
                <w:szCs w:val="12"/>
              </w:rPr>
              <w:t xml:space="preserve">verificar a constância do </w:t>
            </w:r>
            <w:proofErr w:type="spellStart"/>
            <w:r w:rsidRPr="005F5541">
              <w:rPr>
                <w:b/>
                <w:smallCaps/>
                <w:color w:val="C00000"/>
                <w:sz w:val="12"/>
                <w:szCs w:val="12"/>
              </w:rPr>
              <w:t>roe</w:t>
            </w:r>
            <w:proofErr w:type="spellEnd"/>
            <w:r w:rsidRPr="005F5541">
              <w:rPr>
                <w:b/>
                <w:smallCaps/>
                <w:color w:val="C00000"/>
                <w:sz w:val="12"/>
                <w:szCs w:val="12"/>
              </w:rPr>
              <w:t xml:space="preserve"> nos últimos 5 anos</w:t>
            </w:r>
          </w:p>
        </w:tc>
      </w:tr>
      <w:tr w:rsidR="00484110" w:rsidTr="00484110">
        <w:trPr>
          <w:trHeight w:val="368"/>
        </w:trPr>
        <w:tc>
          <w:tcPr>
            <w:tcW w:w="9351" w:type="dxa"/>
            <w:gridSpan w:val="3"/>
            <w:vAlign w:val="center"/>
          </w:tcPr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o mercado paga mais caro por ações com melhor rentabilidade sobre o patrimônio do acionista. </w:t>
            </w:r>
          </w:p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</w:p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proofErr w:type="spellStart"/>
            <w:r w:rsidRPr="005F5541">
              <w:rPr>
                <w:b/>
                <w:smallCaps/>
                <w:color w:val="C00000"/>
                <w:sz w:val="12"/>
                <w:szCs w:val="12"/>
              </w:rPr>
              <w:t>roe</w:t>
            </w:r>
            <w:proofErr w:type="spellEnd"/>
            <w:r w:rsidRPr="005F5541">
              <w:rPr>
                <w:b/>
                <w:smallCaps/>
                <w:color w:val="C00000"/>
                <w:sz w:val="12"/>
                <w:szCs w:val="12"/>
              </w:rPr>
              <w:t xml:space="preserve"> alto não mostra se a empresa tem dívidas altas (pode mascarar problemas de endividamento). </w:t>
            </w:r>
            <w:r>
              <w:rPr>
                <w:b/>
                <w:smallCaps/>
                <w:color w:val="FF0000"/>
                <w:sz w:val="12"/>
                <w:szCs w:val="12"/>
              </w:rPr>
              <w:br/>
            </w:r>
            <w:r>
              <w:rPr>
                <w:smallCaps/>
                <w:sz w:val="12"/>
                <w:szCs w:val="12"/>
              </w:rPr>
              <w:t xml:space="preserve">explicação: </w:t>
            </w:r>
            <w:r w:rsidRPr="009E6ADC">
              <w:rPr>
                <w:smallCaps/>
                <w:sz w:val="12"/>
                <w:szCs w:val="12"/>
              </w:rPr>
              <w:t xml:space="preserve">patrimônio líquido </w:t>
            </w:r>
            <w:r w:rsidRPr="009E6ADC">
              <w:rPr>
                <w:smallCaps/>
                <w:sz w:val="10"/>
                <w:szCs w:val="12"/>
              </w:rPr>
              <w:t>(</w:t>
            </w:r>
            <w:proofErr w:type="spellStart"/>
            <w:r>
              <w:rPr>
                <w:smallCaps/>
                <w:sz w:val="12"/>
                <w:szCs w:val="12"/>
              </w:rPr>
              <w:t>pl</w:t>
            </w:r>
            <w:proofErr w:type="spellEnd"/>
            <w:r w:rsidRPr="009E6ADC">
              <w:rPr>
                <w:smallCaps/>
                <w:sz w:val="10"/>
                <w:szCs w:val="12"/>
              </w:rPr>
              <w:t>)</w:t>
            </w:r>
            <w:r>
              <w:rPr>
                <w:smallCaps/>
                <w:sz w:val="12"/>
                <w:szCs w:val="12"/>
              </w:rPr>
              <w:t xml:space="preserve"> </w:t>
            </w:r>
            <w:r w:rsidRPr="009E6ADC">
              <w:rPr>
                <w:smallCaps/>
                <w:sz w:val="12"/>
                <w:szCs w:val="12"/>
              </w:rPr>
              <w:t xml:space="preserve">= ativo – passivo </w:t>
            </w:r>
            <w:r w:rsidRPr="009E6ADC">
              <w:rPr>
                <w:smallCaps/>
                <w:sz w:val="10"/>
                <w:szCs w:val="12"/>
              </w:rPr>
              <w:t>(</w:t>
            </w:r>
            <w:r w:rsidRPr="009E6ADC">
              <w:rPr>
                <w:smallCaps/>
                <w:sz w:val="12"/>
                <w:szCs w:val="12"/>
              </w:rPr>
              <w:t>dívidas</w:t>
            </w:r>
            <w:r w:rsidRPr="009E6ADC">
              <w:rPr>
                <w:smallCaps/>
                <w:sz w:val="10"/>
                <w:szCs w:val="12"/>
              </w:rPr>
              <w:t>)</w:t>
            </w:r>
            <w:r>
              <w:rPr>
                <w:smallCaps/>
                <w:sz w:val="12"/>
                <w:szCs w:val="12"/>
              </w:rPr>
              <w:t xml:space="preserve">, ou seja, com mais dívidas o </w:t>
            </w:r>
            <w:proofErr w:type="spellStart"/>
            <w:r>
              <w:rPr>
                <w:smallCaps/>
                <w:sz w:val="12"/>
                <w:szCs w:val="12"/>
              </w:rPr>
              <w:t>pl</w:t>
            </w:r>
            <w:proofErr w:type="spellEnd"/>
            <w:r>
              <w:rPr>
                <w:smallCaps/>
                <w:sz w:val="12"/>
                <w:szCs w:val="12"/>
              </w:rPr>
              <w:t xml:space="preserve"> é menor e o </w:t>
            </w:r>
            <w:proofErr w:type="spellStart"/>
            <w:r>
              <w:rPr>
                <w:smallCaps/>
                <w:sz w:val="12"/>
                <w:szCs w:val="12"/>
              </w:rPr>
              <w:t>roe</w:t>
            </w:r>
            <w:proofErr w:type="spellEnd"/>
            <w:r>
              <w:rPr>
                <w:smallCaps/>
                <w:sz w:val="12"/>
                <w:szCs w:val="12"/>
              </w:rPr>
              <w:t xml:space="preserve"> maior. combinar análise de endividamento com o </w:t>
            </w:r>
            <w:proofErr w:type="spellStart"/>
            <w:r>
              <w:rPr>
                <w:smallCaps/>
                <w:sz w:val="12"/>
                <w:szCs w:val="12"/>
              </w:rPr>
              <w:t>roe</w:t>
            </w:r>
            <w:proofErr w:type="spellEnd"/>
          </w:p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</w:p>
          <w:p w:rsidR="00484110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proofErr w:type="spellStart"/>
            <w:r>
              <w:rPr>
                <w:smallCaps/>
                <w:sz w:val="12"/>
                <w:szCs w:val="12"/>
              </w:rPr>
              <w:t>roe</w:t>
            </w:r>
            <w:proofErr w:type="spellEnd"/>
            <w:r>
              <w:rPr>
                <w:smallCaps/>
                <w:sz w:val="12"/>
                <w:szCs w:val="12"/>
              </w:rPr>
              <w:t xml:space="preserve"> alto também pode ser devido ao aumento de lucro por eventos não operacionais (</w:t>
            </w:r>
            <w:proofErr w:type="spellStart"/>
            <w:r>
              <w:rPr>
                <w:smallCaps/>
                <w:sz w:val="12"/>
                <w:szCs w:val="12"/>
              </w:rPr>
              <w:t>ex</w:t>
            </w:r>
            <w:proofErr w:type="spellEnd"/>
            <w:r>
              <w:rPr>
                <w:smallCaps/>
                <w:sz w:val="12"/>
                <w:szCs w:val="12"/>
              </w:rPr>
              <w:t xml:space="preserve">: venda de ativos). </w:t>
            </w:r>
            <w:r>
              <w:rPr>
                <w:smallCaps/>
                <w:sz w:val="12"/>
                <w:szCs w:val="12"/>
              </w:rPr>
              <w:br/>
              <w:t xml:space="preserve">solução: comparar o lucro líquido com o </w:t>
            </w:r>
            <w:proofErr w:type="spellStart"/>
            <w:r>
              <w:rPr>
                <w:smallCaps/>
                <w:sz w:val="12"/>
                <w:szCs w:val="12"/>
              </w:rPr>
              <w:t>ebit</w:t>
            </w:r>
            <w:proofErr w:type="spellEnd"/>
            <w:r>
              <w:rPr>
                <w:smallCaps/>
                <w:sz w:val="12"/>
                <w:szCs w:val="12"/>
              </w:rPr>
              <w:t xml:space="preserve"> no ano que houver distorções</w:t>
            </w:r>
          </w:p>
          <w:p w:rsidR="00484110" w:rsidRPr="009E6ADC" w:rsidRDefault="00484110" w:rsidP="00641EB5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 </w:t>
            </w:r>
          </w:p>
          <w:p w:rsidR="00484110" w:rsidRPr="009E6ADC" w:rsidRDefault="00484110" w:rsidP="00641EB5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9E6ADC">
              <w:rPr>
                <w:b/>
                <w:smallCaps/>
                <w:color w:val="1F497D" w:themeColor="text2"/>
                <w:sz w:val="12"/>
                <w:szCs w:val="12"/>
              </w:rPr>
              <w:t xml:space="preserve">oportunidade: empresas com p/VPA baixo e </w:t>
            </w:r>
            <w:proofErr w:type="spellStart"/>
            <w:r w:rsidRPr="009E6ADC">
              <w:rPr>
                <w:b/>
                <w:smallCaps/>
                <w:color w:val="1F497D" w:themeColor="text2"/>
                <w:sz w:val="12"/>
                <w:szCs w:val="12"/>
              </w:rPr>
              <w:t>roe</w:t>
            </w:r>
            <w:proofErr w:type="spellEnd"/>
            <w:r w:rsidRPr="009E6ADC">
              <w:rPr>
                <w:b/>
                <w:smallCaps/>
                <w:color w:val="1F497D" w:themeColor="text2"/>
                <w:sz w:val="12"/>
                <w:szCs w:val="12"/>
              </w:rPr>
              <w:t xml:space="preserve"> alto</w:t>
            </w:r>
          </w:p>
        </w:tc>
      </w:tr>
    </w:tbl>
    <w:p w:rsidR="00452674" w:rsidRDefault="00452674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5F5541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5F5541" w:rsidRPr="00C619BB" w:rsidRDefault="005F5541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LUCRO POR AÇÃO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5F5541" w:rsidRPr="00170A0E" w:rsidRDefault="005F5541" w:rsidP="00CF2F1F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representa a parcela do lucro líquido em cada ação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5F5541" w:rsidRPr="000325EB" w:rsidRDefault="000325EB" w:rsidP="000325EB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>comparar no setor</w:t>
            </w:r>
          </w:p>
        </w:tc>
      </w:tr>
      <w:tr w:rsidR="005F5541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5F5541" w:rsidRPr="005360EA" w:rsidRDefault="005F5541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5F5541" w:rsidRPr="00170A0E" w:rsidRDefault="005F5541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5F5541" w:rsidRPr="00170A0E" w:rsidRDefault="005F5541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5F5541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5F5541" w:rsidRDefault="003034CF" w:rsidP="003034CF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lucro líquido / número de ações emitidas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5F5541" w:rsidRPr="00170A0E" w:rsidRDefault="005F5541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5F5541" w:rsidRPr="000325EB" w:rsidRDefault="005F5541" w:rsidP="000325EB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se houve </w:t>
            </w:r>
            <w:r w:rsidR="000325EB">
              <w:rPr>
                <w:b/>
                <w:smallCaps/>
                <w:color w:val="C00000"/>
                <w:sz w:val="12"/>
                <w:szCs w:val="12"/>
              </w:rPr>
              <w:t xml:space="preserve">tendência de crescimento nos últimos </w:t>
            </w:r>
            <w:r w:rsidR="000325EB" w:rsidRPr="000325EB">
              <w:rPr>
                <w:b/>
                <w:smallCaps/>
                <w:color w:val="C00000"/>
                <w:sz w:val="12"/>
                <w:szCs w:val="12"/>
              </w:rPr>
              <w:t>anos</w:t>
            </w:r>
          </w:p>
        </w:tc>
      </w:tr>
      <w:tr w:rsidR="005F5541" w:rsidTr="00CF2F1F">
        <w:trPr>
          <w:trHeight w:val="368"/>
        </w:trPr>
        <w:tc>
          <w:tcPr>
            <w:tcW w:w="9351" w:type="dxa"/>
            <w:gridSpan w:val="3"/>
            <w:vAlign w:val="center"/>
          </w:tcPr>
          <w:p w:rsidR="005F5541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tabela do site </w:t>
            </w:r>
            <w:proofErr w:type="spellStart"/>
            <w:r>
              <w:rPr>
                <w:smallCaps/>
                <w:sz w:val="12"/>
                <w:szCs w:val="12"/>
              </w:rPr>
              <w:t>fundamentus</w:t>
            </w:r>
            <w:proofErr w:type="spellEnd"/>
            <w:r>
              <w:rPr>
                <w:smallCaps/>
                <w:sz w:val="12"/>
                <w:szCs w:val="12"/>
              </w:rPr>
              <w:t xml:space="preserve"> considera no cálculo os </w:t>
            </w:r>
            <w:r w:rsidRPr="00A63B9A">
              <w:rPr>
                <w:smallCaps/>
                <w:sz w:val="10"/>
                <w:szCs w:val="12"/>
              </w:rPr>
              <w:t>4</w:t>
            </w:r>
            <w:r>
              <w:rPr>
                <w:smallCaps/>
                <w:sz w:val="12"/>
                <w:szCs w:val="12"/>
              </w:rPr>
              <w:t xml:space="preserve"> últimos trimestres</w:t>
            </w:r>
            <w:r w:rsidR="005F5541">
              <w:rPr>
                <w:smallCaps/>
                <w:sz w:val="12"/>
                <w:szCs w:val="12"/>
              </w:rPr>
              <w:t xml:space="preserve">. </w:t>
            </w:r>
          </w:p>
          <w:p w:rsidR="00A63B9A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</w:p>
          <w:p w:rsidR="00A63B9A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verificar se o lucro foi gerado pelo negócio principal ou por outros tipos de receita (venda de ativos, receitas não operacionais, estornos de provisões, etc.)</w:t>
            </w:r>
          </w:p>
          <w:p w:rsidR="00A63B9A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</w:p>
          <w:p w:rsidR="00A63B9A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observar se no período analisado houve mudanças relevantes no setor de atuação da empresa</w:t>
            </w:r>
          </w:p>
          <w:p w:rsidR="00A63B9A" w:rsidRDefault="00A63B9A" w:rsidP="00A63B9A">
            <w:pPr>
              <w:jc w:val="center"/>
              <w:rPr>
                <w:smallCaps/>
                <w:sz w:val="12"/>
                <w:szCs w:val="12"/>
              </w:rPr>
            </w:pPr>
          </w:p>
          <w:p w:rsidR="00A63B9A" w:rsidRDefault="00A63B9A" w:rsidP="00350E2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analisar o futuro do setor e se existe perspectiva de aumento de investimentos</w:t>
            </w:r>
            <w:r w:rsidR="00350E2A">
              <w:rPr>
                <w:smallCaps/>
                <w:sz w:val="12"/>
                <w:szCs w:val="12"/>
              </w:rPr>
              <w:t>. avaliar a concorrência, ameaças e oportunidades macroeconômicas</w:t>
            </w:r>
          </w:p>
          <w:p w:rsidR="00916BA6" w:rsidRDefault="00916BA6" w:rsidP="00A63B9A">
            <w:pPr>
              <w:jc w:val="center"/>
              <w:rPr>
                <w:smallCaps/>
                <w:sz w:val="12"/>
                <w:szCs w:val="12"/>
              </w:rPr>
            </w:pPr>
          </w:p>
          <w:p w:rsidR="00A63B9A" w:rsidRDefault="00916BA6" w:rsidP="00350E2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observar se houve diminuição no número</w:t>
            </w:r>
            <w:r w:rsidR="00350E2A">
              <w:rPr>
                <w:smallCaps/>
                <w:sz w:val="12"/>
                <w:szCs w:val="12"/>
              </w:rPr>
              <w:t xml:space="preserve"> de ações (recompra de ações), </w:t>
            </w:r>
            <w:r>
              <w:rPr>
                <w:smallCaps/>
                <w:sz w:val="12"/>
                <w:szCs w:val="12"/>
              </w:rPr>
              <w:t>se existe ações em tesouraria</w:t>
            </w:r>
            <w:r w:rsidR="00350E2A">
              <w:rPr>
                <w:smallCaps/>
                <w:sz w:val="12"/>
                <w:szCs w:val="12"/>
              </w:rPr>
              <w:t xml:space="preserve"> ou se houve aumento de capital (emissão de novas ações)</w:t>
            </w:r>
          </w:p>
          <w:p w:rsidR="00A63B9A" w:rsidRPr="00A63B9A" w:rsidRDefault="00A63B9A" w:rsidP="00350E2A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</w:tbl>
    <w:p w:rsidR="005F5541" w:rsidRDefault="005F5541" w:rsidP="00585534">
      <w:pPr>
        <w:rPr>
          <w:rFonts w:ascii="Arial" w:hAnsi="Arial" w:cs="Arial"/>
          <w:smallCaps/>
        </w:rPr>
      </w:pPr>
    </w:p>
    <w:p w:rsidR="00BB1C4C" w:rsidRDefault="00BB1C4C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BB1C4C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BB1C4C" w:rsidRPr="00C619BB" w:rsidRDefault="00BB1C4C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ENDIVIDAMENTO FINANCEIRO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BB1C4C" w:rsidRPr="00170A0E" w:rsidRDefault="00BB1C4C" w:rsidP="00857C57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representa </w:t>
            </w:r>
            <w:r w:rsidR="00857C57">
              <w:rPr>
                <w:smallCaps/>
                <w:sz w:val="12"/>
                <w:szCs w:val="12"/>
              </w:rPr>
              <w:t>o percentual do capital de terceiros na dívida da empresa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BB1C4C" w:rsidRPr="000325EB" w:rsidRDefault="00857C57" w:rsidP="00CF2F1F">
            <w:pPr>
              <w:jc w:val="center"/>
              <w:rPr>
                <w:b/>
                <w:smallCaps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>dívida de longo prazo inferior a cinco vezes o lucro líquido</w:t>
            </w:r>
          </w:p>
        </w:tc>
      </w:tr>
      <w:tr w:rsidR="00BB1C4C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BB1C4C" w:rsidRPr="005360EA" w:rsidRDefault="00BB1C4C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BB1C4C" w:rsidRPr="00170A0E" w:rsidRDefault="00BB1C4C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BB1C4C" w:rsidRPr="00170A0E" w:rsidRDefault="00BB1C4C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BB1C4C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BB1C4C" w:rsidRDefault="00BB1C4C" w:rsidP="00BB1C4C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dívida total </w:t>
            </w:r>
            <w:r w:rsidRPr="00BB1C4C">
              <w:rPr>
                <w:rFonts w:ascii="Arial Narrow" w:hAnsi="Arial Narrow"/>
                <w:b/>
                <w:smallCaps/>
                <w:sz w:val="12"/>
                <w:szCs w:val="12"/>
              </w:rPr>
              <w:t>/</w:t>
            </w:r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 </w:t>
            </w:r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br/>
              <w:t xml:space="preserve">(dívida 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>total + patrimônio líquido)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BB1C4C" w:rsidRPr="00170A0E" w:rsidRDefault="00BB1C4C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BB1C4C" w:rsidRPr="000325EB" w:rsidRDefault="00BB1C4C" w:rsidP="00CF2F1F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se houve 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tendência de crescimento nos últimos </w:t>
            </w:r>
            <w:r w:rsidRPr="000325EB">
              <w:rPr>
                <w:b/>
                <w:smallCaps/>
                <w:color w:val="C00000"/>
                <w:sz w:val="12"/>
                <w:szCs w:val="12"/>
              </w:rPr>
              <w:t>anos</w:t>
            </w:r>
          </w:p>
        </w:tc>
      </w:tr>
    </w:tbl>
    <w:p w:rsidR="00BB1C4C" w:rsidRDefault="00BB1C4C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055707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055707" w:rsidRPr="00C619BB" w:rsidRDefault="00055707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ROIC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055707" w:rsidRPr="00170A0E" w:rsidRDefault="00055707" w:rsidP="00055707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mede a capacidade da empresa de obter lucro a partir de seus investimentos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D927D8" w:rsidRDefault="00D927D8" w:rsidP="00D927D8">
            <w:pPr>
              <w:jc w:val="center"/>
              <w:rPr>
                <w:b/>
                <w:smallCaps/>
                <w:color w:val="C00000"/>
                <w:sz w:val="12"/>
                <w:szCs w:val="12"/>
              </w:rPr>
            </w:pPr>
            <w:r w:rsidRPr="005F5541">
              <w:rPr>
                <w:b/>
                <w:smallCaps/>
                <w:color w:val="C00000"/>
                <w:sz w:val="12"/>
                <w:szCs w:val="12"/>
              </w:rPr>
              <w:t>acima de 1</w:t>
            </w:r>
            <w:r>
              <w:rPr>
                <w:b/>
                <w:smallCaps/>
                <w:color w:val="C00000"/>
                <w:sz w:val="12"/>
                <w:szCs w:val="12"/>
              </w:rPr>
              <w:t>0</w:t>
            </w:r>
            <w:r w:rsidRPr="005F5541">
              <w:rPr>
                <w:b/>
                <w:smallCaps/>
                <w:color w:val="C00000"/>
                <w:sz w:val="12"/>
                <w:szCs w:val="12"/>
              </w:rPr>
              <w:t>% (anual)</w:t>
            </w:r>
          </w:p>
          <w:p w:rsidR="00D927D8" w:rsidRPr="00D927D8" w:rsidRDefault="00D927D8" w:rsidP="00D927D8">
            <w:pPr>
              <w:jc w:val="center"/>
              <w:rPr>
                <w:b/>
                <w:smallCaps/>
                <w:color w:val="C00000"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>ideal: 15%</w:t>
            </w:r>
          </w:p>
        </w:tc>
      </w:tr>
      <w:tr w:rsidR="00055707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055707" w:rsidRPr="005360EA" w:rsidRDefault="00055707" w:rsidP="00055707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 w:rsidRPr="005360EA"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retorno sobre o 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capital investido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055707" w:rsidRPr="00170A0E" w:rsidRDefault="0005570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055707" w:rsidRPr="00170A0E" w:rsidRDefault="0005570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055707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055707" w:rsidRDefault="00055707" w:rsidP="00055707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mallCaps/>
                <w:sz w:val="12"/>
                <w:szCs w:val="12"/>
              </w:rPr>
              <w:t>ebit</w:t>
            </w:r>
            <w:proofErr w:type="spellEnd"/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 </w:t>
            </w:r>
            <w:r w:rsidRPr="00BB1C4C">
              <w:rPr>
                <w:rFonts w:ascii="Arial Narrow" w:hAnsi="Arial Narrow"/>
                <w:b/>
                <w:smallCaps/>
                <w:sz w:val="12"/>
                <w:szCs w:val="12"/>
              </w:rPr>
              <w:t>/</w:t>
            </w:r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 (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>ativo total – fornecedores – caixa)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055707" w:rsidRPr="00170A0E" w:rsidRDefault="0005570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055707" w:rsidRPr="000325EB" w:rsidRDefault="00055707" w:rsidP="00CF2F1F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se houve 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tendência de crescimento nos últimos </w:t>
            </w:r>
            <w:r w:rsidRPr="000325EB">
              <w:rPr>
                <w:b/>
                <w:smallCaps/>
                <w:color w:val="C00000"/>
                <w:sz w:val="12"/>
                <w:szCs w:val="12"/>
              </w:rPr>
              <w:t>anos</w:t>
            </w:r>
          </w:p>
        </w:tc>
      </w:tr>
      <w:tr w:rsidR="00055707" w:rsidTr="00CF2F1F">
        <w:trPr>
          <w:trHeight w:val="368"/>
        </w:trPr>
        <w:tc>
          <w:tcPr>
            <w:tcW w:w="9351" w:type="dxa"/>
            <w:gridSpan w:val="3"/>
            <w:vAlign w:val="center"/>
          </w:tcPr>
          <w:p w:rsidR="00937947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  <w:p w:rsidR="00055707" w:rsidRDefault="00D927D8" w:rsidP="00CF2F1F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pode ser comparado com empresas de setores diferentes (</w:t>
            </w:r>
            <w:proofErr w:type="spellStart"/>
            <w:r>
              <w:rPr>
                <w:smallCaps/>
                <w:sz w:val="12"/>
                <w:szCs w:val="12"/>
              </w:rPr>
              <w:t>roic</w:t>
            </w:r>
            <w:proofErr w:type="spellEnd"/>
            <w:r>
              <w:rPr>
                <w:smallCaps/>
                <w:sz w:val="12"/>
                <w:szCs w:val="12"/>
              </w:rPr>
              <w:t xml:space="preserve"> independe da estrutura de capital da empresa)</w:t>
            </w:r>
          </w:p>
          <w:p w:rsidR="00D927D8" w:rsidRDefault="00D927D8" w:rsidP="00CF2F1F">
            <w:pPr>
              <w:jc w:val="center"/>
              <w:rPr>
                <w:smallCaps/>
                <w:sz w:val="12"/>
                <w:szCs w:val="12"/>
              </w:rPr>
            </w:pPr>
          </w:p>
          <w:p w:rsidR="00D927D8" w:rsidRDefault="00D927D8" w:rsidP="00CF2F1F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empresas com forte vantagem competitiva, geralmente, não precisam se alavancar para gerar resultados – consequência: altos valores de </w:t>
            </w:r>
            <w:proofErr w:type="spellStart"/>
            <w:r>
              <w:rPr>
                <w:smallCaps/>
                <w:sz w:val="12"/>
                <w:szCs w:val="12"/>
              </w:rPr>
              <w:t>roic</w:t>
            </w:r>
            <w:proofErr w:type="spellEnd"/>
          </w:p>
          <w:p w:rsidR="00937947" w:rsidRPr="00A63B9A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</w:tbl>
    <w:p w:rsidR="00055707" w:rsidRDefault="00055707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937947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937947" w:rsidRPr="00C619BB" w:rsidRDefault="00937947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ÍNDICE DE LIQUIDEZ CORRENTE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937947" w:rsidRPr="00170A0E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indica a capacidade da empresa de pagar suas dívidas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937947" w:rsidRPr="00D927D8" w:rsidRDefault="00937947" w:rsidP="00CF2F1F">
            <w:pPr>
              <w:jc w:val="center"/>
              <w:rPr>
                <w:b/>
                <w:smallCaps/>
                <w:color w:val="C00000"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>índice &gt; 1 e quanto maior, melhor</w:t>
            </w:r>
          </w:p>
        </w:tc>
      </w:tr>
      <w:tr w:rsidR="00937947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937947" w:rsidRPr="005360EA" w:rsidRDefault="00937947" w:rsidP="00CF2F1F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937947" w:rsidRPr="00170A0E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937947" w:rsidRPr="00170A0E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937947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937947" w:rsidRDefault="00937947" w:rsidP="00937947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ativo </w:t>
            </w:r>
            <w:proofErr w:type="spellStart"/>
            <w:r>
              <w:rPr>
                <w:rFonts w:ascii="Arial Narrow" w:hAnsi="Arial Narrow"/>
                <w:smallCaps/>
                <w:sz w:val="12"/>
                <w:szCs w:val="12"/>
              </w:rPr>
              <w:t>circultante</w:t>
            </w:r>
            <w:proofErr w:type="spellEnd"/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 </w:t>
            </w:r>
            <w:r w:rsidRPr="00BB1C4C">
              <w:rPr>
                <w:rFonts w:ascii="Arial Narrow" w:hAnsi="Arial Narrow"/>
                <w:b/>
                <w:smallCaps/>
                <w:sz w:val="12"/>
                <w:szCs w:val="12"/>
              </w:rPr>
              <w:t>/</w:t>
            </w:r>
            <w:r w:rsidRPr="00BB1C4C">
              <w:rPr>
                <w:rFonts w:ascii="Arial Narrow" w:hAnsi="Arial Narrow"/>
                <w:smallCaps/>
                <w:sz w:val="12"/>
                <w:szCs w:val="12"/>
              </w:rPr>
              <w:t xml:space="preserve"> 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>passivo circulante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937947" w:rsidRPr="00170A0E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937947" w:rsidRPr="000325EB" w:rsidRDefault="00937947" w:rsidP="00CF2F1F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se houve 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tendência de crescimento nos últimos </w:t>
            </w:r>
            <w:r w:rsidRPr="000325EB">
              <w:rPr>
                <w:b/>
                <w:smallCaps/>
                <w:color w:val="C00000"/>
                <w:sz w:val="12"/>
                <w:szCs w:val="12"/>
              </w:rPr>
              <w:t>anos</w:t>
            </w:r>
          </w:p>
        </w:tc>
      </w:tr>
      <w:tr w:rsidR="00937947" w:rsidTr="00CF2F1F">
        <w:trPr>
          <w:trHeight w:val="368"/>
        </w:trPr>
        <w:tc>
          <w:tcPr>
            <w:tcW w:w="9351" w:type="dxa"/>
            <w:gridSpan w:val="3"/>
            <w:vAlign w:val="center"/>
          </w:tcPr>
          <w:p w:rsidR="00937947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  <w:p w:rsidR="00937947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quanto maior o índice, maior a capacidade da empresa de quitar suas dívidas no longo prazo</w:t>
            </w:r>
          </w:p>
          <w:p w:rsidR="00937947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  <w:p w:rsidR="00937947" w:rsidRPr="00A63B9A" w:rsidRDefault="00937947" w:rsidP="00CF2F1F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</w:tbl>
    <w:p w:rsidR="00BB1C4C" w:rsidRDefault="00BB1C4C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E418C0" w:rsidRPr="00D927D8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E418C0" w:rsidRPr="00C619BB" w:rsidRDefault="00E418C0" w:rsidP="00E418C0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bookmarkStart w:id="0" w:name="_GoBack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lastRenderedPageBreak/>
              <w:t xml:space="preserve">MARGEM 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LÍQUIDA</w:t>
            </w:r>
            <w:bookmarkEnd w:id="0"/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indica o percentual das receitas que são efetivamente convertidos em lucro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E418C0" w:rsidRPr="00D927D8" w:rsidRDefault="00E418C0" w:rsidP="00EB58F9">
            <w:pPr>
              <w:jc w:val="center"/>
              <w:rPr>
                <w:b/>
                <w:smallCaps/>
                <w:color w:val="C00000"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>acima de 10%</w:t>
            </w:r>
          </w:p>
        </w:tc>
      </w:tr>
      <w:tr w:rsidR="00E418C0" w:rsidRPr="00170A0E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E418C0" w:rsidRPr="005360EA" w:rsidRDefault="00E418C0" w:rsidP="00EB58F9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E418C0" w:rsidRPr="000325EB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E418C0" w:rsidRDefault="00E418C0" w:rsidP="00EB58F9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lucro líquido / receita líquida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E418C0" w:rsidRPr="000325EB" w:rsidRDefault="009D58DA" w:rsidP="00276E91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</w:t>
            </w:r>
            <w:r w:rsidR="00276E91">
              <w:rPr>
                <w:b/>
                <w:smallCaps/>
                <w:color w:val="C00000"/>
                <w:sz w:val="12"/>
                <w:szCs w:val="12"/>
              </w:rPr>
              <w:t>se permanece estável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 ao longo dos anos</w:t>
            </w:r>
          </w:p>
        </w:tc>
      </w:tr>
      <w:tr w:rsidR="00E418C0" w:rsidRPr="00A63B9A" w:rsidTr="00EB58F9">
        <w:trPr>
          <w:trHeight w:val="368"/>
        </w:trPr>
        <w:tc>
          <w:tcPr>
            <w:tcW w:w="9351" w:type="dxa"/>
            <w:gridSpan w:val="3"/>
            <w:vAlign w:val="center"/>
          </w:tcPr>
          <w:p w:rsidR="00E418C0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E418C0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comparar com empresas do mesmo setor</w:t>
            </w: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E418C0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empresas com maiores margens líquidas podem ser mais flexíveis com seus preços em tempos de contração econômica ou aumento de insumos</w:t>
            </w: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se a margem líquida cai durante os anos (com volume de vendas estagnado</w:t>
            </w:r>
            <w:proofErr w:type="gramStart"/>
            <w:r>
              <w:rPr>
                <w:smallCaps/>
                <w:sz w:val="12"/>
                <w:szCs w:val="12"/>
              </w:rPr>
              <w:t>) é</w:t>
            </w:r>
            <w:proofErr w:type="gramEnd"/>
            <w:r>
              <w:rPr>
                <w:smallCaps/>
                <w:sz w:val="12"/>
                <w:szCs w:val="12"/>
              </w:rPr>
              <w:t xml:space="preserve"> sinal de alerta</w:t>
            </w: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com volume de vendas em crescimento é esperado que a margem líquida aumente um pouco ou permaneça constante</w:t>
            </w: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9D58DA" w:rsidRDefault="009D58D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é praticamente impossível uma empresa aumentar indefinidamente sua margem de lucro ao longo dos anos</w:t>
            </w:r>
          </w:p>
          <w:p w:rsidR="00276E91" w:rsidRDefault="00276E91" w:rsidP="00EB58F9">
            <w:pPr>
              <w:jc w:val="center"/>
              <w:rPr>
                <w:smallCaps/>
                <w:sz w:val="12"/>
                <w:szCs w:val="12"/>
              </w:rPr>
            </w:pPr>
          </w:p>
          <w:p w:rsidR="00276E91" w:rsidRDefault="00276E91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empresas prestadoras de serviço tendem a ter margens maiores quando comparadas com empresas comerciais</w:t>
            </w:r>
          </w:p>
          <w:p w:rsidR="00E418C0" w:rsidRPr="00A63B9A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</w:tbl>
    <w:p w:rsidR="00E418C0" w:rsidRDefault="00E418C0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E418C0" w:rsidRPr="00D927D8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E418C0" w:rsidRPr="00C619BB" w:rsidRDefault="00E418C0" w:rsidP="00E418C0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MARGEM 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BRUTA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E418C0" w:rsidRPr="00170A0E" w:rsidRDefault="00E418C0" w:rsidP="00E418C0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 xml:space="preserve">indica o percentual </w:t>
            </w:r>
            <w:r>
              <w:rPr>
                <w:smallCaps/>
                <w:sz w:val="12"/>
                <w:szCs w:val="12"/>
              </w:rPr>
              <w:t>de cada real recebido pela empresa que é convertido em lucro, depois de abater os custos de produção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E418C0" w:rsidRPr="00D927D8" w:rsidRDefault="00E418C0" w:rsidP="00E418C0">
            <w:pPr>
              <w:jc w:val="center"/>
              <w:rPr>
                <w:b/>
                <w:smallCaps/>
                <w:color w:val="C00000"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 xml:space="preserve">acima de </w:t>
            </w:r>
            <w:r>
              <w:rPr>
                <w:b/>
                <w:smallCaps/>
                <w:color w:val="C00000"/>
                <w:sz w:val="12"/>
                <w:szCs w:val="12"/>
              </w:rPr>
              <w:t>50</w:t>
            </w:r>
            <w:r>
              <w:rPr>
                <w:b/>
                <w:smallCaps/>
                <w:color w:val="C00000"/>
                <w:sz w:val="12"/>
                <w:szCs w:val="12"/>
              </w:rPr>
              <w:t>%</w:t>
            </w:r>
          </w:p>
        </w:tc>
      </w:tr>
      <w:tr w:rsidR="00E418C0" w:rsidRPr="00170A0E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E418C0" w:rsidRPr="005360EA" w:rsidRDefault="00E418C0" w:rsidP="00EB58F9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E418C0" w:rsidRPr="000325EB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E418C0" w:rsidRDefault="00E418C0" w:rsidP="00E418C0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lucro 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>bruto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 / receita líquida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E418C0" w:rsidRPr="00170A0E" w:rsidRDefault="00E418C0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E418C0" w:rsidRPr="000325EB" w:rsidRDefault="00E418C0" w:rsidP="00EB58F9">
            <w:pPr>
              <w:jc w:val="center"/>
              <w:rPr>
                <w:b/>
                <w:smallCaps/>
                <w:sz w:val="12"/>
                <w:szCs w:val="12"/>
              </w:rPr>
            </w:pPr>
          </w:p>
        </w:tc>
      </w:tr>
      <w:tr w:rsidR="00E418C0" w:rsidRPr="00A63B9A" w:rsidTr="00EB58F9">
        <w:trPr>
          <w:trHeight w:val="368"/>
        </w:trPr>
        <w:tc>
          <w:tcPr>
            <w:tcW w:w="9351" w:type="dxa"/>
            <w:gridSpan w:val="3"/>
            <w:vAlign w:val="center"/>
          </w:tcPr>
          <w:p w:rsidR="00E418C0" w:rsidRDefault="00E418C0" w:rsidP="00276E91">
            <w:pPr>
              <w:rPr>
                <w:smallCaps/>
                <w:sz w:val="12"/>
                <w:szCs w:val="12"/>
              </w:rPr>
            </w:pPr>
          </w:p>
          <w:p w:rsidR="00E418C0" w:rsidRDefault="00276E91" w:rsidP="00276E91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mede a eficiência da produção. valores altos dentro do setor indicam empresas mais produtivas, não necessariamente a mais lucrativa</w:t>
            </w:r>
          </w:p>
          <w:p w:rsidR="00276E91" w:rsidRDefault="00276E91" w:rsidP="00276E91">
            <w:pPr>
              <w:jc w:val="center"/>
              <w:rPr>
                <w:smallCaps/>
                <w:sz w:val="12"/>
                <w:szCs w:val="12"/>
              </w:rPr>
            </w:pPr>
          </w:p>
          <w:p w:rsidR="00276E91" w:rsidRDefault="00276E91" w:rsidP="00276E91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empresas prestadoras de serviço tendem a ter margens maiores quando comparadas com empresas comerciais</w:t>
            </w:r>
          </w:p>
          <w:p w:rsidR="00276E91" w:rsidRPr="00A63B9A" w:rsidRDefault="00276E91" w:rsidP="00276E91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</w:tbl>
    <w:p w:rsidR="00E418C0" w:rsidRDefault="00E418C0" w:rsidP="00585534">
      <w:pPr>
        <w:rPr>
          <w:rFonts w:ascii="Arial" w:hAnsi="Arial" w:cs="Arial"/>
          <w:smallCaps/>
        </w:rPr>
      </w:pPr>
    </w:p>
    <w:p w:rsidR="00E15BBD" w:rsidRDefault="00E15BBD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1F7E30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1F7E30" w:rsidRPr="00C619BB" w:rsidRDefault="0008554C" w:rsidP="00641EB5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lastRenderedPageBreak/>
              <w:t>ÍNDICE DE CAIXA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1F7E30" w:rsidRPr="00170A0E" w:rsidRDefault="0008554C" w:rsidP="00A00533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índice mencionado no “manual do investidor inteligente” para auxiliar na seleção de empresas fortes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1F7E30" w:rsidRPr="00170A0E" w:rsidRDefault="0008554C" w:rsidP="00641EB5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 xml:space="preserve">acima de </w:t>
            </w:r>
            <w:r>
              <w:rPr>
                <w:b/>
                <w:smallCaps/>
                <w:color w:val="C00000"/>
                <w:sz w:val="12"/>
                <w:szCs w:val="12"/>
              </w:rPr>
              <w:t>1,5</w:t>
            </w:r>
          </w:p>
        </w:tc>
      </w:tr>
      <w:tr w:rsidR="001F7E30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1F7E30" w:rsidRPr="005360EA" w:rsidRDefault="00FE12BF" w:rsidP="00641EB5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1F7E30" w:rsidRPr="00170A0E" w:rsidRDefault="001F7E3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1F7E30" w:rsidRPr="00170A0E" w:rsidRDefault="001F7E3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1F7E30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1F7E30" w:rsidRDefault="0008554C" w:rsidP="00641EB5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proofErr w:type="gramStart"/>
            <w:r w:rsidRPr="0008554C">
              <w:rPr>
                <w:rFonts w:ascii="Arial Narrow" w:hAnsi="Arial Narrow"/>
                <w:smallCaps/>
                <w:sz w:val="12"/>
                <w:szCs w:val="12"/>
              </w:rPr>
              <w:t xml:space="preserve">caixa  </w:t>
            </w:r>
            <w:r w:rsidRPr="0008554C">
              <w:rPr>
                <w:rFonts w:ascii="Arial Narrow" w:hAnsi="Arial Narrow"/>
                <w:b/>
                <w:smallCaps/>
                <w:sz w:val="12"/>
                <w:szCs w:val="12"/>
              </w:rPr>
              <w:t>/</w:t>
            </w:r>
            <w:proofErr w:type="gramEnd"/>
            <w:r w:rsidRPr="0008554C">
              <w:rPr>
                <w:rFonts w:ascii="Arial Narrow" w:hAnsi="Arial Narrow"/>
                <w:smallCaps/>
                <w:sz w:val="12"/>
                <w:szCs w:val="12"/>
              </w:rPr>
              <w:t xml:space="preserve">  dívida total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1F7E30" w:rsidRPr="00170A0E" w:rsidRDefault="001F7E30" w:rsidP="00641EB5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1F7E30" w:rsidRPr="00170A0E" w:rsidRDefault="0008554C" w:rsidP="003F5303">
            <w:pPr>
              <w:jc w:val="center"/>
              <w:rPr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</w:t>
            </w:r>
            <w:r>
              <w:rPr>
                <w:b/>
                <w:smallCaps/>
                <w:color w:val="C00000"/>
                <w:sz w:val="12"/>
                <w:szCs w:val="12"/>
              </w:rPr>
              <w:t>se permanece estável ao longo dos anos</w:t>
            </w:r>
          </w:p>
        </w:tc>
      </w:tr>
      <w:tr w:rsidR="001F7E30" w:rsidTr="00641EB5">
        <w:trPr>
          <w:trHeight w:val="368"/>
        </w:trPr>
        <w:tc>
          <w:tcPr>
            <w:tcW w:w="9351" w:type="dxa"/>
            <w:gridSpan w:val="3"/>
            <w:vAlign w:val="center"/>
          </w:tcPr>
          <w:p w:rsidR="001F7E30" w:rsidRPr="009E6ADC" w:rsidRDefault="002553CA" w:rsidP="002553CA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2553CA">
              <w:rPr>
                <w:smallCaps/>
                <w:sz w:val="12"/>
                <w:szCs w:val="12"/>
              </w:rPr>
              <w:t xml:space="preserve">indica a capacidade da empresa de pagar suas dívidas e ainda ter </w:t>
            </w:r>
            <w:r>
              <w:rPr>
                <w:smallCaps/>
                <w:sz w:val="12"/>
                <w:szCs w:val="12"/>
              </w:rPr>
              <w:t>reserva</w:t>
            </w:r>
            <w:r w:rsidRPr="002553CA">
              <w:rPr>
                <w:smallCaps/>
                <w:sz w:val="12"/>
                <w:szCs w:val="12"/>
              </w:rPr>
              <w:t xml:space="preserve"> pa</w:t>
            </w:r>
            <w:r>
              <w:rPr>
                <w:smallCaps/>
                <w:sz w:val="12"/>
                <w:szCs w:val="12"/>
              </w:rPr>
              <w:t>ra realizar mais investimentos</w:t>
            </w:r>
          </w:p>
        </w:tc>
      </w:tr>
    </w:tbl>
    <w:p w:rsidR="001F7E30" w:rsidRDefault="001F7E30" w:rsidP="00585534">
      <w:pPr>
        <w:rPr>
          <w:rFonts w:ascii="Arial" w:hAnsi="Arial" w:cs="Arial"/>
          <w:smallCaps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2553CA" w:rsidTr="00E15BBD">
        <w:trPr>
          <w:trHeight w:val="149"/>
        </w:trPr>
        <w:tc>
          <w:tcPr>
            <w:tcW w:w="2405" w:type="dxa"/>
            <w:shd w:val="clear" w:color="auto" w:fill="C00000"/>
            <w:vAlign w:val="center"/>
          </w:tcPr>
          <w:p w:rsidR="002553CA" w:rsidRPr="00C619BB" w:rsidRDefault="002553CA" w:rsidP="00EB58F9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FOOLISH FLOW</w:t>
            </w:r>
          </w:p>
        </w:tc>
        <w:tc>
          <w:tcPr>
            <w:tcW w:w="3544" w:type="dxa"/>
            <w:vMerge w:val="restart"/>
            <w:shd w:val="clear" w:color="auto" w:fill="F2DBDB" w:themeFill="accent2" w:themeFillTint="33"/>
            <w:vAlign w:val="center"/>
          </w:tcPr>
          <w:p w:rsidR="002553CA" w:rsidRPr="00170A0E" w:rsidRDefault="002553CA" w:rsidP="00EB58F9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smallCaps/>
                <w:sz w:val="12"/>
                <w:szCs w:val="12"/>
              </w:rPr>
              <w:t>índice mencionado no “manual do investidor inteligente” para auxiliar na seleção de empresas fortes</w:t>
            </w:r>
          </w:p>
        </w:tc>
        <w:tc>
          <w:tcPr>
            <w:tcW w:w="3402" w:type="dxa"/>
            <w:vMerge w:val="restart"/>
            <w:shd w:val="clear" w:color="auto" w:fill="F2DBDB" w:themeFill="accent2" w:themeFillTint="33"/>
            <w:vAlign w:val="center"/>
          </w:tcPr>
          <w:p w:rsidR="002553CA" w:rsidRPr="00170A0E" w:rsidRDefault="002553CA" w:rsidP="002553CA">
            <w:pPr>
              <w:jc w:val="center"/>
              <w:rPr>
                <w:smallCaps/>
                <w:sz w:val="12"/>
                <w:szCs w:val="12"/>
              </w:rPr>
            </w:pPr>
            <w:r>
              <w:rPr>
                <w:b/>
                <w:smallCaps/>
                <w:color w:val="C00000"/>
                <w:sz w:val="12"/>
                <w:szCs w:val="12"/>
              </w:rPr>
              <w:t>inferior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 </w:t>
            </w:r>
            <w:r>
              <w:rPr>
                <w:b/>
                <w:smallCaps/>
                <w:color w:val="C00000"/>
                <w:sz w:val="12"/>
                <w:szCs w:val="12"/>
              </w:rPr>
              <w:t>a</w:t>
            </w:r>
            <w:r>
              <w:rPr>
                <w:b/>
                <w:smallCaps/>
                <w:color w:val="C00000"/>
                <w:sz w:val="12"/>
                <w:szCs w:val="12"/>
              </w:rPr>
              <w:t xml:space="preserve"> 1,</w:t>
            </w:r>
            <w:r>
              <w:rPr>
                <w:b/>
                <w:smallCaps/>
                <w:color w:val="C00000"/>
                <w:sz w:val="12"/>
                <w:szCs w:val="12"/>
              </w:rPr>
              <w:t>25</w:t>
            </w:r>
          </w:p>
        </w:tc>
      </w:tr>
      <w:tr w:rsidR="002553CA" w:rsidTr="00E15BBD">
        <w:trPr>
          <w:trHeight w:val="247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2553CA" w:rsidRPr="005360EA" w:rsidRDefault="002553CA" w:rsidP="00EB58F9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2553CA" w:rsidRPr="00170A0E" w:rsidRDefault="002553CA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vMerge/>
            <w:shd w:val="clear" w:color="auto" w:fill="F2DBDB" w:themeFill="accent2" w:themeFillTint="33"/>
            <w:vAlign w:val="center"/>
          </w:tcPr>
          <w:p w:rsidR="002553CA" w:rsidRPr="00170A0E" w:rsidRDefault="002553CA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</w:tr>
      <w:tr w:rsidR="002553CA" w:rsidTr="00E15BBD">
        <w:trPr>
          <w:trHeight w:val="248"/>
        </w:trPr>
        <w:tc>
          <w:tcPr>
            <w:tcW w:w="2405" w:type="dxa"/>
            <w:shd w:val="clear" w:color="auto" w:fill="F2DBDB" w:themeFill="accent2" w:themeFillTint="33"/>
            <w:vAlign w:val="center"/>
          </w:tcPr>
          <w:p w:rsidR="002553CA" w:rsidRDefault="002553CA" w:rsidP="00EB58F9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 w:rsidRPr="002553CA">
              <w:rPr>
                <w:rFonts w:ascii="Arial Narrow" w:hAnsi="Arial Narrow"/>
                <w:smallCaps/>
                <w:sz w:val="12"/>
                <w:szCs w:val="12"/>
              </w:rPr>
              <w:t xml:space="preserve">(ativo circulante – caixa) </w:t>
            </w:r>
            <w:r w:rsidRPr="002553CA">
              <w:rPr>
                <w:rFonts w:ascii="Arial Narrow" w:hAnsi="Arial Narrow"/>
                <w:b/>
                <w:smallCaps/>
                <w:sz w:val="12"/>
                <w:szCs w:val="12"/>
              </w:rPr>
              <w:t>/</w:t>
            </w:r>
            <w:r w:rsidRPr="002553CA">
              <w:rPr>
                <w:rFonts w:ascii="Arial Narrow" w:hAnsi="Arial Narrow"/>
                <w:smallCaps/>
                <w:sz w:val="12"/>
                <w:szCs w:val="12"/>
              </w:rPr>
              <w:t xml:space="preserve">  </w:t>
            </w:r>
            <w:r w:rsidRPr="002553CA">
              <w:rPr>
                <w:rFonts w:ascii="Arial Narrow" w:hAnsi="Arial Narrow"/>
                <w:smallCaps/>
                <w:sz w:val="12"/>
                <w:szCs w:val="12"/>
              </w:rPr>
              <w:br/>
              <w:t>(passivo circulante – dívida de curto prazo)</w:t>
            </w:r>
          </w:p>
        </w:tc>
        <w:tc>
          <w:tcPr>
            <w:tcW w:w="3544" w:type="dxa"/>
            <w:vMerge/>
            <w:shd w:val="clear" w:color="auto" w:fill="F2DBDB" w:themeFill="accent2" w:themeFillTint="33"/>
            <w:vAlign w:val="center"/>
          </w:tcPr>
          <w:p w:rsidR="002553CA" w:rsidRPr="00170A0E" w:rsidRDefault="002553CA" w:rsidP="00EB58F9">
            <w:pPr>
              <w:jc w:val="center"/>
              <w:rPr>
                <w:smallCaps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F2DBDB" w:themeFill="accent2" w:themeFillTint="33"/>
            <w:vAlign w:val="center"/>
          </w:tcPr>
          <w:p w:rsidR="002553CA" w:rsidRPr="00170A0E" w:rsidRDefault="002553CA" w:rsidP="00EB58F9">
            <w:pPr>
              <w:jc w:val="center"/>
              <w:rPr>
                <w:smallCaps/>
                <w:sz w:val="12"/>
                <w:szCs w:val="12"/>
              </w:rPr>
            </w:pPr>
            <w:r w:rsidRPr="000325EB">
              <w:rPr>
                <w:b/>
                <w:smallCaps/>
                <w:color w:val="C00000"/>
                <w:sz w:val="12"/>
                <w:szCs w:val="12"/>
              </w:rPr>
              <w:t xml:space="preserve">verificar </w:t>
            </w:r>
            <w:r>
              <w:rPr>
                <w:b/>
                <w:smallCaps/>
                <w:color w:val="C00000"/>
                <w:sz w:val="12"/>
                <w:szCs w:val="12"/>
              </w:rPr>
              <w:t>se permanece estável ao longo dos anos</w:t>
            </w:r>
          </w:p>
        </w:tc>
      </w:tr>
      <w:tr w:rsidR="002553CA" w:rsidTr="00EB58F9">
        <w:trPr>
          <w:trHeight w:val="368"/>
        </w:trPr>
        <w:tc>
          <w:tcPr>
            <w:tcW w:w="9351" w:type="dxa"/>
            <w:gridSpan w:val="3"/>
            <w:vAlign w:val="center"/>
          </w:tcPr>
          <w:p w:rsidR="002553CA" w:rsidRPr="009E6ADC" w:rsidRDefault="002553CA" w:rsidP="002553CA">
            <w:pPr>
              <w:jc w:val="center"/>
              <w:rPr>
                <w:b/>
                <w:smallCaps/>
                <w:sz w:val="12"/>
                <w:szCs w:val="12"/>
              </w:rPr>
            </w:pPr>
            <w:r w:rsidRPr="002553CA">
              <w:rPr>
                <w:smallCaps/>
                <w:sz w:val="12"/>
                <w:szCs w:val="12"/>
              </w:rPr>
              <w:t>indica o quanto a empresa é capaz de alongar o prazo de pagamento de sua dívida e de receber dinheiro mais rápido</w:t>
            </w:r>
          </w:p>
        </w:tc>
      </w:tr>
    </w:tbl>
    <w:p w:rsidR="002553CA" w:rsidRDefault="002553CA" w:rsidP="00585534">
      <w:pPr>
        <w:rPr>
          <w:rFonts w:ascii="Arial" w:hAnsi="Arial" w:cs="Arial"/>
          <w:smallCaps/>
        </w:rPr>
      </w:pPr>
    </w:p>
    <w:p w:rsidR="008A05D8" w:rsidRDefault="008A05D8" w:rsidP="00585534">
      <w:pPr>
        <w:rPr>
          <w:rFonts w:ascii="Arial" w:hAnsi="Arial" w:cs="Arial"/>
          <w:smallCaps/>
        </w:rPr>
      </w:pPr>
    </w:p>
    <w:p w:rsidR="008A05D8" w:rsidRPr="00B01AB0" w:rsidRDefault="008A05D8" w:rsidP="00585534">
      <w:pPr>
        <w:rPr>
          <w:rFonts w:ascii="Arial" w:hAnsi="Arial" w:cs="Arial"/>
          <w:smallCaps/>
        </w:rPr>
      </w:pPr>
    </w:p>
    <w:sectPr w:rsidR="008A05D8" w:rsidRPr="00B01AB0" w:rsidSect="006439E5">
      <w:pgSz w:w="10206" w:h="6237" w:orient="landscape"/>
      <w:pgMar w:top="284" w:right="284" w:bottom="56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F58"/>
    <w:multiLevelType w:val="multilevel"/>
    <w:tmpl w:val="A6966920"/>
    <w:styleLink w:val="Nvel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3D16345"/>
    <w:multiLevelType w:val="multilevel"/>
    <w:tmpl w:val="A696692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2E"/>
    <w:rsid w:val="00004BB1"/>
    <w:rsid w:val="00005896"/>
    <w:rsid w:val="000251ED"/>
    <w:rsid w:val="000325EB"/>
    <w:rsid w:val="00034AA1"/>
    <w:rsid w:val="00055707"/>
    <w:rsid w:val="0008554C"/>
    <w:rsid w:val="000D0C83"/>
    <w:rsid w:val="000E0BA4"/>
    <w:rsid w:val="001140BE"/>
    <w:rsid w:val="001503A9"/>
    <w:rsid w:val="001C3F1F"/>
    <w:rsid w:val="001D6170"/>
    <w:rsid w:val="001F7E30"/>
    <w:rsid w:val="002008BF"/>
    <w:rsid w:val="0021652E"/>
    <w:rsid w:val="002553CA"/>
    <w:rsid w:val="00276E91"/>
    <w:rsid w:val="002B771C"/>
    <w:rsid w:val="002C6ED7"/>
    <w:rsid w:val="003034CF"/>
    <w:rsid w:val="00350E2A"/>
    <w:rsid w:val="00356017"/>
    <w:rsid w:val="003655C0"/>
    <w:rsid w:val="003D7F90"/>
    <w:rsid w:val="003F5303"/>
    <w:rsid w:val="004112E5"/>
    <w:rsid w:val="0043462B"/>
    <w:rsid w:val="00452674"/>
    <w:rsid w:val="00484110"/>
    <w:rsid w:val="004D11F8"/>
    <w:rsid w:val="004D74DE"/>
    <w:rsid w:val="004E6B06"/>
    <w:rsid w:val="004E7A4B"/>
    <w:rsid w:val="00584C36"/>
    <w:rsid w:val="00585534"/>
    <w:rsid w:val="005931F0"/>
    <w:rsid w:val="005F5541"/>
    <w:rsid w:val="00621C37"/>
    <w:rsid w:val="006439E5"/>
    <w:rsid w:val="006A4EE2"/>
    <w:rsid w:val="006C2837"/>
    <w:rsid w:val="00752680"/>
    <w:rsid w:val="00781F6C"/>
    <w:rsid w:val="00785ED6"/>
    <w:rsid w:val="007A1B07"/>
    <w:rsid w:val="007E67C9"/>
    <w:rsid w:val="00810DA2"/>
    <w:rsid w:val="00857C57"/>
    <w:rsid w:val="008A05D8"/>
    <w:rsid w:val="008A2ADB"/>
    <w:rsid w:val="00916BA6"/>
    <w:rsid w:val="00937947"/>
    <w:rsid w:val="00937E34"/>
    <w:rsid w:val="00981686"/>
    <w:rsid w:val="00990CB3"/>
    <w:rsid w:val="009A6DA3"/>
    <w:rsid w:val="009C47B1"/>
    <w:rsid w:val="009D58DA"/>
    <w:rsid w:val="00A00533"/>
    <w:rsid w:val="00A06B6D"/>
    <w:rsid w:val="00A46C5E"/>
    <w:rsid w:val="00A53660"/>
    <w:rsid w:val="00A63B9A"/>
    <w:rsid w:val="00A8263F"/>
    <w:rsid w:val="00A87868"/>
    <w:rsid w:val="00A91D47"/>
    <w:rsid w:val="00AA180A"/>
    <w:rsid w:val="00B01AB0"/>
    <w:rsid w:val="00B21064"/>
    <w:rsid w:val="00B327B8"/>
    <w:rsid w:val="00B443DA"/>
    <w:rsid w:val="00B45331"/>
    <w:rsid w:val="00B631C2"/>
    <w:rsid w:val="00B731E5"/>
    <w:rsid w:val="00B8420F"/>
    <w:rsid w:val="00BA33D7"/>
    <w:rsid w:val="00BB1C4C"/>
    <w:rsid w:val="00BC108C"/>
    <w:rsid w:val="00BD54D5"/>
    <w:rsid w:val="00C367CB"/>
    <w:rsid w:val="00C65AD5"/>
    <w:rsid w:val="00C6715B"/>
    <w:rsid w:val="00CB5245"/>
    <w:rsid w:val="00CD1560"/>
    <w:rsid w:val="00CD1903"/>
    <w:rsid w:val="00CE3227"/>
    <w:rsid w:val="00D742E2"/>
    <w:rsid w:val="00D84519"/>
    <w:rsid w:val="00D927D8"/>
    <w:rsid w:val="00DB1C77"/>
    <w:rsid w:val="00DB2A44"/>
    <w:rsid w:val="00DB7633"/>
    <w:rsid w:val="00DE7661"/>
    <w:rsid w:val="00E15BBD"/>
    <w:rsid w:val="00E26151"/>
    <w:rsid w:val="00E322B4"/>
    <w:rsid w:val="00E418C0"/>
    <w:rsid w:val="00E51F90"/>
    <w:rsid w:val="00E84DF9"/>
    <w:rsid w:val="00EB3B57"/>
    <w:rsid w:val="00EB5B6C"/>
    <w:rsid w:val="00F052FE"/>
    <w:rsid w:val="00F31F7B"/>
    <w:rsid w:val="00FC445C"/>
    <w:rsid w:val="00FC5F3F"/>
    <w:rsid w:val="00FD6D07"/>
    <w:rsid w:val="00FE12BF"/>
    <w:rsid w:val="00FE753E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C53F"/>
  <w15:docId w15:val="{2D4CB8FC-23CF-4EEF-8B12-51F3DF65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6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vel1">
    <w:name w:val="Nível 1"/>
    <w:basedOn w:val="Semlista"/>
    <w:uiPriority w:val="99"/>
    <w:rsid w:val="00A8263F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63F"/>
  </w:style>
  <w:style w:type="paragraph" w:styleId="Rodap">
    <w:name w:val="footer"/>
    <w:basedOn w:val="Normal"/>
    <w:link w:val="Rodap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63F"/>
  </w:style>
  <w:style w:type="paragraph" w:styleId="PargrafodaLista">
    <w:name w:val="List Paragraph"/>
    <w:basedOn w:val="Normal"/>
    <w:uiPriority w:val="34"/>
    <w:qFormat/>
    <w:rsid w:val="00A8263F"/>
    <w:pPr>
      <w:ind w:left="720"/>
      <w:contextualSpacing/>
    </w:pPr>
  </w:style>
  <w:style w:type="table" w:styleId="Tabelacomgrade">
    <w:name w:val="Table Grid"/>
    <w:basedOn w:val="Tabelanormal"/>
    <w:uiPriority w:val="59"/>
    <w:rsid w:val="0021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ccolor">
    <w:name w:val="bbc_color"/>
    <w:basedOn w:val="Fontepargpadro"/>
    <w:rsid w:val="00E322B4"/>
  </w:style>
  <w:style w:type="character" w:customStyle="1" w:styleId="apple-converted-space">
    <w:name w:val="apple-converted-space"/>
    <w:basedOn w:val="Fontepargpadro"/>
    <w:rsid w:val="00E322B4"/>
  </w:style>
  <w:style w:type="character" w:customStyle="1" w:styleId="bbcu">
    <w:name w:val="bbc_u"/>
    <w:basedOn w:val="Fontepargpadro"/>
    <w:rsid w:val="00E3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Guerra</cp:lastModifiedBy>
  <cp:revision>2</cp:revision>
  <dcterms:created xsi:type="dcterms:W3CDTF">2016-06-08T17:02:00Z</dcterms:created>
  <dcterms:modified xsi:type="dcterms:W3CDTF">2016-06-08T17:02:00Z</dcterms:modified>
</cp:coreProperties>
</file>