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Calibri" w:hAnsi="Calibri" w:eastAsia="Calibri"/>
          <w:b/>
          <w:i w:val="0"/>
          <w:color w:val="B01C2E"/>
          <w:sz w:val="24"/>
        </w:rPr>
        <w:t>Data A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111827"/>
          <w:sz w:val="56"/>
        </w:rPr>
        <w:t>DeRE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color w:val="4B5563"/>
          <w:sz w:val="32"/>
        </w:rPr>
        <w:t>Declaração de Regimes Específicos</w:t>
      </w:r>
    </w:p>
    <w:p>
      <w:pPr>
        <w:spacing w:after="360" w:before="0"/>
      </w:pPr>
      <w:r>
        <w:rPr>
          <w:rFonts w:ascii="Calibri" w:hAnsi="Calibri" w:eastAsia="Calibri"/>
          <w:b/>
          <w:i w:val="0"/>
          <w:color w:val="111827"/>
          <w:sz w:val="26"/>
        </w:rPr>
        <w:t>Descrição do produto para clientes EFPC / PREVIC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B01C2E"/>
          <w:sz w:val="32"/>
        </w:rPr>
        <w:t>1. O que o produto faz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A DeRE (Declaração de Regimes Específicos) é a obrigação acessória nacional da Reforma Tributária para contribuintes de regimes específicos — entre eles os serviços financeiros e a previdência complementar. Ela é entregue à Receita Federal / CGIBS pela raiz do CNPJ (8 dígitos), de forma eletrônica, com assinatura digital ICP-Brasil.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O produto DeRE da Data A é o sistema que a entidade fechada de previdência complementar (EFPC) usa para cumprir essa obrigação sem montar XML manualmente e sem operar diretamente a API da Receita. A entidade envia a planilha (CSV) ou o XML no leiaute oficial; o sistema valida, assina, transmite o lote e acompanha protocolo e recibo.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Em resumo: o produto transforma o dado contábil/cadastral da EFPC em evento DeRE aceito pelo governo, com trilha de críticas, protocolo e recibo.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B01C2E"/>
          <w:sz w:val="32"/>
        </w:rPr>
        <w:t>2. O que o sistema oferece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color w:val="111827"/>
          <w:sz w:val="26"/>
        </w:rPr>
        <w:t>Preparação e validação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Modelo CSV de cada leiaute, no padrão brasileiro (separador e decimal).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Importação de CSV, XML ou ZIP (lote no D-1001).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Validação imediata ao selecionar o arquivo: campos, domínio, XSD e regras de negócio.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Relatório de críticas em tela e em Excel (linha, coluna, encontrado, esperado e como corrigir).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Conversão CSV → XML no leiaute oficial e download do XML gerado.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color w:val="111827"/>
          <w:sz w:val="26"/>
        </w:rPr>
        <w:t>Transmissão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Assinatura XMLDSig do evento com o certificado A1 da entidade.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Envio do lote à Receita (pré-produção ou produção, conforme o ambiente).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Protocolo de recepção na hora e consulta automática do recibo a cada minuto.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Consulta manual de protocolo, PDF do protocolo e relatório de transmissões.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Nova tentativa visível em falha de comunicação, com o botão de envio travado até o fim da tentativa.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color w:val="111827"/>
          <w:sz w:val="26"/>
        </w:rPr>
        <w:t>Operação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Visão geral da entidade, pendências e últimos envios.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Histórico filtrável por leiaute, situação, período e protocolo.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Ciclo incluir / alterar / excluir nos eventos de tabela (D-1001, D-1011, D-1101, D-1199).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Dependência D-1011 → D-1001 e mapeamento do PGCC ao plano referencial PREVIC (código 5).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Isolamento por entidade: o usuário só opera o CNPJ ao qual está vinculado.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B01C2E"/>
          <w:sz w:val="32"/>
        </w:rPr>
        <w:t>3. O que oferece de segurança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A chave privada do certificado não vai para a Receita. O sistema assina o XML no ambiente da Data A e transmite só o documento já autenticado, com o certificado público necessário à verificação.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Acesso com usuário e senha. Perfis: operacional (sua entidade) e master (administração).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Certificado A1 (P12/PFX) vinculado à entidade. Só quem tem acesso a essa entidade usa o certificado.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A senha do certificado é informada uma vez, nunca reexibida, e fica no AWS Secrets Manager, cifrada com AWS KMS.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O arquivo do certificado fica cifrado em repositório separado da senha e dos dados de negócio.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Conferência em memória: se o P12 ou a senha não corresponderem, nada é gravado.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Assinatura em memória no instante do envio. Depois, a chave privada não permanece em uso.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Trilha de tentativas de transmissão (operação, protocolo, retorno HTTP).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Comunicação com a Receita em HTTPS, com OAuth (Receita Integra) nos ambientes reais.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Exclusão do certificado o desativa na hora.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4B5563"/>
          <w:sz w:val="22"/>
        </w:rPr>
        <w:t>Recomendação ao cliente: use apenas certificado A1 de titularidade da entidade. Não envie o arquivo nem a senha por e-mail ou chat.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B01C2E"/>
          <w:sz w:val="32"/>
        </w:rPr>
        <w:t>4. Leiautes: o que já está no sistema e o que tem entrega obrigatória agora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O cronograma oficial da DeRE (Ato Conjunto RFB/CGIBS nº 4/2026; documentação técnica v1.2.0) tem eventos estruturais, mensais e demais eventos a partir de 2027. No produto Data A hoje estão implementados quatro leiautes. Dois são a obrigação estrutural em vigor. Os outros dois já rodam no sistema, mas a entrega está isenta neste momento — o cliente pode validar e conhecer o fluxo, sem obrigação de transmitir até nova orientação da Receita / CGIBS / PREVIC.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1182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Leiaute</w:t>
            </w:r>
          </w:p>
        </w:tc>
        <w:tc>
          <w:tcPr>
            <w:tcW w:type="dxa" w:w="2436"/>
            <w:shd w:val="clear" w:color="auto" w:fill="11182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Conteúdo</w:t>
            </w:r>
          </w:p>
        </w:tc>
        <w:tc>
          <w:tcPr>
            <w:tcW w:type="dxa" w:w="2436"/>
            <w:shd w:val="clear" w:color="auto" w:fill="11182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 produto</w:t>
            </w:r>
          </w:p>
        </w:tc>
        <w:tc>
          <w:tcPr>
            <w:tcW w:type="dxa" w:w="2436"/>
            <w:shd w:val="clear" w:color="auto" w:fill="11182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Situação para o cliente</w:t>
            </w:r>
          </w:p>
        </w:tc>
      </w:tr>
      <w:tr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D-1001</w:t>
            </w:r>
          </w:p>
        </w:tc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Informações do contribuinte</w:t>
            </w:r>
          </w:p>
        </w:tc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Implementado</w:t>
            </w:r>
          </w:p>
        </w:tc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Em uso — primeiro evento a transmitir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D-1011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PGCC (Plano Geral de Contas Comentado), com plano referencial PREVIC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Implementado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Isento no momento — tela e validação disponíveis</w:t>
            </w:r>
          </w:p>
        </w:tc>
      </w:tr>
      <w:tr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D-1101</w:t>
            </w:r>
          </w:p>
        </w:tc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Balancete mensal</w:t>
            </w:r>
          </w:p>
        </w:tc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Implementado</w:t>
            </w:r>
          </w:p>
        </w:tc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Isento no momento — tela e validação disponíveis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D-1199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Fechamento mensal (somente inclusão)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Implementado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Isento no momento — tela e validação disponíveis</w:t>
            </w:r>
          </w:p>
        </w:tc>
      </w:tr>
      <w:tr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D-1106</w:t>
            </w:r>
          </w:p>
        </w:tc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Identificação de aplicações financeiras</w:t>
            </w:r>
          </w:p>
        </w:tc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Ainda não implementado</w:t>
            </w:r>
          </w:p>
        </w:tc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Fora do produto; aplicável só quando a norma exigir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D-1121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Relação de deduções na apuração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Ainda não implementado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Fora do produto; conforme aplicabilidade</w:t>
            </w:r>
          </w:p>
        </w:tc>
      </w:tr>
      <w:tr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D-2101</w:t>
            </w:r>
          </w:p>
        </w:tc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Débito em títulos de dívida com oferta pública</w:t>
            </w:r>
          </w:p>
        </w:tc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Ainda não implementado</w:t>
            </w:r>
          </w:p>
        </w:tc>
        <w:tc>
          <w:tcPr>
            <w:tcW w:type="dxa" w:w="2436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Fora do produto; conforme aplicabilidade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Demais eventos (a partir de 2027)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Eventos fora das fases estrutural e mensal inicial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Não implementados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Fora do escopo atual</w:t>
            </w:r>
          </w:p>
        </w:tc>
      </w:tr>
    </w:tbl>
    <w:p>
      <w:pPr>
        <w:spacing w:after="200"/>
      </w:pPr>
    </w:p>
    <w:p>
      <w:pPr>
        <w:spacing w:after="160" w:before="0"/>
      </w:pPr>
      <w:r>
        <w:rPr>
          <w:rFonts w:ascii="Calibri" w:hAnsi="Calibri" w:eastAsia="Calibri"/>
          <w:b/>
          <w:i w:val="0"/>
          <w:color w:val="B01C2E"/>
          <w:sz w:val="32"/>
        </w:rPr>
        <w:t>5. Telas disponíveis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1182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Tela</w:t>
            </w:r>
          </w:p>
        </w:tc>
        <w:tc>
          <w:tcPr>
            <w:tcW w:type="dxa" w:w="3249"/>
            <w:shd w:val="clear" w:color="auto" w:fill="11182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Quem acessa</w:t>
            </w:r>
          </w:p>
        </w:tc>
        <w:tc>
          <w:tcPr>
            <w:tcW w:type="dxa" w:w="3249"/>
            <w:shd w:val="clear" w:color="auto" w:fill="11182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Para que serve</w:t>
            </w:r>
          </w:p>
        </w:tc>
      </w:tr>
      <w:tr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Login</w:t>
            </w:r>
          </w:p>
        </w:tc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Todos</w:t>
            </w:r>
          </w:p>
        </w:tc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Acesso com usuário e senha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Visão geral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Todos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Resumo da entidade, certificado, pendências e atalho para novo envio</w:t>
            </w:r>
          </w:p>
        </w:tc>
      </w:tr>
      <w:tr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Enviar declaração</w:t>
            </w:r>
          </w:p>
        </w:tc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Todos</w:t>
            </w:r>
          </w:p>
        </w:tc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Escolha do leiaute (D-1001, D-1011, D-1101, D-1199), arquivo, validação e envio à Receita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Histórico de envios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Todos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Protocolo, recibo, situação, filtros, detalhes, XML/PDF e consulta de protocolo</w:t>
            </w:r>
          </w:p>
        </w:tc>
      </w:tr>
      <w:tr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Certificado digital</w:t>
            </w:r>
          </w:p>
        </w:tc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Todos (da entidade)</w:t>
            </w:r>
          </w:p>
        </w:tc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Cadastro, validade, substituição e exclusão do A1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Configurações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Somente Data A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Visibilidade de menus e parâmetros da Integra Receita</w:t>
            </w:r>
          </w:p>
        </w:tc>
      </w:tr>
      <w:tr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Entidades</w:t>
            </w:r>
          </w:p>
        </w:tc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Somente Data A</w:t>
            </w:r>
          </w:p>
        </w:tc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Cadastro da EFPC (CNPJ raiz e razão social) e vínculo de usuários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Usuários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Somente Data A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Cadastro de operadores e indicação de master</w:t>
            </w:r>
          </w:p>
        </w:tc>
      </w:tr>
    </w:tbl>
    <w:p>
      <w:pPr>
        <w:spacing w:after="200"/>
      </w:pP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Na tela de envio o usuário também baixa o layout CSV, o XML gerado e o Excel de críticas.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B01C2E"/>
          <w:sz w:val="32"/>
        </w:rPr>
        <w:t>6. Ambientes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Os quatro ambientes compartilham o mesmo produto e bancos/credenciais separados. Staging e homologação sobem automaticamente no GitHub Actions; produção sobe só com disparo manual.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1182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Ambiente</w:t>
            </w:r>
          </w:p>
        </w:tc>
        <w:tc>
          <w:tcPr>
            <w:tcW w:type="dxa" w:w="3249"/>
            <w:shd w:val="clear" w:color="auto" w:fill="11182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Endereço</w:t>
            </w:r>
          </w:p>
        </w:tc>
        <w:tc>
          <w:tcPr>
            <w:tcW w:type="dxa" w:w="3249"/>
            <w:shd w:val="clear" w:color="auto" w:fill="11182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o envio faz</w:t>
            </w:r>
          </w:p>
        </w:tc>
      </w:tr>
      <w:tr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Local (demonstração)</w:t>
            </w:r>
          </w:p>
        </w:tc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http://localhost:5173/</w:t>
            </w:r>
          </w:p>
        </w:tc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Uso interno / POC. Envio simulado, sem Receita.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Staging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https://dere-stg.dataa.com.br/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Teste técnico. Envio somente simulado.</w:t>
            </w:r>
          </w:p>
        </w:tc>
      </w:tr>
      <w:tr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Homologação</w:t>
            </w:r>
          </w:p>
        </w:tc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https://dere-hml.dataa.com.br/</w:t>
            </w:r>
          </w:p>
        </w:tc>
        <w:tc>
          <w:tcPr>
            <w:tcW w:type="dxa" w:w="3249"/>
            <w:shd w:val="clear" w:color="auto" w:fill="F5F7FB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Pré-produção da Receita (piloto / produção restrita).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Produção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https://dere.dataa.com.br/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Envio oficial à Receita Federal.</w:t>
            </w:r>
          </w:p>
        </w:tc>
      </w:tr>
    </w:tbl>
    <w:p>
      <w:pPr>
        <w:spacing w:after="200"/>
      </w:pP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Homologação e produção exigem credencial Receita Integra (client_id / client_secret) e certificado A1 da entidade. Staging e local não falam com a API oficial.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B01C2E"/>
          <w:sz w:val="32"/>
        </w:rPr>
        <w:t>7. Como o cliente usa, na prática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1. A Data A cadastra a entidade (CNPJ raiz) e os usuários.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2. A entidade anexa o certificado A1 e a senha uma única vez.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3. Envia o D-1001 (CSV ou XML). Corrige críticas, se houver, e transmite.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4. Aguarda o recibo de aceito.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5. Envia o D-1011 (PGCC / PREVIC) pela mesma tela, quando este layout estiver disponível para EFPC.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6. Quando a isenção dos mensais acabar, usa as mesmas telas para D-1101 e D-1199.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B01C2E"/>
          <w:sz w:val="32"/>
        </w:rPr>
        <w:t>8. Pontos de atenção: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Não inclui D-1106, D-1121 e D-2101 neste momento.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11827"/>
          <w:sz w:val="22"/>
        </w:rPr>
        <w:t>• Homologação oficial depende de participação no piloto e da credencial da entidade no Receita Integra.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