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FIAP – Faculdade de Informática e Administração Paulista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Curso: Sistemas de Informação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Arthur Dias da Silva Biancchi – RM 99162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Eduardo Costa Nascimento dos Anjos – RM 552519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Enzo Puerta Meschini – RM 550807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40"/>
          <w:szCs w:val="40"/>
        </w:rPr>
        <w:t xml:space="preserve">PROJETO STARTUP ONE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F7A5A"/>
          <w:sz w:val="28"/>
          <w:szCs w:val="28"/>
        </w:rPr>
        <w:t xml:space="preserve">DETECÇÃO DE PHISHING COM ENSEMBLE LEARNING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Fase 5 – Versão Atual do Projeto, Estratégia de Mercado, Viabilidade Financeira e Protótipo Funcional de Alta Fidelidade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 do vídeo (pitch):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[ inserir link do YouTube – vídeo não listado ]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 do GitHub: </w:t>
      </w:r>
      <w:r>
        <w:rPr>
          <w:rFonts w:ascii="Calibri" w:cs="Calibri" w:eastAsia="Calibri" w:hAnsi="Calibri"/>
          <w:sz w:val="22"/>
          <w:szCs w:val="22"/>
        </w:rPr>
        <w:t xml:space="preserve">https://github.com/eduardoicosta/PhishGuard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São Paulo – 2026</w:t>
      </w:r>
    </w:p>
    <w:p>
      <w:r>
        <w:br w:type="page"/>
      </w: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0F7A5A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A5A"/>
          <w:sz w:val="30"/>
          <w:szCs w:val="30"/>
        </w:rPr>
        <w:t xml:space="preserve">1. Parte 1 – Versão Atual do Projeto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Desde a última entrega, o PhishGuard deixou de ser um protótipo focado em telas e passou a ser uma arquitetura de produto. O motor de detecção foi mantido — Ensemble Learning com Random Forest e XGBoost —, mas ganhou uma segunda camada de análise contextual por Inteligência Artificial generativa e, principalmente, uma arquitetura de privacidade que se tornou o argumento comercial central do negócio.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93B"/>
          <w:sz w:val="25"/>
          <w:szCs w:val="25"/>
        </w:rPr>
        <w:t xml:space="preserve">1.1. Evoluções realizadas desde a última entrega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Arquitetura de privacidade “Retenção Zero” (LGPD desde a concepção): </w:t>
      </w:r>
      <w:r>
        <w:rPr>
          <w:rFonts w:ascii="Calibri" w:cs="Calibri" w:eastAsia="Calibri" w:hAnsi="Calibri"/>
          <w:sz w:val="22"/>
          <w:szCs w:val="22"/>
        </w:rPr>
        <w:t xml:space="preserve">nenhum conteúdo de e-mail ou mensagem é gravado em banco de dados. O texto existe apenas na memória do servidor durante a requisição e é descartado em seguida. O banco guarda somente metadados agregados (canal, data/hora, veredito, score, domínio do remetente e contadores).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Mascaramento inteligente de dados pessoais antes da IA: </w:t>
      </w:r>
      <w:r>
        <w:rPr>
          <w:rFonts w:ascii="Calibri" w:cs="Calibri" w:eastAsia="Calibri" w:hAnsi="Calibri"/>
          <w:sz w:val="22"/>
          <w:szCs w:val="22"/>
        </w:rPr>
        <w:t xml:space="preserve">um mecanismo local substitui CPF, CNPJ, cartões, chaves Pix, dados bancários, telefones, CEP, documentos e credenciais por marcadores genéricos antes de qualquer envio à IA externa. Cartões são confirmados pelo algoritmo de Luhn e CPF/CNPJ pelos dígitos verificadores, evitando mascarar números de pedido ou protocolos. O domínio do remetente é preservado de propósito, pois é o principal sinal técnico contra spoofing.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Pseudonimização de identidade: </w:t>
      </w:r>
      <w:r>
        <w:rPr>
          <w:rFonts w:ascii="Calibri" w:cs="Calibri" w:eastAsia="Calibri" w:hAnsi="Calibri"/>
          <w:sz w:val="22"/>
          <w:szCs w:val="22"/>
        </w:rPr>
        <w:t xml:space="preserve">contas e organizações são identificadas por um hash criptográfico irreversível (HMAC-SHA256), nunca pelo e-mail em texto claro — inclusive nos painéis internos.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Separação do produto em duas linhas sobre o mesmo motor: </w:t>
      </w:r>
      <w:r>
        <w:rPr>
          <w:rFonts w:ascii="Calibri" w:cs="Calibri" w:eastAsia="Calibri" w:hAnsi="Calibri"/>
          <w:sz w:val="22"/>
          <w:szCs w:val="22"/>
        </w:rPr>
        <w:t xml:space="preserve">PhishGuard Personal (B2C) e PhishGuard Enterprise (B2B), com painéis e recortes de dados distintos.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Novos painéis de acompanhamento: </w:t>
      </w:r>
      <w:r>
        <w:rPr>
          <w:rFonts w:ascii="Calibri" w:cs="Calibri" w:eastAsia="Calibri" w:hAnsi="Calibri"/>
          <w:sz w:val="22"/>
          <w:szCs w:val="22"/>
        </w:rPr>
        <w:t xml:space="preserve">Painel Personal, com métricas individuais do usuário, e Painel SOC corporativo reformulado, com ranking de domínios hostis, exposição por colaborador (por pseudônimo) e trilha de auditoria anonimizada.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Detecção em duas camadas com resiliência: </w:t>
      </w:r>
      <w:r>
        <w:rPr>
          <w:rFonts w:ascii="Calibri" w:cs="Calibri" w:eastAsia="Calibri" w:hAnsi="Calibri"/>
          <w:sz w:val="22"/>
          <w:szCs w:val="22"/>
        </w:rPr>
        <w:t xml:space="preserve">a Camada 1 (estatística, local, sem rede) continua operando mesmo quando a Camada 2 (IA generativa) está indisponível. As chamadas externas têm tempo-limite, novas tentativas com espera progressiva e um disjuntor (circuit breaker) por canal, com retorno automático ao veredito local.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Canal conversacional: </w:t>
      </w:r>
      <w:r>
        <w:rPr>
          <w:rFonts w:ascii="Calibri" w:cs="Calibri" w:eastAsia="Calibri" w:hAnsi="Calibri"/>
          <w:sz w:val="22"/>
          <w:szCs w:val="22"/>
        </w:rPr>
        <w:t xml:space="preserve">bot de WhatsApp e webchat híbrido no site comercial (atendimento comercial e análise de risco), com o mesmo padrão de anonimização aplicado em todos os canais.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Conformidade verificável: </w:t>
      </w:r>
      <w:r>
        <w:rPr>
          <w:rFonts w:ascii="Calibri" w:cs="Calibri" w:eastAsia="Calibri" w:hAnsi="Calibri"/>
          <w:sz w:val="22"/>
          <w:szCs w:val="22"/>
        </w:rPr>
        <w:t xml:space="preserve">suíte de testes automatizados que valida as garantias de privacidade como código, além de endpoints de manifesto público de transparência, autoauditoria em tempo de execução e atendimento ao direito de eliminação (Art. 18 da LGPD).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93B"/>
          <w:sz w:val="25"/>
          <w:szCs w:val="25"/>
        </w:rPr>
        <w:t xml:space="preserve">1.2. Ajustes de infraestrutura e de escopo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Parte da evolução foi de reposicionamento técnico, para tornar a solução mais aderente ao mercado corporativo: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Hospedagem migrada para a Microsoft Azure, </w:t>
      </w:r>
      <w:r>
        <w:rPr>
          <w:rFonts w:ascii="Calibri" w:cs="Calibri" w:eastAsia="Calibri" w:hAnsi="Calibri"/>
          <w:sz w:val="22"/>
          <w:szCs w:val="22"/>
        </w:rPr>
        <w:t xml:space="preserve">com Azure Database for PostgreSQL como banco em nuvem.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Adoção do Google Gemini </w:t>
      </w:r>
      <w:r>
        <w:rPr>
          <w:rFonts w:ascii="Calibri" w:cs="Calibri" w:eastAsia="Calibri" w:hAnsi="Calibri"/>
          <w:sz w:val="22"/>
          <w:szCs w:val="22"/>
        </w:rPr>
        <w:t xml:space="preserve">como motor de IA generativa da Camada 2, substituindo a escolha anterior.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Entrega consolidada via extensão de navegador (Chromium – Chrome e Edge), </w:t>
      </w:r>
      <w:r>
        <w:rPr>
          <w:rFonts w:ascii="Calibri" w:cs="Calibri" w:eastAsia="Calibri" w:hAnsi="Calibri"/>
          <w:sz w:val="22"/>
          <w:szCs w:val="22"/>
        </w:rPr>
        <w:t xml:space="preserve">operando dentro do Gmail e do Outlook Web, em vez de uma aplicação desktop.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Refinamentos recentes: </w:t>
      </w:r>
      <w:r>
        <w:rPr>
          <w:rFonts w:ascii="Calibri" w:cs="Calibri" w:eastAsia="Calibri" w:hAnsi="Calibri"/>
          <w:sz w:val="22"/>
          <w:szCs w:val="22"/>
        </w:rPr>
        <w:t xml:space="preserve">padronização visual dos painéis e correção da leitura do remetente no Outlook Web, garantindo que o domínio real do remetente chegue íntegro à análise antifraude.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93B"/>
          <w:sz w:val="25"/>
          <w:szCs w:val="25"/>
        </w:rPr>
        <w:t xml:space="preserve">1.3. Quadro-resumo da evolução</w:t>
      </w:r>
    </w:p>
    <w:tbl>
      <w:tblPr>
        <w:tblW w:type="dxa" w:w="9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100"/>
        <w:gridCol w:w="3300"/>
        <w:gridCol w:w="3600"/>
      </w:tblGrid>
      <w:tr>
        <w:trPr>
          <w:tblHeader/>
        </w:trPr>
        <w:tc>
          <w:tcPr>
            <w:tcW w:type="dxa" w:w="2100"/>
            <w:shd w:fill="E7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Dimensão</w:t>
            </w:r>
          </w:p>
        </w:tc>
        <w:tc>
          <w:tcPr>
            <w:tcW w:type="dxa" w:w="3300"/>
            <w:shd w:fill="E7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Entrega anterior</w:t>
            </w:r>
          </w:p>
        </w:tc>
        <w:tc>
          <w:tcPr>
            <w:tcW w:type="dxa" w:w="3600"/>
            <w:shd w:fill="E7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Entrega atual (Fase 5)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Entrega ao usuário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Telas de aplicação desktop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Extensão de navegador + bot de WhatsApp + webchat</w:t>
            </w:r>
          </w:p>
        </w:tc>
      </w:tr>
      <w:tr>
        <w:tc>
          <w:tcPr>
            <w:tcW w:type="dxa" w:w="21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Camadas de detecção</w:t>
            </w:r>
          </w:p>
        </w:tc>
        <w:tc>
          <w:tcPr>
            <w:tcW w:type="dxa" w:w="33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Ensemble estatístico (RF + XGBoost)</w:t>
            </w:r>
          </w:p>
        </w:tc>
        <w:tc>
          <w:tcPr>
            <w:tcW w:type="dxa" w:w="3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Ensemble local + camada de IA generativa com fallback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Nuvem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Google Cloud Platform (planejado)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Microsoft Azure (banco PostgreSQL em nuvem)</w:t>
            </w:r>
          </w:p>
        </w:tc>
      </w:tr>
      <w:tr>
        <w:tc>
          <w:tcPr>
            <w:tcW w:type="dxa" w:w="21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Privacidade</w:t>
            </w:r>
          </w:p>
        </w:tc>
        <w:tc>
          <w:tcPr>
            <w:tcW w:type="dxa" w:w="33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Não detalhada</w:t>
            </w:r>
          </w:p>
        </w:tc>
        <w:tc>
          <w:tcPr>
            <w:tcW w:type="dxa" w:w="3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Retenção Zero + mascaramento de PII + pseudonimização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Governança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Data warehouse conceitual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Painel SOC B2B + trilha de auditoria anonimizada</w:t>
            </w:r>
          </w:p>
        </w:tc>
      </w:tr>
      <w:tr>
        <w:tc>
          <w:tcPr>
            <w:tcW w:type="dxa" w:w="21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Modelo de negócio</w:t>
            </w:r>
          </w:p>
        </w:tc>
        <w:tc>
          <w:tcPr>
            <w:tcW w:type="dxa" w:w="33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Foco único (corporativo)</w:t>
            </w:r>
          </w:p>
        </w:tc>
        <w:tc>
          <w:tcPr>
            <w:tcW w:type="dxa" w:w="3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Duas linhas: Personal (B2C) e Enterprise (B2B)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A5A"/>
          <w:sz w:val="30"/>
          <w:szCs w:val="30"/>
        </w:rPr>
        <w:t xml:space="preserve">2. Parte 2 – Estratégia de Mercado e Viabilidade Financeira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 seção reúne a estratégia de entrada no mercado (Go-to-Market Canvas) e a análise financeira do negócio, com projeções realistas e coerentes com o produto real. Os valores desta seção são os mesmos apresentados na apresentação de pitch.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93B"/>
          <w:sz w:val="25"/>
          <w:szCs w:val="25"/>
        </w:rPr>
        <w:t xml:space="preserve">2.1. Go-to-Market Canvas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2.1.1. Segmento de clientes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B2C – PhishGuard Personal: </w:t>
      </w:r>
      <w:r>
        <w:rPr>
          <w:rFonts w:ascii="Calibri" w:cs="Calibri" w:eastAsia="Calibri" w:hAnsi="Calibri"/>
          <w:sz w:val="22"/>
          <w:szCs w:val="22"/>
        </w:rPr>
        <w:t xml:space="preserve">usuários de Gmail e Outlook no Brasil expostos a golpes de Pix, boleto falso e falso suporte — famílias, autônomos e microempreendedores. Compra por conta própria, ticket baixo, decisão rápida.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B2B – PhishGuard Enterprise: </w:t>
      </w:r>
      <w:r>
        <w:rPr>
          <w:rFonts w:ascii="Calibri" w:cs="Calibri" w:eastAsia="Calibri" w:hAnsi="Calibri"/>
          <w:sz w:val="22"/>
          <w:szCs w:val="22"/>
        </w:rPr>
        <w:t xml:space="preserve">pequenas e médias empresas de 10 a 200 funcionários sem um SOC próprio, com destaque para contabilidade, saúde, jurídico e e-commerce. O comprador é a área de TI ou o responsável por segurança/DPO.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2.1.2. Proposta de valor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Bloqueio de phishing em tempo real dentro do e-mail que a pessoa já usa, sem troca de provedor e sem instalar agente no sistema operacional.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Privacidade estrutural: a arquitetura de Retenção Zero e a anonimização antes da IA são garantidas pelo próprio funcionamento do produto, não apenas por política de uso.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Conformidade com a LGPD como padrão, com manifesto de transparência e atendimento ao direito de eliminação.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Continuidade operacional: a detecção continua funcionando mesmo quando o serviço de IA de terceiros está fora do ar.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2.1.3. Canais de aquisição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B2C: </w:t>
      </w:r>
      <w:r>
        <w:rPr>
          <w:rFonts w:ascii="Calibri" w:cs="Calibri" w:eastAsia="Calibri" w:hAnsi="Calibri"/>
          <w:sz w:val="22"/>
          <w:szCs w:val="22"/>
        </w:rPr>
        <w:t xml:space="preserve">publicação nas lojas de extensões (Chrome Web Store e Edge Add-ons) com otimização de listagem, conteúdo educativo sobre golpes reais (blog, vídeos curtos), parcerias com criadores de finanças pessoais e indicação dentro do produto.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B2B: </w:t>
      </w:r>
      <w:r>
        <w:rPr>
          <w:rFonts w:ascii="Calibri" w:cs="Calibri" w:eastAsia="Calibri" w:hAnsi="Calibri"/>
          <w:sz w:val="22"/>
          <w:szCs w:val="22"/>
        </w:rPr>
        <w:t xml:space="preserve">prospecção ativa no LinkedIn junto a áreas de TI, webinars sobre LGPD e segurança, presença no marketplace da Azure e parcerias com escritórios de contabilidade que atendem PMEs.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2.1.4. Estratégia de preço e promoção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Modelo freemium: </w:t>
      </w:r>
      <w:r>
        <w:rPr>
          <w:rFonts w:ascii="Calibri" w:cs="Calibri" w:eastAsia="Calibri" w:hAnsi="Calibri"/>
          <w:sz w:val="22"/>
          <w:szCs w:val="22"/>
        </w:rPr>
        <w:t xml:space="preserve">a Camada 1 (estatística) é gratuita; a análise por IA fica no plano pago.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Preços: </w:t>
      </w:r>
      <w:r>
        <w:rPr>
          <w:rFonts w:ascii="Calibri" w:cs="Calibri" w:eastAsia="Calibri" w:hAnsi="Calibri"/>
          <w:sz w:val="22"/>
          <w:szCs w:val="22"/>
        </w:rPr>
        <w:t xml:space="preserve">PhishGuard Personal a R$ 9,90 por mês; PhishGuard Enterprise de R$ 15 a R$ 25 por assento/mês, com desconto no plano anual.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Promoção: </w:t>
      </w:r>
      <w:r>
        <w:rPr>
          <w:rFonts w:ascii="Calibri" w:cs="Calibri" w:eastAsia="Calibri" w:hAnsi="Calibri"/>
          <w:sz w:val="22"/>
          <w:szCs w:val="22"/>
        </w:rPr>
        <w:t xml:space="preserve">primeiro mês gratuito no B2C, teste (trial) de 14 dias no B2B e o selo “Retenção Zero” como diferencial de comunicação. O preço é ancorado no custo de um único incidente de fraude por Pix.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2.1.5. Principais métricas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Métrica-norte (North Star): </w:t>
      </w:r>
      <w:r>
        <w:rPr>
          <w:rFonts w:ascii="Calibri" w:cs="Calibri" w:eastAsia="Calibri" w:hAnsi="Calibri"/>
          <w:sz w:val="22"/>
          <w:szCs w:val="22"/>
        </w:rPr>
        <w:t xml:space="preserve">e-mails analisados por semana por usuário ativo.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Aquisição: </w:t>
      </w:r>
      <w:r>
        <w:rPr>
          <w:rFonts w:ascii="Calibri" w:cs="Calibri" w:eastAsia="Calibri" w:hAnsi="Calibri"/>
          <w:sz w:val="22"/>
          <w:szCs w:val="22"/>
        </w:rPr>
        <w:t xml:space="preserve">instalações e taxa de ativação (primeiro e-mail analisado), com meta acima de 60%.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Conversão: </w:t>
      </w:r>
      <w:r>
        <w:rPr>
          <w:rFonts w:ascii="Calibri" w:cs="Calibri" w:eastAsia="Calibri" w:hAnsi="Calibri"/>
          <w:sz w:val="22"/>
          <w:szCs w:val="22"/>
        </w:rPr>
        <w:t xml:space="preserve">free para pago no B2C, com meta de 4% a 6%.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Valor entregue: </w:t>
      </w:r>
      <w:r>
        <w:rPr>
          <w:rFonts w:ascii="Calibri" w:cs="Calibri" w:eastAsia="Calibri" w:hAnsi="Calibri"/>
          <w:sz w:val="22"/>
          <w:szCs w:val="22"/>
        </w:rPr>
        <w:t xml:space="preserve">ameaças bloqueadas por mil análises.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Saúde da receita: </w:t>
      </w:r>
      <w:r>
        <w:rPr>
          <w:rFonts w:ascii="Calibri" w:cs="Calibri" w:eastAsia="Calibri" w:hAnsi="Calibri"/>
          <w:sz w:val="22"/>
          <w:szCs w:val="22"/>
        </w:rPr>
        <w:t xml:space="preserve">MRR (receita recorrente mensal), churn abaixo de 5% no B2C e de 2% no B2B, e relação LTV/CAC acima de 3x.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93B"/>
          <w:sz w:val="25"/>
          <w:szCs w:val="25"/>
        </w:rPr>
        <w:t xml:space="preserve">2.2. Análise financeira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2.2.1. Estrutura de custos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estrutura é enxuta e típica de um negócio de software: predomínio de custo fixo baixo e custo variável marginal por usuário.</w:t>
      </w:r>
    </w:p>
    <w:tbl>
      <w:tblPr>
        <w:tblW w:type="dxa" w:w="9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400"/>
        <w:gridCol w:w="5200"/>
        <w:gridCol w:w="2400"/>
      </w:tblGrid>
      <w:tr>
        <w:trPr>
          <w:tblHeader/>
        </w:trPr>
        <w:tc>
          <w:tcPr>
            <w:tcW w:type="dxa" w:w="1400"/>
            <w:shd w:fill="E7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Natureza</w:t>
            </w:r>
          </w:p>
        </w:tc>
        <w:tc>
          <w:tcPr>
            <w:tcW w:type="dxa" w:w="5200"/>
            <w:shd w:fill="E7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Item</w:t>
            </w:r>
          </w:p>
        </w:tc>
        <w:tc>
          <w:tcPr>
            <w:tcW w:type="dxa" w:w="2400"/>
            <w:shd w:fill="E7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Valor mensal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Fixo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Infraestrutura em nuvem (API + Azure Database for PostgreSQL + monitoramento)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R$ 900</w:t>
            </w:r>
          </w:p>
        </w:tc>
      </w:tr>
      <w:tr>
        <w:tc>
          <w:tcPr>
            <w:tcW w:type="dxa" w:w="14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Fixo</w:t>
            </w:r>
          </w:p>
        </w:tc>
        <w:tc>
          <w:tcPr>
            <w:tcW w:type="dxa" w:w="52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Ferramentas e licenças (workspace, repositório, domínio, e-mail)</w:t>
            </w:r>
          </w:p>
        </w:tc>
        <w:tc>
          <w:tcPr>
            <w:tcW w:type="dxa" w:w="24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R$ 300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Fixo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Contabilidade e regularização (Simples Nacional)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R$ 400</w:t>
            </w:r>
          </w:p>
        </w:tc>
      </w:tr>
      <w:tr>
        <w:tc>
          <w:tcPr>
            <w:tcW w:type="dxa" w:w="14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Fixo</w:t>
            </w:r>
          </w:p>
        </w:tc>
        <w:tc>
          <w:tcPr>
            <w:tcW w:type="dxa" w:w="52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Total de custo fixo</w:t>
            </w:r>
          </w:p>
        </w:tc>
        <w:tc>
          <w:tcPr>
            <w:tcW w:type="dxa" w:w="24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R$ 1.600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Variável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IA generativa (Gemini) por usuário Personal (~150 análises/mês)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R$ 0,70</w:t>
            </w:r>
          </w:p>
        </w:tc>
      </w:tr>
      <w:tr>
        <w:tc>
          <w:tcPr>
            <w:tcW w:type="dxa" w:w="14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Variável</w:t>
            </w:r>
          </w:p>
        </w:tc>
        <w:tc>
          <w:tcPr>
            <w:tcW w:type="dxa" w:w="52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Processamento e banda incremental por usuário</w:t>
            </w:r>
          </w:p>
        </w:tc>
        <w:tc>
          <w:tcPr>
            <w:tcW w:type="dxa" w:w="24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R$ 0,30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Variável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Gateway de pagamento (rateado no B2C)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R$ 0,20</w:t>
            </w:r>
          </w:p>
        </w:tc>
      </w:tr>
      <w:tr>
        <w:tc>
          <w:tcPr>
            <w:tcW w:type="dxa" w:w="14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Variável</w:t>
            </w:r>
          </w:p>
        </w:tc>
        <w:tc>
          <w:tcPr>
            <w:tcW w:type="dxa" w:w="52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Total por usuário Personal / por assento B2B</w:t>
            </w:r>
          </w:p>
        </w:tc>
        <w:tc>
          <w:tcPr>
            <w:tcW w:type="dxa" w:w="24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R$ 1,20 / ~R$ 1,00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fundadores atuam em regime de participação societária (equity) no período inicial, portanto não há pró-labore na estrutura de custo fixo desta projeção.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2.2.2. Modelo de receita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receita é 100% recorrente (assinatura mensal), com duas fontes: o plano Personal (B2C), de baixo ticket e alto volume, e o plano Enterprise (B2B), cobrado por assento, de ticket maior e ciclo de venda mais longo.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2.2.3. Margem de contribuição</w:t>
      </w:r>
    </w:p>
    <w:tbl>
      <w:tblPr>
        <w:tblW w:type="dxa" w:w="9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100"/>
        <w:gridCol w:w="1700"/>
        <w:gridCol w:w="1700"/>
        <w:gridCol w:w="2100"/>
        <w:gridCol w:w="1400"/>
      </w:tblGrid>
      <w:tr>
        <w:trPr>
          <w:tblHeader/>
        </w:trPr>
        <w:tc>
          <w:tcPr>
            <w:tcW w:type="dxa" w:w="2100"/>
            <w:shd w:fill="E7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Produto</w:t>
            </w:r>
          </w:p>
        </w:tc>
        <w:tc>
          <w:tcPr>
            <w:tcW w:type="dxa" w:w="1700"/>
            <w:shd w:fill="E7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Preço mensal</w:t>
            </w:r>
          </w:p>
        </w:tc>
        <w:tc>
          <w:tcPr>
            <w:tcW w:type="dxa" w:w="1700"/>
            <w:shd w:fill="E7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Custo variável</w:t>
            </w:r>
          </w:p>
        </w:tc>
        <w:tc>
          <w:tcPr>
            <w:tcW w:type="dxa" w:w="2100"/>
            <w:shd w:fill="E7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Margem de contribuição</w:t>
            </w:r>
          </w:p>
        </w:tc>
        <w:tc>
          <w:tcPr>
            <w:tcW w:type="dxa" w:w="1400"/>
            <w:shd w:fill="E7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% do preço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Personal (B2C)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R$ 9,90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R$ 1,20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R$ 8,70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88%</w:t>
            </w:r>
          </w:p>
        </w:tc>
      </w:tr>
      <w:tr>
        <w:tc>
          <w:tcPr>
            <w:tcW w:type="dxa" w:w="21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Assento Enterprise (B2B)</w:t>
            </w:r>
          </w:p>
        </w:tc>
        <w:tc>
          <w:tcPr>
            <w:tcW w:type="dxa" w:w="17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R$ 25,00</w:t>
            </w:r>
          </w:p>
        </w:tc>
        <w:tc>
          <w:tcPr>
            <w:tcW w:type="dxa" w:w="17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R$ 1,00</w:t>
            </w:r>
          </w:p>
        </w:tc>
        <w:tc>
          <w:tcPr>
            <w:tcW w:type="dxa" w:w="21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R$ 24,00</w:t>
            </w:r>
          </w:p>
        </w:tc>
        <w:tc>
          <w:tcPr>
            <w:tcW w:type="dxa" w:w="14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96%</w:t>
            </w:r>
          </w:p>
        </w:tc>
      </w:tr>
    </w:tbl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2.2.4. Projeção de fluxo de caixa – 6 meses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Cenário base, sem captação externa. As colunas de receita e custo consideram a base de clientes ao fim de cada mês; a linha de aquisição concentra o gasto com marketing e vendas (CAC) do período.</w:t>
      </w:r>
    </w:p>
    <w:tbl>
      <w:tblPr>
        <w:tblW w:type="dxa" w:w="925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850"/>
        <w:gridCol w:w="900"/>
        <w:gridCol w:w="1050"/>
        <w:gridCol w:w="900"/>
        <w:gridCol w:w="1150"/>
        <w:gridCol w:w="900"/>
        <w:gridCol w:w="1250"/>
        <w:gridCol w:w="1050"/>
        <w:gridCol w:w="1200"/>
      </w:tblGrid>
      <w:tr>
        <w:trPr>
          <w:tblHeader/>
        </w:trPr>
        <w:tc>
          <w:tcPr>
            <w:tcW w:type="dxa" w:w="850"/>
            <w:shd w:fill="E7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Mês</w:t>
            </w:r>
          </w:p>
        </w:tc>
        <w:tc>
          <w:tcPr>
            <w:tcW w:type="dxa" w:w="900"/>
            <w:shd w:fill="E7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Personal</w:t>
            </w:r>
          </w:p>
        </w:tc>
        <w:tc>
          <w:tcPr>
            <w:tcW w:type="dxa" w:w="1050"/>
            <w:shd w:fill="E7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Assentos B2B</w:t>
            </w:r>
          </w:p>
        </w:tc>
        <w:tc>
          <w:tcPr>
            <w:tcW w:type="dxa" w:w="900"/>
            <w:shd w:fill="E7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Receita</w:t>
            </w:r>
          </w:p>
        </w:tc>
        <w:tc>
          <w:tcPr>
            <w:tcW w:type="dxa" w:w="1150"/>
            <w:shd w:fill="E7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Custo variável</w:t>
            </w:r>
          </w:p>
        </w:tc>
        <w:tc>
          <w:tcPr>
            <w:tcW w:type="dxa" w:w="900"/>
            <w:shd w:fill="E7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Custo fixo</w:t>
            </w:r>
          </w:p>
        </w:tc>
        <w:tc>
          <w:tcPr>
            <w:tcW w:type="dxa" w:w="1250"/>
            <w:shd w:fill="E7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Aquisição (CAC)</w:t>
            </w:r>
          </w:p>
        </w:tc>
        <w:tc>
          <w:tcPr>
            <w:tcW w:type="dxa" w:w="1050"/>
            <w:shd w:fill="E7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Caixa do mês</w:t>
            </w:r>
          </w:p>
        </w:tc>
        <w:tc>
          <w:tcPr>
            <w:tcW w:type="dxa" w:w="1200"/>
            <w:shd w:fill="E7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Caixa acumulado</w:t>
            </w:r>
          </w:p>
        </w:tc>
      </w:tr>
      <w:tr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Mês 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40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396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48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1.600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600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−1.852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−1.852</w:t>
            </w:r>
          </w:p>
        </w:tc>
      </w:tr>
      <w:tr>
        <w:tc>
          <w:tcPr>
            <w:tcW w:type="dxa" w:w="85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Mês 2</w:t>
            </w:r>
          </w:p>
        </w:tc>
        <w:tc>
          <w:tcPr>
            <w:tcW w:type="dxa" w:w="9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110</w:t>
            </w:r>
          </w:p>
        </w:tc>
        <w:tc>
          <w:tcPr>
            <w:tcW w:type="dxa" w:w="105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20</w:t>
            </w:r>
          </w:p>
        </w:tc>
        <w:tc>
          <w:tcPr>
            <w:tcW w:type="dxa" w:w="9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1.589</w:t>
            </w:r>
          </w:p>
        </w:tc>
        <w:tc>
          <w:tcPr>
            <w:tcW w:type="dxa" w:w="115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152</w:t>
            </w:r>
          </w:p>
        </w:tc>
        <w:tc>
          <w:tcPr>
            <w:tcW w:type="dxa" w:w="9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1.600</w:t>
            </w:r>
          </w:p>
        </w:tc>
        <w:tc>
          <w:tcPr>
            <w:tcW w:type="dxa" w:w="125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1.950</w:t>
            </w:r>
          </w:p>
        </w:tc>
        <w:tc>
          <w:tcPr>
            <w:tcW w:type="dxa" w:w="105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−2.113</w:t>
            </w:r>
          </w:p>
        </w:tc>
        <w:tc>
          <w:tcPr>
            <w:tcW w:type="dxa" w:w="12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−3.965</w:t>
            </w:r>
          </w:p>
        </w:tc>
      </w:tr>
      <w:tr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Mês 3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210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45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3.204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297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1.600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2.400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−1.093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−5.058</w:t>
            </w:r>
          </w:p>
        </w:tc>
      </w:tr>
      <w:tr>
        <w:tc>
          <w:tcPr>
            <w:tcW w:type="dxa" w:w="85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Mês 4</w:t>
            </w:r>
          </w:p>
        </w:tc>
        <w:tc>
          <w:tcPr>
            <w:tcW w:type="dxa" w:w="9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340</w:t>
            </w:r>
          </w:p>
        </w:tc>
        <w:tc>
          <w:tcPr>
            <w:tcW w:type="dxa" w:w="105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80</w:t>
            </w:r>
          </w:p>
        </w:tc>
        <w:tc>
          <w:tcPr>
            <w:tcW w:type="dxa" w:w="9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5.366</w:t>
            </w:r>
          </w:p>
        </w:tc>
        <w:tc>
          <w:tcPr>
            <w:tcW w:type="dxa" w:w="115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488</w:t>
            </w:r>
          </w:p>
        </w:tc>
        <w:tc>
          <w:tcPr>
            <w:tcW w:type="dxa" w:w="9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1.600</w:t>
            </w:r>
          </w:p>
        </w:tc>
        <w:tc>
          <w:tcPr>
            <w:tcW w:type="dxa" w:w="125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2.850</w:t>
            </w:r>
          </w:p>
        </w:tc>
        <w:tc>
          <w:tcPr>
            <w:tcW w:type="dxa" w:w="105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+428</w:t>
            </w:r>
          </w:p>
        </w:tc>
        <w:tc>
          <w:tcPr>
            <w:tcW w:type="dxa" w:w="12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−4.630</w:t>
            </w:r>
          </w:p>
        </w:tc>
      </w:tr>
      <w:tr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Mês 5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500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120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7.950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720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1.600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3.300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+2.330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−2.300</w:t>
            </w:r>
          </w:p>
        </w:tc>
      </w:tr>
      <w:tr>
        <w:tc>
          <w:tcPr>
            <w:tcW w:type="dxa" w:w="85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Mês 6</w:t>
            </w:r>
          </w:p>
        </w:tc>
        <w:tc>
          <w:tcPr>
            <w:tcW w:type="dxa" w:w="9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700</w:t>
            </w:r>
          </w:p>
        </w:tc>
        <w:tc>
          <w:tcPr>
            <w:tcW w:type="dxa" w:w="105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170</w:t>
            </w:r>
          </w:p>
        </w:tc>
        <w:tc>
          <w:tcPr>
            <w:tcW w:type="dxa" w:w="9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11.180</w:t>
            </w:r>
          </w:p>
        </w:tc>
        <w:tc>
          <w:tcPr>
            <w:tcW w:type="dxa" w:w="115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1.010</w:t>
            </w:r>
          </w:p>
        </w:tc>
        <w:tc>
          <w:tcPr>
            <w:tcW w:type="dxa" w:w="9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1.600</w:t>
            </w:r>
          </w:p>
        </w:tc>
        <w:tc>
          <w:tcPr>
            <w:tcW w:type="dxa" w:w="125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4.800</w:t>
            </w:r>
          </w:p>
        </w:tc>
        <w:tc>
          <w:tcPr>
            <w:tcW w:type="dxa" w:w="105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+3.770</w:t>
            </w:r>
          </w:p>
        </w:tc>
        <w:tc>
          <w:tcPr>
            <w:tcW w:type="dxa" w:w="12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+1.470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Valores em reais (R$). A receita do Mês 6 corresponde a um MRR de R$ 11.180.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2.2.5. Ponto de equilíbrio (breakeven)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Breakeven recorrente (a operação cobre o custo fixo): </w:t>
      </w:r>
      <w:r>
        <w:rPr>
          <w:rFonts w:ascii="Calibri" w:cs="Calibri" w:eastAsia="Calibri" w:hAnsi="Calibri"/>
          <w:sz w:val="22"/>
          <w:szCs w:val="22"/>
        </w:rPr>
        <w:t xml:space="preserve">cerca de 185 assinantes Personal, ou aproximadamente 67 assentos Enterprise, ou uma combinação equivalente. Nas projeções, é atingido no Mês 3 (receita menos custos variável e fixo já é positiva).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Breakeven de caixa (recuperação do investimento inicial e do CAC acumulado): </w:t>
      </w:r>
      <w:r>
        <w:rPr>
          <w:rFonts w:ascii="Calibri" w:cs="Calibri" w:eastAsia="Calibri" w:hAnsi="Calibri"/>
          <w:sz w:val="22"/>
          <w:szCs w:val="22"/>
        </w:rPr>
        <w:t xml:space="preserve">Mês 6, quando o caixa acumulado passa a positivo (+R$ 1.470).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Capital máximo imobilizado: </w:t>
      </w:r>
      <w:r>
        <w:rPr>
          <w:rFonts w:ascii="Calibri" w:cs="Calibri" w:eastAsia="Calibri" w:hAnsi="Calibri"/>
          <w:sz w:val="22"/>
          <w:szCs w:val="22"/>
        </w:rPr>
        <w:t xml:space="preserve">aproximadamente R$ 5,1 mil no Mês 3 — valor compatível com aporte dos próprios fundadores ou apoio de incubadora.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2.2.6. CAC, LTV e retorno</w:t>
      </w:r>
    </w:p>
    <w:tbl>
      <w:tblPr>
        <w:tblW w:type="dxa" w:w="9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E7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Indicador</w:t>
            </w:r>
          </w:p>
        </w:tc>
        <w:tc>
          <w:tcPr>
            <w:tcW w:type="dxa" w:w="3200"/>
            <w:shd w:fill="E7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PhishGuard Personal (B2C)</w:t>
            </w:r>
          </w:p>
        </w:tc>
        <w:tc>
          <w:tcPr>
            <w:tcW w:type="dxa" w:w="3200"/>
            <w:shd w:fill="E7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PhishGuard Enterprise (B2B)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CAC (custo de aquisição)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R$ 15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R$ 900 por conta</w:t>
            </w:r>
          </w:p>
        </w:tc>
      </w:tr>
      <w:tr>
        <w:tc>
          <w:tcPr>
            <w:tcW w:type="dxa" w:w="2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Tempo médio de permanência</w:t>
            </w:r>
          </w:p>
        </w:tc>
        <w:tc>
          <w:tcPr>
            <w:tcW w:type="dxa" w:w="32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20 meses (churn ~5%/mês)</w:t>
            </w:r>
          </w:p>
        </w:tc>
        <w:tc>
          <w:tcPr>
            <w:tcW w:type="dxa" w:w="32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50 meses (churn ~2%/mês)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LTV (valor no ciclo de vida)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R$ 174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≈ R$ 24.000</w:t>
            </w:r>
          </w:p>
        </w:tc>
      </w:tr>
      <w:tr>
        <w:tc>
          <w:tcPr>
            <w:tcW w:type="dxa" w:w="2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Relação LTV / CAC</w:t>
            </w:r>
          </w:p>
        </w:tc>
        <w:tc>
          <w:tcPr>
            <w:tcW w:type="dxa" w:w="32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≈ 11,6x</w:t>
            </w:r>
          </w:p>
        </w:tc>
        <w:tc>
          <w:tcPr>
            <w:tcW w:type="dxa" w:w="32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≈ 27x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Payback do CAC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&lt; 2 meses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≈ 2 meses</w:t>
            </w:r>
          </w:p>
        </w:tc>
      </w:tr>
    </w:tbl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2.2.7. Leitura dos resultados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margem de contribuição alta (88% no B2C e 96% no B2B) e o custo fixo baixo fazem o negócio escalar com pouco capital. O ponto de atenção não é a operação em si — que cobre seus custos já no terceiro mês —, e sim o ritmo de investimento em aquisição: é ele que mantém o caixa negativo até o Mês 4. A relação LTV/CAC saudável nos dois segmentos indica que aumentar o investimento em aquisição é seguro à medida que a retenção for confirmada com dados reais.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A5A"/>
          <w:sz w:val="30"/>
          <w:szCs w:val="30"/>
        </w:rPr>
        <w:t xml:space="preserve">3. Parte 3 – Protótipo Funcional de Alta Fidelidade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protótipo é funcional de ponta a ponta, com programação real no front-end e no back-end e banco de dados em nuvem. O fluxo completo já funciona: a extensão lê o e-mail no navegador, o servidor anonimiza e classifica o conteúdo em duas camadas, e os painéis exibem a telemetria agregada.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93B"/>
          <w:sz w:val="25"/>
          <w:szCs w:val="25"/>
        </w:rPr>
        <w:t xml:space="preserve">3.1. Front-end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Site comercial com webchat híbrido (atendimento e análise de risco).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Painel Personal (B2C): métricas individuais, histórico de proteção e selo de privacidade.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Painel SOC (B2B): domínios sob risco, exposição por colaborador (pseudônimo) e trilha de auditoria.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Simulador de WhatsApp e popup de configuração da extensão (abas Proteção, Privacidade e Conta).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Construído em HTML, CSS e JavaScript nativos, com identidade visual consistente. Conclusão: 100%.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93B"/>
          <w:sz w:val="25"/>
          <w:szCs w:val="25"/>
        </w:rPr>
        <w:t xml:space="preserve">3.2. Back-end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API construída em FastAPI, com operação assíncrona.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Camada 1: modelos Random Forest e XGBoost sobre representação TF-IDF do texto, servidos localmente.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Camada 2: análise contextual com Google Gemini, recebendo somente o texto já anonimizado.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Camada de resiliência (tempo-limite, novas tentativas e disjuntor) e middleware de segurança de rede.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Endpoints REST para a extensão, os painéis, o hub conversacional e a transparência de dados. Conclusão: 90%.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93B"/>
          <w:sz w:val="25"/>
          <w:szCs w:val="25"/>
        </w:rPr>
        <w:t xml:space="preserve">3.3. Banco de dados em nuvem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Azure Database for PostgreSQL, com esquema idempotente e pool de conexões.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Escrita assíncrona fora do caminho crítico: a lentidão eventual do banco não aumenta o tempo de resposta ao usuário.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Somente metadados agregados são persistidos; não há caminho de código que grave conteúdo do usuário. Conclusão: 85%.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93B"/>
          <w:sz w:val="25"/>
          <w:szCs w:val="25"/>
        </w:rPr>
        <w:t xml:space="preserve">3.4. Inteligência Artificial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Dupla checagem operacional, com fallback automático para a Camada 1 quando a Camada 2 está indisponível.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Modelos treinados sobre um conjunto de dados de phishing em português brasileiro construído pela equipe. Conclusão: 90%.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93B"/>
          <w:sz w:val="25"/>
          <w:szCs w:val="25"/>
        </w:rPr>
        <w:t xml:space="preserve">3.5. Extensão de navegador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Manifest V3, compatível com Chrome e Edge, atuando sobre Gmail e Outlook Web.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Service worker como proxy de rede, contornando a política de Private Network Access do navegador.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Banner de veredito injetado na tela de leitura e modal de transparência de dados. Conclusão: 95%.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93B"/>
          <w:sz w:val="25"/>
          <w:szCs w:val="25"/>
        </w:rPr>
        <w:t xml:space="preserve">3.6. Percentual de conclusão</w:t>
      </w:r>
    </w:p>
    <w:tbl>
      <w:tblPr>
        <w:tblW w:type="dxa" w:w="89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00"/>
        <w:gridCol w:w="1500"/>
        <w:gridCol w:w="4800"/>
      </w:tblGrid>
      <w:tr>
        <w:trPr>
          <w:tblHeader/>
        </w:trPr>
        <w:tc>
          <w:tcPr>
            <w:tcW w:type="dxa" w:w="2600"/>
            <w:shd w:fill="E7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Camada</w:t>
            </w:r>
          </w:p>
        </w:tc>
        <w:tc>
          <w:tcPr>
            <w:tcW w:type="dxa" w:w="1500"/>
            <w:shd w:fill="E7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Conclusão</w:t>
            </w:r>
          </w:p>
        </w:tc>
        <w:tc>
          <w:tcPr>
            <w:tcW w:type="dxa" w:w="4800"/>
            <w:shd w:fill="E7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O que falta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Front-end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Ajustes finos de conteúdo</w:t>
            </w:r>
          </w:p>
        </w:tc>
      </w:tr>
      <w:tr>
        <w:tc>
          <w:tcPr>
            <w:tcW w:type="dxa" w:w="2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Extensão de navegador</w:t>
            </w:r>
          </w:p>
        </w:tc>
        <w:tc>
          <w:tcPr>
            <w:tcW w:type="dxa" w:w="15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95%</w:t>
            </w:r>
          </w:p>
        </w:tc>
        <w:tc>
          <w:tcPr>
            <w:tcW w:type="dxa" w:w="48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Publicação nas lojas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Back-end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90%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Endurecimento do deploy e limitação de taxa</w:t>
            </w:r>
          </w:p>
        </w:tc>
      </w:tr>
      <w:tr>
        <w:tc>
          <w:tcPr>
            <w:tcW w:type="dxa" w:w="2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Inteligência Artificial / ML</w:t>
            </w:r>
          </w:p>
        </w:tc>
        <w:tc>
          <w:tcPr>
            <w:tcW w:type="dxa" w:w="15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90%</w:t>
            </w:r>
          </w:p>
        </w:tc>
        <w:tc>
          <w:tcPr>
            <w:tcW w:type="dxa" w:w="48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Novo ciclo de treino com dados reais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Banco de dados em nuvem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85%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Backup automatizado e observabilidade completa</w:t>
            </w:r>
          </w:p>
        </w:tc>
      </w:tr>
      <w:tr>
        <w:tc>
          <w:tcPr>
            <w:tcW w:type="dxa" w:w="2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Conclusão geral</w:t>
            </w:r>
          </w:p>
        </w:tc>
        <w:tc>
          <w:tcPr>
            <w:tcW w:type="dxa" w:w="15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≈ 90%</w:t>
            </w:r>
          </w:p>
        </w:tc>
        <w:tc>
          <w:tcPr>
            <w:tcW w:type="dxa" w:w="48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nível de maturidade atende com folga o mínimo de 80% previsto para esta fase e cria base para as entregas de TCC e do Enterprise Challenge nas fases seguintes.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E293B"/>
          <w:sz w:val="25"/>
          <w:szCs w:val="25"/>
        </w:rPr>
        <w:t xml:space="preserve">3.7. Próximos passos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Publicar a extensão na Chrome Web Store e no Edge Add-ons.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Automatizar backup e rotação de credenciais e ampliar a observabilidade.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Rodar um novo ciclo de treinamento dos modelos com dados coletados em operação real.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Executar testes de carga e um piloto controlado com empresas parceiras.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A5A"/>
          <w:sz w:val="30"/>
          <w:szCs w:val="30"/>
        </w:rPr>
        <w:t xml:space="preserve">4. Considerações Finais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PhishGuard consolidou, nesta fase, os três pilares que sustentam a tese do negócio: um produto que funciona ponta a ponta, uma estratégia de mercado com dois segmentos claros e uma análise financeira que mostra viabilidade com pouco capital. O diferencial competitivo — proteção contra phishing sem abrir mão da privacidade — deixou de ser um discurso e passou a ser uma propriedade verificável da arquitetura. As próximas fases concentram-se em levar o protótipo à operação real e em confirmar, com dados, as premissas de retenção usadas nas projeções.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A5A"/>
          <w:sz w:val="30"/>
          <w:szCs w:val="30"/>
        </w:rPr>
        <w:t xml:space="preserve">5. Links e Entregáveis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Repositório de código (GitHub): </w:t>
      </w:r>
      <w:r>
        <w:rPr>
          <w:rFonts w:ascii="Calibri" w:cs="Calibri" w:eastAsia="Calibri" w:hAnsi="Calibri"/>
          <w:sz w:val="22"/>
          <w:szCs w:val="22"/>
        </w:rPr>
        <w:t xml:space="preserve">https://github.com/eduardoicosta/PhishGuard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Vídeo do pitch (YouTube, não listado): </w:t>
      </w:r>
      <w:r>
        <w:rPr>
          <w:rFonts w:ascii="Calibri" w:cs="Calibri" w:eastAsia="Calibri" w:hAnsi="Calibri"/>
          <w:color w:val="475569"/>
          <w:sz w:val="22"/>
          <w:szCs w:val="22"/>
        </w:rPr>
        <w:t xml:space="preserve">[ inserir link do vídeo ]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Apresentação de slides (pitch): </w:t>
      </w:r>
      <w:r>
        <w:rPr>
          <w:rFonts w:ascii="Calibri" w:cs="Calibri" w:eastAsia="Calibri" w:hAnsi="Calibri"/>
          <w:sz w:val="22"/>
          <w:szCs w:val="22"/>
        </w:rPr>
        <w:t xml:space="preserve">PhishGuard_Pitch_StartupOne.pdf (exportado do arquivo .pptx entregue).</w:t>
      </w:r>
    </w:p>
    <w:p>
      <w:pPr>
        <w:pStyle w:val="ListParagraph"/>
        <w:numPr>
          <w:ilvl w:val="0"/>
          <w:numId w:val="1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Este documento: </w:t>
      </w:r>
      <w:r>
        <w:rPr>
          <w:rFonts w:ascii="Calibri" w:cs="Calibri" w:eastAsia="Calibri" w:hAnsi="Calibri"/>
          <w:sz w:val="22"/>
          <w:szCs w:val="22"/>
        </w:rPr>
        <w:t xml:space="preserve">PhishGuard_Documento_Fase5.pdf.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Observação: todos os arquivos devem ser reunidos em uma única pasta e compactados em .ZIP para envio na plataforma FIAP ON, com o link do vídeo também registrado neste documento e na apresentação.</w:t>
      </w:r>
    </w:p>
    <w:sectPr>
      <w:footerReference w:type="default" r:id="rId7"/>
      <w:pgSz w:w="11906" w:h="16838" w:orient="portrait"/>
      <w:pgMar w:top="1440" w:right="140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75569"/>
        <w:sz w:val="16"/>
        <w:szCs w:val="16"/>
      </w:rPr>
      <w:t xml:space="preserve">PhishGuard – Startup One – Fase 5    |  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PhishGuard – Documento Fase 5</dc:title>
  <dc:creator>Startup One</dc:creator>
  <dc:description>Versão atual do projeto, estratégia de mercado, viabilidade financeira e protótipo funcional de alta fidelidade.</dc:description>
  <cp:lastModifiedBy>Un-named</cp:lastModifiedBy>
  <cp:revision>1</cp:revision>
  <dcterms:created xsi:type="dcterms:W3CDTF">2026-09-02T22:22:23.177Z</dcterms:created>
  <dcterms:modified xsi:type="dcterms:W3CDTF">2026-09-02T22:22:23.181Z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