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Backlog – SEND To-Be</w:t>
      </w:r>
    </w:p>
    <w:p>
      <w:pPr>
        <w:pStyle w:val="Heading2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FASE 1 – Evolução do SEND para aceitar veículos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Descrição:</w:t>
      </w:r>
    </w:p>
    <w:p>
      <w:pPr>
        <w:pStyle w:val="BodyText"/>
        <w:bidi w:val="0"/>
        <w:jc w:val="start"/>
        <w:rPr/>
      </w:pPr>
      <w:r>
        <w:rPr>
          <w:rFonts w:ascii="Arial" w:hAnsi="Arial"/>
          <w:sz w:val="20"/>
          <w:szCs w:val="20"/>
        </w:rPr>
        <w:t xml:space="preserve">Evoluir o SEND para processar contratos de alienação de </w:t>
      </w:r>
      <w:r>
        <w:rPr>
          <w:rStyle w:val="Strong"/>
          <w:rFonts w:ascii="Arial" w:hAnsi="Arial"/>
          <w:sz w:val="20"/>
          <w:szCs w:val="20"/>
        </w:rPr>
        <w:t>veículos</w:t>
      </w:r>
      <w:r>
        <w:rPr>
          <w:rFonts w:ascii="Arial" w:hAnsi="Arial"/>
          <w:sz w:val="20"/>
          <w:szCs w:val="20"/>
        </w:rPr>
        <w:t xml:space="preserve"> além de consórcio, incluindo fluxo de tratamento de documentos não encontrados (24h) e integração com Kafka para eventos.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Título: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sz w:val="20"/>
          <w:szCs w:val="20"/>
        </w:rPr>
        <w:t>SEND – Fase 1: Inclusão de veículos e tratamento not found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História de Usuário: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sz w:val="20"/>
          <w:szCs w:val="20"/>
        </w:rPr>
        <w:t>[Como]</w:t>
      </w:r>
      <w:r>
        <w:rPr>
          <w:rFonts w:ascii="Arial" w:hAnsi="Arial"/>
          <w:sz w:val="20"/>
          <w:szCs w:val="20"/>
        </w:rPr>
        <w:t xml:space="preserve"> analista de integração de gravames</w:t>
        <w:br/>
      </w:r>
      <w:r>
        <w:rPr>
          <w:rStyle w:val="Strong"/>
          <w:rFonts w:ascii="Arial" w:hAnsi="Arial"/>
          <w:sz w:val="20"/>
          <w:szCs w:val="20"/>
        </w:rPr>
        <w:t>[Quero]</w:t>
      </w:r>
      <w:r>
        <w:rPr>
          <w:rFonts w:ascii="Arial" w:hAnsi="Arial"/>
          <w:sz w:val="20"/>
          <w:szCs w:val="20"/>
        </w:rPr>
        <w:t xml:space="preserve"> que o SEND aceite e processe também contratos de alienação de veículos</w:t>
        <w:br/>
      </w:r>
      <w:r>
        <w:rPr>
          <w:rStyle w:val="Strong"/>
          <w:rFonts w:ascii="Arial" w:hAnsi="Arial"/>
          <w:sz w:val="20"/>
          <w:szCs w:val="20"/>
        </w:rPr>
        <w:t>[Para]</w:t>
      </w:r>
      <w:r>
        <w:rPr>
          <w:rFonts w:ascii="Arial" w:hAnsi="Arial"/>
          <w:sz w:val="20"/>
          <w:szCs w:val="20"/>
        </w:rPr>
        <w:t xml:space="preserve"> reduzir manualidade e riscos, ampliando cobertura da automação.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Narrativa de negócio:</w:t>
      </w:r>
    </w:p>
    <w:p>
      <w:pPr>
        <w:pStyle w:val="BodyText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Hoje os analistas só têm processo automatizado para consórcio. Para veículos, é necessário fazer tratamento manual. Com a evolução, os veículos passam a ser aceitos pelo SEND, mantendo compatibilidade com consórcio, e eventos de documentos não encontrados são publicados em Kafka.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Fluxo: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API Gravames de Veículos recebe solicitação.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  <w:rFonts w:ascii="Arial" w:hAnsi="Arial"/>
          <w:sz w:val="20"/>
          <w:szCs w:val="20"/>
        </w:rPr>
        <w:t>processar-inclusao-gravame-lambda-function</w:t>
      </w:r>
      <w:r>
        <w:rPr>
          <w:rFonts w:ascii="Arial" w:hAnsi="Arial"/>
          <w:sz w:val="20"/>
          <w:szCs w:val="20"/>
        </w:rPr>
        <w:t xml:space="preserve"> inicia o fluxo.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Payload enviado para </w:t>
      </w:r>
      <w:r>
        <w:rPr>
          <w:rStyle w:val="Cdigo-fonte"/>
          <w:rFonts w:ascii="Arial" w:hAnsi="Arial"/>
          <w:sz w:val="20"/>
          <w:szCs w:val="20"/>
        </w:rPr>
        <w:t>processamento-envio-contrato-alienacao-queue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  <w:rFonts w:ascii="Arial" w:hAnsi="Arial"/>
          <w:sz w:val="20"/>
          <w:szCs w:val="20"/>
        </w:rPr>
        <w:t>preca-processar-envio-contrato-alienacao-lambda-function</w:t>
      </w:r>
      <w:r>
        <w:rPr>
          <w:rFonts w:ascii="Arial" w:hAnsi="Arial"/>
          <w:sz w:val="20"/>
          <w:szCs w:val="20"/>
        </w:rPr>
        <w:t xml:space="preserve"> executa normalização.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Documento encontrado → base64-di4-file → </w:t>
      </w:r>
      <w:r>
        <w:rPr>
          <w:rStyle w:val="Cdigo-fonte"/>
          <w:rFonts w:ascii="Arial" w:hAnsi="Arial"/>
          <w:sz w:val="20"/>
          <w:szCs w:val="20"/>
        </w:rPr>
        <w:t>envca-enviar-contrato-alienacao-lambda-function</w:t>
      </w:r>
      <w:r>
        <w:rPr>
          <w:rFonts w:ascii="Arial" w:hAnsi="Arial"/>
          <w:sz w:val="20"/>
          <w:szCs w:val="20"/>
        </w:rPr>
        <w:t xml:space="preserve"> → B3-SEND/BitOne.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Documento não encontrado → </w:t>
      </w:r>
      <w:r>
        <w:rPr>
          <w:rStyle w:val="Cdigo-fonte"/>
          <w:rFonts w:ascii="Arial" w:hAnsi="Arial"/>
          <w:sz w:val="20"/>
          <w:szCs w:val="20"/>
        </w:rPr>
        <w:t>doc-notfound-handler</w:t>
      </w:r>
      <w:r>
        <w:rPr>
          <w:rFonts w:ascii="Arial" w:hAnsi="Arial"/>
          <w:sz w:val="20"/>
          <w:szCs w:val="20"/>
        </w:rPr>
        <w:t xml:space="preserve"> → </w:t>
      </w:r>
      <w:r>
        <w:rPr>
          <w:rStyle w:val="Cdigo-fonte"/>
          <w:rFonts w:ascii="Arial" w:hAnsi="Arial"/>
          <w:sz w:val="20"/>
          <w:szCs w:val="20"/>
        </w:rPr>
        <w:t>fifo-doc-not-found-event</w:t>
      </w:r>
      <w:r>
        <w:rPr>
          <w:rFonts w:ascii="Arial" w:hAnsi="Arial"/>
          <w:sz w:val="20"/>
          <w:szCs w:val="20"/>
        </w:rPr>
        <w:t xml:space="preserve"> (delay 2h) → </w:t>
      </w:r>
      <w:r>
        <w:rPr>
          <w:rStyle w:val="Cdigo-fonte"/>
          <w:rFonts w:ascii="Arial" w:hAnsi="Arial"/>
          <w:sz w:val="20"/>
          <w:szCs w:val="20"/>
        </w:rPr>
        <w:t>di4-notfound-error-handler</w:t>
      </w:r>
      <w:r>
        <w:rPr>
          <w:rFonts w:ascii="Arial" w:hAnsi="Arial"/>
          <w:sz w:val="20"/>
          <w:szCs w:val="20"/>
        </w:rPr>
        <w:t xml:space="preserve"> → </w:t>
      </w:r>
      <w:r>
        <w:rPr>
          <w:rStyle w:val="Cdigo-fonte"/>
          <w:rFonts w:ascii="Arial" w:hAnsi="Arial"/>
          <w:sz w:val="20"/>
          <w:szCs w:val="20"/>
        </w:rPr>
        <w:t>dlq-not-found</w:t>
      </w:r>
      <w:r>
        <w:rPr>
          <w:rFonts w:ascii="Arial" w:hAnsi="Arial"/>
          <w:sz w:val="20"/>
          <w:szCs w:val="20"/>
        </w:rPr>
        <w:t xml:space="preserve"> ou Kafka (</w:t>
      </w:r>
      <w:r>
        <w:rPr>
          <w:rStyle w:val="Cdigo-fonte"/>
          <w:rFonts w:ascii="Arial" w:hAnsi="Arial"/>
          <w:sz w:val="20"/>
          <w:szCs w:val="20"/>
        </w:rPr>
        <w:t>highway-topic-veiculo-doc-notfound</w:t>
      </w:r>
      <w:r>
        <w:rPr>
          <w:rFonts w:ascii="Arial" w:hAnsi="Arial"/>
          <w:sz w:val="20"/>
          <w:szCs w:val="20"/>
        </w:rPr>
        <w:t>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>Documentos enviados com sucesso → Kafka (</w:t>
      </w:r>
      <w:r>
        <w:rPr>
          <w:rStyle w:val="Cdigo-fonte"/>
          <w:rFonts w:ascii="Arial" w:hAnsi="Arial"/>
          <w:sz w:val="20"/>
          <w:szCs w:val="20"/>
        </w:rPr>
        <w:t>highway-topic-veiculos-docs-enviados-sucesso-B3Send</w:t>
      </w:r>
      <w:r>
        <w:rPr>
          <w:rFonts w:ascii="Arial" w:hAnsi="Arial"/>
          <w:sz w:val="20"/>
          <w:szCs w:val="20"/>
        </w:rPr>
        <w:t>).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Impactos esperados: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deixa de ignorar veículos.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Redução da carga manual de analistas.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Publicação de eventos de erro em Kafka para rastreabilidade.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Premissas de desenvolvimento: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Usar Lambdas, SQS, SNS, Kafka (AWS managed services).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Não quebrar fluxo de consórcio.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Garantir compatibilidade com B3-SEND e BitOne.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Regras de Negócio: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RN1:</w:t>
      </w:r>
      <w:r>
        <w:rPr>
          <w:rFonts w:ascii="Arial" w:hAnsi="Arial"/>
          <w:sz w:val="20"/>
          <w:szCs w:val="20"/>
        </w:rPr>
        <w:t xml:space="preserve"> Documentos de veículos devem ser aceitos no SEND.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RN2:</w:t>
      </w:r>
      <w:r>
        <w:rPr>
          <w:rFonts w:ascii="Arial" w:hAnsi="Arial"/>
          <w:sz w:val="20"/>
          <w:szCs w:val="20"/>
        </w:rPr>
        <w:t xml:space="preserve"> Documentos não encontrados em 24h → Kafka </w:t>
      </w:r>
      <w:r>
        <w:rPr>
          <w:rStyle w:val="Cdigo-fonte"/>
          <w:rFonts w:ascii="Arial" w:hAnsi="Arial"/>
          <w:sz w:val="20"/>
          <w:szCs w:val="20"/>
        </w:rPr>
        <w:t>highway-topic-veiculo-doc-notfound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RN3:</w:t>
      </w:r>
      <w:r>
        <w:rPr>
          <w:rFonts w:ascii="Arial" w:hAnsi="Arial"/>
          <w:sz w:val="20"/>
          <w:szCs w:val="20"/>
        </w:rPr>
        <w:t xml:space="preserve"> Documentos encontrados → enviados via B3-SEND/BitOne.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RN4:</w:t>
      </w:r>
      <w:r>
        <w:rPr>
          <w:rFonts w:ascii="Arial" w:hAnsi="Arial"/>
          <w:sz w:val="20"/>
          <w:szCs w:val="20"/>
        </w:rPr>
        <w:t xml:space="preserve"> Funções devem manter compatibilidade com consórcio.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RN5:</w:t>
      </w:r>
      <w:r>
        <w:rPr>
          <w:rFonts w:ascii="Arial" w:hAnsi="Arial"/>
          <w:sz w:val="20"/>
          <w:szCs w:val="20"/>
        </w:rPr>
        <w:t xml:space="preserve"> Logs e métricas segregam veículos x consórcio.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Critérios de Aceite: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CA1: Payload de veículos é aceito e processado corretamente.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CA2: Documentos não encontrados em 24h → evento Kafka.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CA3: Documentos encontrados são enviados via B3-SEND/BitOne.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CA4: Logs diferenciam consórcio e veículos.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Funcionais: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RF1: Evoluir </w:t>
      </w:r>
      <w:r>
        <w:rPr>
          <w:rStyle w:val="Cdigo-fonte"/>
          <w:rFonts w:ascii="Arial" w:hAnsi="Arial"/>
          <w:sz w:val="20"/>
          <w:szCs w:val="20"/>
        </w:rPr>
        <w:t>preca-...</w:t>
      </w:r>
      <w:r>
        <w:rPr>
          <w:rFonts w:ascii="Arial" w:hAnsi="Arial"/>
          <w:sz w:val="20"/>
          <w:szCs w:val="20"/>
        </w:rPr>
        <w:t xml:space="preserve"> e </w:t>
      </w:r>
      <w:r>
        <w:rPr>
          <w:rStyle w:val="Cdigo-fonte"/>
          <w:rFonts w:ascii="Arial" w:hAnsi="Arial"/>
          <w:sz w:val="20"/>
          <w:szCs w:val="20"/>
        </w:rPr>
        <w:t>envca-...</w:t>
      </w:r>
      <w:r>
        <w:rPr>
          <w:rFonts w:ascii="Arial" w:hAnsi="Arial"/>
          <w:sz w:val="20"/>
          <w:szCs w:val="20"/>
        </w:rPr>
        <w:t xml:space="preserve"> para veículos.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RF2: Criar </w:t>
      </w:r>
      <w:r>
        <w:rPr>
          <w:rStyle w:val="Cdigo-fonte"/>
          <w:rFonts w:ascii="Arial" w:hAnsi="Arial"/>
          <w:sz w:val="20"/>
          <w:szCs w:val="20"/>
        </w:rPr>
        <w:t>doc-notfound-handler</w:t>
      </w:r>
      <w:r>
        <w:rPr>
          <w:rFonts w:ascii="Arial" w:hAnsi="Arial"/>
          <w:sz w:val="20"/>
          <w:szCs w:val="20"/>
        </w:rPr>
        <w:t xml:space="preserve"> e </w:t>
      </w:r>
      <w:r>
        <w:rPr>
          <w:rStyle w:val="Cdigo-fonte"/>
          <w:rFonts w:ascii="Arial" w:hAnsi="Arial"/>
          <w:sz w:val="20"/>
          <w:szCs w:val="20"/>
        </w:rPr>
        <w:t>di4-notfound-error-handler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RF3: Implementar filas </w:t>
      </w:r>
      <w:r>
        <w:rPr>
          <w:rStyle w:val="Cdigo-fonte"/>
          <w:rFonts w:ascii="Arial" w:hAnsi="Arial"/>
          <w:sz w:val="20"/>
          <w:szCs w:val="20"/>
        </w:rPr>
        <w:t>fifo-doc-not-found-event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dlq-not-found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RF4: Publicar eventos Kafka de erro e sucesso.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Não Funcionais: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RNF1: Performance equivalente ao fluxo consórcio.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RNF2: Confiabilidade ≥ 99,5%.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RNF3: Observabilidade separada por domínio.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RNF4: Segurança: logs sem PII.</w:t>
      </w:r>
    </w:p>
    <w:p>
      <w:pPr>
        <w:pStyle w:val="Heading2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🔹 </w:t>
      </w:r>
      <w:r>
        <w:rPr>
          <w:rFonts w:ascii="Arial" w:hAnsi="Arial"/>
          <w:sz w:val="20"/>
          <w:szCs w:val="20"/>
        </w:rPr>
        <w:t>FASE 2 – Governança via Feature Toggle e rollout seguro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Descrição:</w:t>
      </w:r>
    </w:p>
    <w:p>
      <w:pPr>
        <w:pStyle w:val="BodyText"/>
        <w:bidi w:val="0"/>
        <w:jc w:val="start"/>
        <w:rPr/>
      </w:pPr>
      <w:r>
        <w:rPr>
          <w:rFonts w:ascii="Arial" w:hAnsi="Arial"/>
          <w:sz w:val="20"/>
          <w:szCs w:val="20"/>
        </w:rPr>
        <w:t xml:space="preserve">Incluir camada de </w:t>
      </w:r>
      <w:r>
        <w:rPr>
          <w:rStyle w:val="Strong"/>
          <w:rFonts w:ascii="Arial" w:hAnsi="Arial"/>
          <w:sz w:val="20"/>
          <w:szCs w:val="20"/>
        </w:rPr>
        <w:t>Feature Toggle</w:t>
      </w:r>
      <w:r>
        <w:rPr>
          <w:rFonts w:ascii="Arial" w:hAnsi="Arial"/>
          <w:sz w:val="20"/>
          <w:szCs w:val="20"/>
        </w:rPr>
        <w:t xml:space="preserve"> (Portal Manager → sync → quickconfig-cluster → cache-parametros), permitindo rollout gradual de veículos sem impactar consórcio, com fallback seguro e alta cadência (~400k execuções/dia).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Título: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sz w:val="20"/>
          <w:szCs w:val="20"/>
        </w:rPr>
        <w:t>SEND – Fase 2: Feature Toggle, Cache e Governança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História de Usuário: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sz w:val="20"/>
          <w:szCs w:val="20"/>
        </w:rPr>
        <w:t>[Como]</w:t>
      </w:r>
      <w:r>
        <w:rPr>
          <w:rFonts w:ascii="Arial" w:hAnsi="Arial"/>
          <w:sz w:val="20"/>
          <w:szCs w:val="20"/>
        </w:rPr>
        <w:t xml:space="preserve"> analista de integração de gravames</w:t>
        <w:br/>
      </w:r>
      <w:r>
        <w:rPr>
          <w:rStyle w:val="Strong"/>
          <w:rFonts w:ascii="Arial" w:hAnsi="Arial"/>
          <w:sz w:val="20"/>
          <w:szCs w:val="20"/>
        </w:rPr>
        <w:t>[Quero]</w:t>
      </w:r>
      <w:r>
        <w:rPr>
          <w:rFonts w:ascii="Arial" w:hAnsi="Arial"/>
          <w:sz w:val="20"/>
          <w:szCs w:val="20"/>
        </w:rPr>
        <w:t xml:space="preserve"> habilitar/desabilitar o processamento de veículos via Portal Manager (Feature Toggle)</w:t>
        <w:br/>
      </w:r>
      <w:r>
        <w:rPr>
          <w:rStyle w:val="Strong"/>
          <w:rFonts w:ascii="Arial" w:hAnsi="Arial"/>
          <w:sz w:val="20"/>
          <w:szCs w:val="20"/>
        </w:rPr>
        <w:t>[Para]</w:t>
      </w:r>
      <w:r>
        <w:rPr>
          <w:rFonts w:ascii="Arial" w:hAnsi="Arial"/>
          <w:sz w:val="20"/>
          <w:szCs w:val="20"/>
        </w:rPr>
        <w:t xml:space="preserve"> controlar rollout de forma segura sem impactar o consórcio.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Narrativa de negócio:</w:t>
      </w:r>
    </w:p>
    <w:p>
      <w:pPr>
        <w:pStyle w:val="BodyText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Hoje o SEND processa consórcio e, com a Fase 1, passa a processar veículos. Porém, é necessário controlar a ativação via Feature Toggle, garantindo rollback rápido e rollout gradual em ambientes DEV/HML/PRD.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Fluxo: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Analista altera toggle no Portal Manager.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Serviço </w:t>
      </w:r>
      <w:r>
        <w:rPr>
          <w:rStyle w:val="Cdigo-fonte"/>
          <w:rFonts w:ascii="Arial" w:hAnsi="Arial"/>
          <w:sz w:val="20"/>
          <w:szCs w:val="20"/>
        </w:rPr>
        <w:t>sincroniza-valores-cadastrados</w:t>
      </w:r>
      <w:r>
        <w:rPr>
          <w:rFonts w:ascii="Arial" w:hAnsi="Arial"/>
          <w:sz w:val="20"/>
          <w:szCs w:val="20"/>
        </w:rPr>
        <w:t xml:space="preserve"> atualiza </w:t>
      </w:r>
      <w:r>
        <w:rPr>
          <w:rStyle w:val="Cdigo-fonte"/>
          <w:rFonts w:ascii="Arial" w:hAnsi="Arial"/>
          <w:sz w:val="20"/>
          <w:szCs w:val="20"/>
        </w:rPr>
        <w:t>quickconfig-cluster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  <w:rFonts w:ascii="Arial" w:hAnsi="Arial"/>
          <w:sz w:val="20"/>
          <w:szCs w:val="20"/>
        </w:rPr>
        <w:t>quickconfig-cluster</w:t>
      </w:r>
      <w:r>
        <w:rPr>
          <w:rFonts w:ascii="Arial" w:hAnsi="Arial"/>
          <w:sz w:val="20"/>
          <w:szCs w:val="20"/>
        </w:rPr>
        <w:t xml:space="preserve"> propaga valores para </w:t>
      </w:r>
      <w:r>
        <w:rPr>
          <w:rStyle w:val="Cdigo-fonte"/>
          <w:rFonts w:ascii="Arial" w:hAnsi="Arial"/>
          <w:sz w:val="20"/>
          <w:szCs w:val="20"/>
        </w:rPr>
        <w:t>cache-parametros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>Lambdas (</w:t>
      </w:r>
      <w:r>
        <w:rPr>
          <w:rStyle w:val="Cdigo-fonte"/>
          <w:rFonts w:ascii="Arial" w:hAnsi="Arial"/>
          <w:sz w:val="20"/>
          <w:szCs w:val="20"/>
        </w:rPr>
        <w:t>processar-inclusao-gravame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preca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envca</w:t>
      </w:r>
      <w:r>
        <w:rPr>
          <w:rFonts w:ascii="Arial" w:hAnsi="Arial"/>
          <w:sz w:val="20"/>
          <w:szCs w:val="20"/>
        </w:rPr>
        <w:t>) consultam cache antes de processar veículos.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 toggle ativo → veículos processados normalmente.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 toggle inativo → veículos ignorados (fluxo consórcio segue inalterado).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Impactos esperados: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Controle granular de rollout.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Rollback rápido via toggle.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Segurança para ativação em ambientes separados.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Premissas de desenvolvimento: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Integração Portal Manager ↔ sync ↔ quickconfig ↔ cache.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Toggle auditável e propagação em ≤ 60s.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Fallback: em falha, veículos ficam desativados.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Regras de Negócio: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RN1:</w:t>
      </w:r>
      <w:r>
        <w:rPr>
          <w:rFonts w:ascii="Arial" w:hAnsi="Arial"/>
          <w:sz w:val="20"/>
          <w:szCs w:val="20"/>
        </w:rPr>
        <w:t xml:space="preserve"> Veículos só processados se toggle ativo.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RN2:</w:t>
      </w:r>
      <w:r>
        <w:rPr>
          <w:rFonts w:ascii="Arial" w:hAnsi="Arial"/>
          <w:sz w:val="20"/>
          <w:szCs w:val="20"/>
        </w:rPr>
        <w:t xml:space="preserve"> Se cache indisponível → fallback = veículos desativados.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RN3:</w:t>
      </w:r>
      <w:r>
        <w:rPr>
          <w:rFonts w:ascii="Arial" w:hAnsi="Arial"/>
          <w:sz w:val="20"/>
          <w:szCs w:val="20"/>
        </w:rPr>
        <w:t xml:space="preserve"> Alterações do Portal Manager refletem no cache em ≤ 60s.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RN4:</w:t>
      </w:r>
      <w:r>
        <w:rPr>
          <w:rFonts w:ascii="Arial" w:hAnsi="Arial"/>
          <w:sz w:val="20"/>
          <w:szCs w:val="20"/>
        </w:rPr>
        <w:t xml:space="preserve"> Toggles devem suportar granularidade (ambiente, UF, tipo de veículo).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RN5:</w:t>
      </w:r>
      <w:r>
        <w:rPr>
          <w:rFonts w:ascii="Arial" w:hAnsi="Arial"/>
          <w:sz w:val="20"/>
          <w:szCs w:val="20"/>
        </w:rPr>
        <w:t xml:space="preserve"> Telemetria deve diferenciar tráfego consórcio x veículos.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Critérios de Aceite: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CA1: Com toggle </w:t>
      </w:r>
      <w:r>
        <w:rPr>
          <w:rStyle w:val="Cdigo-fonte"/>
          <w:rFonts w:ascii="Arial" w:hAnsi="Arial"/>
          <w:sz w:val="20"/>
          <w:szCs w:val="20"/>
        </w:rPr>
        <w:t>false</w:t>
      </w:r>
      <w:r>
        <w:rPr>
          <w:rFonts w:ascii="Arial" w:hAnsi="Arial"/>
          <w:sz w:val="20"/>
          <w:szCs w:val="20"/>
        </w:rPr>
        <w:t>, veículos ignorados, consórcio inalterado.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CA2: Com toggle </w:t>
      </w:r>
      <w:r>
        <w:rPr>
          <w:rStyle w:val="Cdigo-fonte"/>
          <w:rFonts w:ascii="Arial" w:hAnsi="Arial"/>
          <w:sz w:val="20"/>
          <w:szCs w:val="20"/>
        </w:rPr>
        <w:t>true</w:t>
      </w:r>
      <w:r>
        <w:rPr>
          <w:rFonts w:ascii="Arial" w:hAnsi="Arial"/>
          <w:sz w:val="20"/>
          <w:szCs w:val="20"/>
        </w:rPr>
        <w:t>, veículos processados e enviados.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CA3: Alterações no Portal Manager propagam em ≤ 60s.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CA4: Rollback via toggle corta tráfego de veículos em ≤ 60s.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CA5: Latência p95 mantida ≤ baseline+5% mesmo em 400k execuções/dia.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Funcionais: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RF1: Implementar integração Portal Manager ↔ sync ↔ quickconfig ↔ cache.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>RF2: Adaptar lambdas (</w:t>
      </w:r>
      <w:r>
        <w:rPr>
          <w:rStyle w:val="Cdigo-fonte"/>
          <w:rFonts w:ascii="Arial" w:hAnsi="Arial"/>
          <w:sz w:val="20"/>
          <w:szCs w:val="20"/>
        </w:rPr>
        <w:t>processar-inclusao-gravame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preca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envca</w:t>
      </w:r>
      <w:r>
        <w:rPr>
          <w:rFonts w:ascii="Arial" w:hAnsi="Arial"/>
          <w:sz w:val="20"/>
          <w:szCs w:val="20"/>
        </w:rPr>
        <w:t>) para checar toggle.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RF3: Criar governança de toggles (nomenclatura, granularidade).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RF4: Dashboards segregados por consórcio x veículos.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Não Funcionais: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RNF1: Rollout/rollback ≤ 60s.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RNF2: Confiabilidade ≥ 99,5% mesmo sob 400k execuções/dia.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RNF3: Segurança: toggles auditáveis e RBAC no Portal Manager.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RNF4: Escalabilidade: cache com baixa latência e fallback seguro.</w:t>
      </w:r>
    </w:p>
    <w:p>
      <w:pPr>
        <w:pStyle w:val="Heading1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Backlog SEND To-Be – Estrutura Jira</w:t>
      </w:r>
    </w:p>
    <w:p>
      <w:pPr>
        <w:pStyle w:val="Heading2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EPIC 1 – FASE 1: Evolução do SEND para veículos</w:t>
      </w:r>
    </w:p>
    <w:p>
      <w:pPr>
        <w:pStyle w:val="Heading3"/>
        <w:bidi w:val="0"/>
        <w:jc w:val="start"/>
        <w:rPr/>
      </w:pPr>
      <w:r>
        <w:rPr>
          <w:rFonts w:ascii="Arial" w:hAnsi="Arial"/>
          <w:sz w:val="20"/>
          <w:szCs w:val="20"/>
        </w:rPr>
        <w:t xml:space="preserve">Story 1.1 – Adequar </w:t>
      </w:r>
      <w:r>
        <w:rPr>
          <w:rStyle w:val="Cdigo-fonte"/>
          <w:rFonts w:ascii="Arial" w:hAnsi="Arial"/>
          <w:sz w:val="20"/>
          <w:szCs w:val="20"/>
        </w:rPr>
        <w:t>preca-processar-envio-contrato-alienacao-lambda-function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Descrição</w:t>
      </w:r>
      <w:r>
        <w:rPr>
          <w:rFonts w:ascii="Arial" w:hAnsi="Arial"/>
          <w:sz w:val="20"/>
          <w:szCs w:val="20"/>
        </w:rPr>
        <w:t>: Adaptar função para processar também veículos além de consórcio.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Tasks</w:t>
      </w:r>
      <w:r>
        <w:rPr>
          <w:rFonts w:ascii="Arial" w:hAnsi="Arial"/>
          <w:sz w:val="20"/>
          <w:szCs w:val="20"/>
        </w:rPr>
        <w:t>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Implementar branch de fluxo para veículos.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Normalizar payloads (chassi, RENAVAM, placa, UF).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Garantir idempotência e DLQ para erros.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Testes unitários (TDD).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Testes de integração (com filas).</w:t>
      </w:r>
    </w:p>
    <w:p>
      <w:pPr>
        <w:pStyle w:val="Heading3"/>
        <w:bidi w:val="0"/>
        <w:jc w:val="start"/>
        <w:rPr/>
      </w:pPr>
      <w:r>
        <w:rPr>
          <w:rFonts w:ascii="Arial" w:hAnsi="Arial"/>
          <w:sz w:val="20"/>
          <w:szCs w:val="20"/>
        </w:rPr>
        <w:t xml:space="preserve">Story 1.2 – Adequar </w:t>
      </w:r>
      <w:r>
        <w:rPr>
          <w:rStyle w:val="Cdigo-fonte"/>
          <w:rFonts w:ascii="Arial" w:hAnsi="Arial"/>
          <w:sz w:val="20"/>
          <w:szCs w:val="20"/>
        </w:rPr>
        <w:t>envca-enviar-contrato-alienacao-lambda-function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Descrição</w:t>
      </w:r>
      <w:r>
        <w:rPr>
          <w:rFonts w:ascii="Arial" w:hAnsi="Arial"/>
          <w:sz w:val="20"/>
          <w:szCs w:val="20"/>
        </w:rPr>
        <w:t>: Adaptar envio para suportar veículos, B3-SEND e BitOne.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Tasks</w:t>
      </w:r>
      <w:r>
        <w:rPr>
          <w:rFonts w:ascii="Arial" w:hAnsi="Arial"/>
          <w:sz w:val="20"/>
          <w:szCs w:val="20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Implementar mapeamento de schemas (base64-di4-file).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Criar switch entre consórcio x veículos.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Configurar autenticação separada por domínio.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Testes unitários e contratuais.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Story 1.3 – Criar tratamento de documentos não encontrados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Descrição</w:t>
      </w:r>
      <w:r>
        <w:rPr>
          <w:rFonts w:ascii="Arial" w:hAnsi="Arial"/>
          <w:sz w:val="20"/>
          <w:szCs w:val="20"/>
        </w:rPr>
        <w:t>: Implementar handlers para fluxos de erro de 24h.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Tasks</w:t>
      </w:r>
      <w:r>
        <w:rPr>
          <w:rFonts w:ascii="Arial" w:hAnsi="Arial"/>
          <w:sz w:val="20"/>
          <w:szCs w:val="20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Arial" w:hAnsi="Arial"/>
          <w:sz w:val="20"/>
          <w:szCs w:val="20"/>
        </w:rPr>
        <w:t xml:space="preserve">Criar </w:t>
      </w:r>
      <w:r>
        <w:rPr>
          <w:rStyle w:val="Cdigo-fonte"/>
          <w:rFonts w:ascii="Arial" w:hAnsi="Arial"/>
          <w:sz w:val="20"/>
          <w:szCs w:val="20"/>
        </w:rPr>
        <w:t>doc-notfound-handler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Arial" w:hAnsi="Arial"/>
          <w:sz w:val="20"/>
          <w:szCs w:val="20"/>
        </w:rPr>
        <w:t xml:space="preserve">Criar </w:t>
      </w:r>
      <w:r>
        <w:rPr>
          <w:rStyle w:val="Cdigo-fonte"/>
          <w:rFonts w:ascii="Arial" w:hAnsi="Arial"/>
          <w:sz w:val="20"/>
          <w:szCs w:val="20"/>
        </w:rPr>
        <w:t>di4-notfound-error-handler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Arial" w:hAnsi="Arial"/>
          <w:sz w:val="20"/>
          <w:szCs w:val="20"/>
        </w:rPr>
        <w:t xml:space="preserve">Criar fila </w:t>
      </w:r>
      <w:r>
        <w:rPr>
          <w:rStyle w:val="Cdigo-fonte"/>
          <w:rFonts w:ascii="Arial" w:hAnsi="Arial"/>
          <w:sz w:val="20"/>
          <w:szCs w:val="20"/>
        </w:rPr>
        <w:t>fifo-doc-not-found-event (delay-exp)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Arial" w:hAnsi="Arial"/>
          <w:sz w:val="20"/>
          <w:szCs w:val="20"/>
        </w:rPr>
        <w:t xml:space="preserve">Criar DLQ </w:t>
      </w:r>
      <w:r>
        <w:rPr>
          <w:rStyle w:val="Cdigo-fonte"/>
          <w:rFonts w:ascii="Arial" w:hAnsi="Arial"/>
          <w:sz w:val="20"/>
          <w:szCs w:val="20"/>
        </w:rPr>
        <w:t>dlq-not-found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Arial" w:hAnsi="Arial"/>
          <w:sz w:val="20"/>
          <w:szCs w:val="20"/>
        </w:rPr>
        <w:t>Publicar evento em Kafka (</w:t>
      </w:r>
      <w:r>
        <w:rPr>
          <w:rStyle w:val="Cdigo-fonte"/>
          <w:rFonts w:ascii="Arial" w:hAnsi="Arial"/>
          <w:sz w:val="20"/>
          <w:szCs w:val="20"/>
        </w:rPr>
        <w:t>highway-topic-veiculo-doc-notfound</w:t>
      </w:r>
      <w:r>
        <w:rPr>
          <w:rFonts w:ascii="Arial" w:hAnsi="Arial"/>
          <w:sz w:val="20"/>
          <w:szCs w:val="20"/>
        </w:rPr>
        <w:t>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Testes end-to-end (BDD).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Story 1.4 – Publicar eventos de sucesso em Kafka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Descrição</w:t>
      </w:r>
      <w:r>
        <w:rPr>
          <w:rFonts w:ascii="Arial" w:hAnsi="Arial"/>
          <w:sz w:val="20"/>
          <w:szCs w:val="20"/>
        </w:rPr>
        <w:t>: Publicar documento encontrado e enviado com sucesso em Kafka.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Tasks</w:t>
      </w:r>
      <w:r>
        <w:rPr>
          <w:rFonts w:ascii="Arial" w:hAnsi="Arial"/>
          <w:sz w:val="20"/>
          <w:szCs w:val="20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Arial" w:hAnsi="Arial"/>
          <w:sz w:val="20"/>
          <w:szCs w:val="20"/>
        </w:rPr>
        <w:t xml:space="preserve">Configurar integração Kafka </w:t>
      </w:r>
      <w:r>
        <w:rPr>
          <w:rStyle w:val="Cdigo-fonte"/>
          <w:rFonts w:ascii="Arial" w:hAnsi="Arial"/>
          <w:sz w:val="20"/>
          <w:szCs w:val="20"/>
        </w:rPr>
        <w:t>highway-topic-veiculos-docs-enviados-sucesso-B3Send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Testar envio com consórcio e veículos.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Validar telemetria.</w:t>
      </w:r>
    </w:p>
    <w:p>
      <w:pPr>
        <w:pStyle w:val="Heading2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EPIC 2 – FASE 2: Governança via Feature Toggle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Story 2.1 – Implementar Portal Manager → Cache de parâmetros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Descrição</w:t>
      </w:r>
      <w:r>
        <w:rPr>
          <w:rFonts w:ascii="Arial" w:hAnsi="Arial"/>
          <w:sz w:val="20"/>
          <w:szCs w:val="20"/>
        </w:rPr>
        <w:t>: Criar pipeline de governança para toggles.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Tasks</w:t>
      </w:r>
      <w:r>
        <w:rPr>
          <w:rFonts w:ascii="Arial" w:hAnsi="Arial"/>
          <w:sz w:val="20"/>
          <w:szCs w:val="20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Arial" w:hAnsi="Arial"/>
          <w:sz w:val="20"/>
          <w:szCs w:val="20"/>
        </w:rPr>
        <w:t xml:space="preserve">Implementar </w:t>
      </w:r>
      <w:r>
        <w:rPr>
          <w:rStyle w:val="Cdigo-fonte"/>
          <w:rFonts w:ascii="Arial" w:hAnsi="Arial"/>
          <w:sz w:val="20"/>
          <w:szCs w:val="20"/>
        </w:rPr>
        <w:t>sincroniza-valores-cadastrados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Arial" w:hAnsi="Arial"/>
          <w:sz w:val="20"/>
          <w:szCs w:val="20"/>
        </w:rPr>
        <w:t xml:space="preserve">Implementar </w:t>
      </w:r>
      <w:r>
        <w:rPr>
          <w:rStyle w:val="Cdigo-fonte"/>
          <w:rFonts w:ascii="Arial" w:hAnsi="Arial"/>
          <w:sz w:val="20"/>
          <w:szCs w:val="20"/>
        </w:rPr>
        <w:t>quickconfig-cluster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Arial" w:hAnsi="Arial"/>
          <w:sz w:val="20"/>
          <w:szCs w:val="20"/>
        </w:rPr>
        <w:t xml:space="preserve">Configurar </w:t>
      </w:r>
      <w:r>
        <w:rPr>
          <w:rStyle w:val="Cdigo-fonte"/>
          <w:rFonts w:ascii="Arial" w:hAnsi="Arial"/>
          <w:sz w:val="20"/>
          <w:szCs w:val="20"/>
        </w:rPr>
        <w:t>cache-parametros</w:t>
      </w:r>
      <w:r>
        <w:rPr>
          <w:rFonts w:ascii="Arial" w:hAnsi="Arial"/>
          <w:sz w:val="20"/>
          <w:szCs w:val="20"/>
        </w:rPr>
        <w:t xml:space="preserve"> (Redis/ElastiCache).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Arial" w:hAnsi="Arial"/>
          <w:sz w:val="20"/>
          <w:szCs w:val="20"/>
        </w:rPr>
        <w:t>Criar chaves de toggle (</w:t>
      </w:r>
      <w:r>
        <w:rPr>
          <w:rStyle w:val="Cdigo-fonte"/>
          <w:rFonts w:ascii="Arial" w:hAnsi="Arial"/>
          <w:sz w:val="20"/>
          <w:szCs w:val="20"/>
        </w:rPr>
        <w:t>feature.send.vehicles.enabled</w:t>
      </w:r>
      <w:r>
        <w:rPr>
          <w:rFonts w:ascii="Arial" w:hAnsi="Arial"/>
          <w:sz w:val="20"/>
          <w:szCs w:val="20"/>
        </w:rPr>
        <w:t>, granular UF/ambiente).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Testes de propagação (≤ 60s).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Story 2.2 – Adaptar lambdas para leitura de toggle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Descrição</w:t>
      </w:r>
      <w:r>
        <w:rPr>
          <w:rFonts w:ascii="Arial" w:hAnsi="Arial"/>
          <w:sz w:val="20"/>
          <w:szCs w:val="20"/>
        </w:rPr>
        <w:t>: Todas as funções devem condicionar execução de veículos ao toggle.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Tasks</w:t>
      </w:r>
      <w:r>
        <w:rPr>
          <w:rFonts w:ascii="Arial" w:hAnsi="Arial"/>
          <w:sz w:val="20"/>
          <w:szCs w:val="20"/>
        </w:rPr>
        <w:t>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Arial" w:hAnsi="Arial"/>
          <w:sz w:val="20"/>
          <w:szCs w:val="20"/>
        </w:rPr>
        <w:t xml:space="preserve">Alterar </w:t>
      </w:r>
      <w:r>
        <w:rPr>
          <w:rStyle w:val="Cdigo-fonte"/>
          <w:rFonts w:ascii="Arial" w:hAnsi="Arial"/>
          <w:sz w:val="20"/>
          <w:szCs w:val="20"/>
        </w:rPr>
        <w:t>processar-inclusao-gravame-lambda-function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Arial" w:hAnsi="Arial"/>
          <w:sz w:val="20"/>
          <w:szCs w:val="20"/>
        </w:rPr>
        <w:t xml:space="preserve">Alterar </w:t>
      </w:r>
      <w:r>
        <w:rPr>
          <w:rStyle w:val="Cdigo-fonte"/>
          <w:rFonts w:ascii="Arial" w:hAnsi="Arial"/>
          <w:sz w:val="20"/>
          <w:szCs w:val="20"/>
        </w:rPr>
        <w:t>preca-...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Arial" w:hAnsi="Arial"/>
          <w:sz w:val="20"/>
          <w:szCs w:val="20"/>
        </w:rPr>
        <w:t xml:space="preserve">Alterar </w:t>
      </w:r>
      <w:r>
        <w:rPr>
          <w:rStyle w:val="Cdigo-fonte"/>
          <w:rFonts w:ascii="Arial" w:hAnsi="Arial"/>
          <w:sz w:val="20"/>
          <w:szCs w:val="20"/>
        </w:rPr>
        <w:t>envca-...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Implementar fallback seguro (se cache indisponível → veículos off).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Testes unitários e E2E (com toggle on/off).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Story 2.3 – Rollout gradual em ambientes (DEV/HML/PRD)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Descrição</w:t>
      </w:r>
      <w:r>
        <w:rPr>
          <w:rFonts w:ascii="Arial" w:hAnsi="Arial"/>
          <w:sz w:val="20"/>
          <w:szCs w:val="20"/>
        </w:rPr>
        <w:t>: Controlar rollout via toggles por ambiente.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Tasks</w:t>
      </w:r>
      <w:r>
        <w:rPr>
          <w:rFonts w:ascii="Arial" w:hAnsi="Arial"/>
          <w:sz w:val="20"/>
          <w:szCs w:val="20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Configurar toggles separados por ambiente.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Criar dashboards (on/off status).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Testar rollout em DEV → HML → PRD.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Story 2.4 – Observabilidade e governança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Descrição</w:t>
      </w:r>
      <w:r>
        <w:rPr>
          <w:rFonts w:ascii="Arial" w:hAnsi="Arial"/>
          <w:sz w:val="20"/>
          <w:szCs w:val="20"/>
        </w:rPr>
        <w:t>: Garantir monitoramento segregado consórcio x veículos.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Tasks</w:t>
      </w:r>
      <w:r>
        <w:rPr>
          <w:rFonts w:ascii="Arial" w:hAnsi="Arial"/>
          <w:sz w:val="20"/>
          <w:szCs w:val="20"/>
        </w:rPr>
        <w:t>: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Implementar métricas no CloudWatch/Prometheus.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Implementar tracing segregado por domínio.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Criar alarmes (toggle drift, cache miss ↑).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Auditar alterações de toggle (Portal Manager).</w:t>
      </w:r>
    </w:p>
    <w:p>
      <w:pPr>
        <w:pStyle w:val="Heading2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EPIC 3 – Integração B3/BitOne (cross-phase)</w:t>
      </w:r>
    </w:p>
    <w:p>
      <w:pPr>
        <w:pStyle w:val="BodyText"/>
        <w:bidi w:val="0"/>
        <w:jc w:val="start"/>
        <w:rPr/>
      </w:pPr>
      <w:r>
        <w:rPr>
          <w:rStyle w:val="Emphasis"/>
          <w:rFonts w:ascii="Arial" w:hAnsi="Arial"/>
          <w:sz w:val="20"/>
          <w:szCs w:val="20"/>
        </w:rPr>
        <w:t>(Suporta tanto Fase 1 quanto Fase 2)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Story 3.1 – Configurar credenciais separadas (consórcio x veículos)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Tasks: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Criar secrets em AWS Secrets Manager.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Validar conectividade B3-SEND veículos.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Validar conectividade BitOne veículos.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Story 3.2 – Política de retries e rate limit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Tasks: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Implementar retries exponenciais.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Configurar rate limit separado para veículos.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Testar idempotência (chave composta chassi+contrato+UF).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LibreOffice/24.2.7.2$Linux_X86_64 LibreOffice_project/420$Build-2</Application>
  <AppVersion>15.0000</AppVersion>
  <Pages>6</Pages>
  <Words>1197</Words>
  <Characters>7620</Characters>
  <CharactersWithSpaces>8551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2025-08-27T19:20:04Z</dcterms:created>
  <dc:creator/>
  <dc:description/>
  <dc:language>pt-BR</dc:language>
  <cp:lastModifiedBy/>
  <dcterms:modified xsi:type="dcterms:W3CDTF">2025-08-27T19:55:08Z</dcterms:modified>
  <cp:revision>2</cp:revision>
  <dc:subject/>
  <dc:title/>
</cp:coreProperties>
</file>