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OPORTUNIDADES DE NEGÓCIO</w:t>
        <w:br/>
        <w:t>NA CONSTRUÇÃO CIVIL</w:t>
      </w:r>
    </w:p>
    <w:p>
      <w:pPr>
        <w:jc w:val="center"/>
      </w:pPr>
      <w:r>
        <w:rPr>
          <w:i/>
          <w:sz w:val="24"/>
        </w:rPr>
        <w:t>Distrito Federal e Entorno (RIDE-DF) | Abertura em 2027 | Avaliação até 2030</w:t>
      </w:r>
    </w:p>
    <w:p/>
    <w:p>
      <w:pPr>
        <w:spacing w:after="80"/>
      </w:pPr>
      <w:r>
        <w:t>Data de corte do conhecimento: 10 de outubro de 2026.</w:t>
      </w:r>
    </w:p>
    <w:p>
      <w:pPr>
        <w:spacing w:after="80"/>
      </w:pPr>
      <w:r>
        <w:t>Consulta à web: sim. Foram consultadas fontes oficiais e setoriais; links estão listados ao longo do documento.</w:t>
      </w:r>
    </w:p>
    <w:p>
      <w:pPr>
        <w:pStyle w:val="Heading1"/>
      </w:pPr>
      <w:r>
        <w:t>Resumo executivo</w:t>
      </w:r>
    </w:p>
    <w:p>
      <w:pPr>
        <w:spacing w:after="80"/>
      </w:pPr>
      <w:r>
        <w:t>Recomendação: entrar por um nicho técnico com escopo controlado, evidência fotográfica, orçamento transparente e garantia contratual — e não como empreiteira generalista. A experiência do fundador em acabamento e revestimento é uma vantagem especialmente em infiltrações, recuperação de revestimentos e reformas curtas.</w:t>
      </w:r>
    </w:p>
    <w:p>
      <w:pPr>
        <w:spacing w:after="80"/>
      </w:pPr>
      <w:r>
        <w:t>As três oportunidades aprovadas, em ordem de defensabilidade, são: (1) diagnóstico e correção de infiltrações/revestimentos em condomínios; (2) manutenção programada e pequenas obras para carteiras de imóveis comerciais/condominiais; (3) reformas residenciais compactas com escopo fechado e execução compatível com o crédito Reforma Casa Brasil. A terceira tem janela comercial observável, mas sua permanência depende das regras e da continuidade do crédito em 2027.</w:t>
      </w:r>
    </w:p>
    <w:p>
      <w:pPr>
        <w:spacing w:after="80"/>
      </w:pPr>
      <w:r>
        <w:t>Limitação central: não foi localizado dado oficial que dimensione diretamente o mercado endereçável de cada nicho no DF/RIDE-DF, nem base pública suficiente para estimar concorrentes, margens médias ou CAC locais. Onde necessário, valores de margem, investimento e ponto de equilíbrio são estimativas de planejamento, não estatísticas de mercado.</w:t>
      </w:r>
    </w:p>
    <w:p>
      <w:pPr>
        <w:pStyle w:val="Heading1"/>
      </w:pPr>
      <w:r>
        <w:t>Premissas e método</w:t>
      </w:r>
    </w:p>
    <w:p>
      <w:pPr>
        <w:pStyle w:val="ListBullet"/>
        <w:spacing w:after="40"/>
      </w:pPr>
      <w:r>
        <w:t>Empresa ME/EPP com até 15 pessoas no primeiro ano, capital próprio máximo de R$ 150 mil e início em 2027.</w:t>
      </w:r>
    </w:p>
    <w:p>
      <w:pPr>
        <w:pStyle w:val="ListBullet"/>
        <w:spacing w:after="40"/>
      </w:pPr>
      <w:r>
        <w:t>Os valores de preço, margem, investimento e ponto de equilíbrio abaixo são [ESTIMATIVA], para testar viabilidade; não são cotações de mercado nem promessa de resultado.</w:t>
      </w:r>
    </w:p>
    <w:p>
      <w:pPr>
        <w:pStyle w:val="ListBullet"/>
        <w:spacing w:after="40"/>
      </w:pPr>
      <w:r>
        <w:t>O ponto de equilíbrio usa contribuição após custos variáveis para cobrir despesas fixas mensais. Exemplo: despesas fixas de R$ 18 mil/mês e margem de contribuição de 35% implicam receita de equilíbrio de cerca de R$ 51,4 mil/mês.</w:t>
      </w:r>
    </w:p>
    <w:p>
      <w:pPr>
        <w:pStyle w:val="ListBullet"/>
        <w:spacing w:after="40"/>
      </w:pPr>
      <w:r>
        <w:t>Tamanho de mercado: quando não há medição confiável do nicho, a resposta é [SEM DADO CONFIÁVEL]. Evidências de licitações ou programas de crédito confirmam existência de demanda/rota de compra, mas não provam tamanho total nem lucratividade.</w:t>
      </w:r>
    </w:p>
    <w:p>
      <w:pPr>
        <w:pStyle w:val="ListBullet"/>
        <w:spacing w:after="40"/>
      </w:pPr>
      <w:r>
        <w:t>A RIDE-DF inclui municípios do Entorno com dinâmica própria. Evidências específicas do DF não são automaticamente extrapoladas para Goiás.</w:t>
      </w:r>
    </w:p>
    <w:p>
      <w:pPr>
        <w:pStyle w:val="Heading1"/>
      </w:pPr>
      <w:r>
        <w:t>1. Diagnóstico de contexto</w:t>
      </w:r>
    </w:p>
    <w:p>
      <w:pPr>
        <w:spacing w:after="80"/>
      </w:pPr>
      <w:r>
        <w:t>A construção brasileira tem perspectiva setorial positiva, porém sensível a juros, custo de mão de obra e tributação. A CBIC projetou crescimento de 2% para a construção em 2026, após crescimento estimado em torno de 1,3% em 2025; são projeções nacionais, não previsão específica para o DF. Fonte: CBIC, 11/02/2026, https://cbic.org.br/construcao-civil-projeta-2026-mais-positivo-que-2025-impulsionado-por-credito-e-investimentos/</w:t>
      </w:r>
    </w:p>
    <w:p>
      <w:pPr>
        <w:spacing w:after="80"/>
      </w:pPr>
      <w:r>
        <w:t>O SINAPI do IBGE/Caixa é uma referência mensal para custos, salários e materiais da construção por UF e é usado em orçamentação pública. Na página consultada, o DF aparece com custo médio de R$ 2.051,00/m² em agosto de 2026; a página também lista variação acumulada em 12 meses de 7,45% para o DF. Confirmar o mês e a série vigente ao orçar em 2027; custo médio de construção não equivale ao preço de uma reforma específica. Fonte: IBGE, SINAPI, consulta em 10/10/2026, https://www.ibge.gov.br/estatisticas/economicas/precos-e-custos/9270-sistema-nacional-de-pesquisa-de-custos-e-indices-da-construcao-civil.html</w:t>
      </w:r>
    </w:p>
    <w:p>
      <w:pPr>
        <w:spacing w:after="80"/>
      </w:pPr>
      <w:r>
        <w:t>Há evidência concreta de compra institucional de manutenção predial no DF: editais de 2025 e 2026 incluem manutenção preventiva/corretiva, pequenas obras, adaptações e serviços sob demanda. Isso demonstra uma rota de contratação, mas também revela concorrência, requisitos de habilitação e risco de capital de giro. Fontes: Compras.gov.br (SPU/DF, Pregão 90007/2025) e GDF/SES-DF (Pregão 90078/2025), links nas referências.</w:t>
      </w:r>
    </w:p>
    <w:p>
      <w:pPr>
        <w:spacing w:after="80"/>
      </w:pPr>
      <w:r>
        <w:t>O programa Reforma Casa Brasil, conforme página da CAIXA consultada, permite financiar mão de obra, materiais e orientação técnica para itens como revestimento, pintura, instalações e acessibilidade, sujeito à elegibilidade e análise de crédito. A disponibilidade e as regras devem ser verificadas novamente antes do lançamento em 2027. Fonte: CAIXA, https://www.caixa.gov.br/voce/habitacao/reforma-casa-brasil/Paginas/default.aspx</w:t>
      </w:r>
    </w:p>
    <w:p>
      <w:r>
        <w:br w:type="page"/>
      </w:r>
    </w:p>
    <w:p>
      <w:pPr>
        <w:pStyle w:val="Heading1"/>
      </w:pPr>
      <w:r>
        <w:t>Oportunidade 1 — Diagnóstico e correção de infiltrações e falhas de revestimento para condomínios</w:t>
      </w:r>
    </w:p>
    <w:p>
      <w:pPr>
        <w:spacing w:before="60" w:after="40"/>
      </w:pPr>
      <w:r>
        <w:rPr>
          <w:b/>
          <w:color w:val="1F4E79"/>
        </w:rPr>
        <w:t xml:space="preserve">1. Nome da oportunidade — </w:t>
      </w:r>
      <w:r>
        <w:t>Diagnóstico documentado + reparo com escopo fechado de infiltrações, rejuntes, impermeabilização localizada e revestimentos em áreas comuns.</w:t>
      </w:r>
    </w:p>
    <w:p>
      <w:pPr>
        <w:spacing w:before="60" w:after="40"/>
      </w:pPr>
      <w:r>
        <w:rPr>
          <w:b/>
          <w:color w:val="1F4E79"/>
        </w:rPr>
        <w:t xml:space="preserve">2. Tendência de origem — </w:t>
      </w:r>
      <w:r>
        <w:t>Condomínios precisam conservar o patrimônio e controlar despesas; custo de obra e mão de obra pressionam o orçamento. O SINAPI oferece referência pública de custos, mas não prova crescimento específico do nicho.</w:t>
      </w:r>
    </w:p>
    <w:p>
      <w:pPr>
        <w:spacing w:before="60" w:after="40"/>
      </w:pPr>
      <w:r>
        <w:rPr>
          <w:b/>
          <w:color w:val="1F4E79"/>
        </w:rPr>
        <w:t xml:space="preserve">3. Oportunidade — </w:t>
      </w:r>
      <w:r>
        <w:t>Síndicos profissionais, administradoras e conselhos de condomínios residenciais de médio porte no Plano Piloto, Águas Claras, Taguatinga, Guará e municípios do Entorno precisam reduzir reincidência de infiltração em fachadas, coberturas, juntas, áreas molhadas e garagens. A oferta seria vistoria visual, mapa fotográfico, priorização por risco, orçamento por etapas e execução com registro de antes/depois. Diagnóstico estrutural ou laudo técnico deve ser realizado/assinado por profissional legalmente habilitado quando aplicável.</w:t>
      </w:r>
    </w:p>
    <w:p>
      <w:pPr>
        <w:spacing w:before="60" w:after="40"/>
      </w:pPr>
      <w:r>
        <w:rPr>
          <w:b/>
          <w:color w:val="1F4E79"/>
        </w:rPr>
        <w:t xml:space="preserve">4. Triagem — </w:t>
      </w:r>
      <w:r>
        <w:t>1) Quem: síndico/administradora com ocorrência recorrente e assembleia pressionando por solução. 2) Dor: danos secundários, reclamações, retrabalho e risco de litígio; custo específico por condomínio: [SEM DADO CONFIÁVEL]. 3) Paga: condomínio, via orçamento aprovado/fundo de obras. 4) Diferencial: especialização em revestimento, diagnóstico documentado, escopo delimitado e garantia; difícil de copiar só com anúncio, mas copiável por empresa técnica. 5) Agora: custo de reparo e necessidade contínua de conservar ativos; janela é estrutural, não uma moda.</w:t>
      </w:r>
    </w:p>
    <w:p>
      <w:pPr>
        <w:spacing w:before="60" w:after="40"/>
      </w:pPr>
      <w:r>
        <w:rPr>
          <w:b/>
          <w:color w:val="1F4E79"/>
        </w:rPr>
        <w:t xml:space="preserve">5. 1º M — Demanda de mercado — </w:t>
      </w:r>
      <w:r>
        <w:t>Audiência-alvo inicial: síndicos profissionais e administradoras com carteira de condomínios. Canais: prospecção direta, parcerias com administradoras, indicação de engenheiros/arquitetos e conteúdo técnico local. [ESTIMATIVA] CAC inicial de R$ 500–1.500 por contrato ganho, supondo prospecção comercial própria, visitas e materiais; deve ser medido por 90 dias. Recuperação em menos de 12 meses é plausível se o primeiro contrato cobrir CAC e gerar margem positiva; não comprovada antes do piloto.</w:t>
      </w:r>
    </w:p>
    <w:p>
      <w:pPr>
        <w:spacing w:before="60" w:after="40"/>
      </w:pPr>
      <w:r>
        <w:rPr>
          <w:b/>
          <w:color w:val="1F4E79"/>
        </w:rPr>
        <w:t xml:space="preserve">6. 2º M — Tamanho e estrutura — </w:t>
      </w:r>
      <w:r>
        <w:t>Tamanho do mercado específico no DF/RIDE: [SEM DADO CONFIÁVEL]. Crescimento do nicho: [SEM DADO CONFIÁVEL]. Estrutura: mercado fragmentado entre empresas de impermeabilização, manutenção predial, pequenas empreiteiras e profissionais autônomos; competidores-chave devem ser mapeados por região e tipo de serviço antes da abertura. Barreira de entrada moderada: diagnóstico consistente, segurança de trabalho em altura, documentação, reputação e capacidade de cumprir garantia. A experiência do fundador é aderente.</w:t>
      </w:r>
    </w:p>
    <w:p>
      <w:pPr>
        <w:spacing w:before="60" w:after="40"/>
      </w:pPr>
      <w:r>
        <w:rPr>
          <w:b/>
          <w:color w:val="1F4E79"/>
        </w:rPr>
        <w:t xml:space="preserve">7. 3º M — Análise de margem — </w:t>
      </w:r>
      <w:r>
        <w:t>[ESTIMATIVA] Investimento inicial: R$ 70 mil–110 mil (ferramentas e equipamentos leves, EPIs, treinamento, veículo/locação e capital de giro; sem compra de imóvel ou veículo caro). Margem bruta-alvo: 30%–40% sobre serviço faturado, antes das despesas administrativas, a validar por obra-piloto. Ponto de equilíbrio ilustrativo: despesas fixas de R$ 18 mil/mês ÷ margem de contribuição de 35% = R$ 51,4 mil/mês de receita. Cadeia de valor: vistoria → diagnóstico/escopo → aprovação do condomínio → compra de materiais → execução → inspeção e registro → manutenção preventiva.</w:t>
      </w:r>
    </w:p>
    <w:p>
      <w:pPr>
        <w:spacing w:before="60" w:after="40"/>
      </w:pPr>
      <w:r>
        <w:rPr>
          <w:b/>
          <w:color w:val="1F4E79"/>
        </w:rPr>
        <w:t xml:space="preserve">8. Modelo de negócio — </w:t>
      </w:r>
      <w:r>
        <w:t>Usa: moradores e administração condominial. Decide: síndico/conselho/assembleia conforme convenção e valor. Paga: condomínio. Por quê: reduzir reincidência e dar rastreabilidade à contratação. [ESTIMATIVA] Ticket por intervenção: R$ 8 mil–35 mil, dependendo do escopo, área e acesso; não é média de mercado. Custos: equipe de execução, materiais, acesso/andaimes ou terceirização, EPIs, descarte, tributos, deslocamento e retrabalho.</w:t>
      </w:r>
    </w:p>
    <w:p>
      <w:pPr>
        <w:spacing w:before="60" w:after="40"/>
      </w:pPr>
      <w:r>
        <w:rPr>
          <w:b/>
          <w:color w:val="1F4E79"/>
        </w:rPr>
        <w:t xml:space="preserve">9. Modelo na web — </w:t>
      </w:r>
      <w:r>
        <w:t>Modelo empresarial (B2B), com geração de leads via site/catálogo digital; não é mercado virtual nem rede social. A web serve para prova de competência, captação e agendamento, não como produto principal.</w:t>
      </w:r>
    </w:p>
    <w:p>
      <w:pPr>
        <w:spacing w:before="60" w:after="40"/>
      </w:pPr>
      <w:r>
        <w:rPr>
          <w:b/>
          <w:color w:val="1F4E79"/>
        </w:rPr>
        <w:t xml:space="preserve">10. Métrica de negócio que provaria tração em 12 meses — </w:t>
      </w:r>
      <w:r>
        <w:t>Meta interna de validação [ESTIMATIVA]: 12 contratos pagos, margem bruta média ≥30%, retrabalho em garantia &lt;5% da receita e pelo menos 30% das vendas por indicação/recorrência. Medir CAC por canal, ticket médio, prazo de recebimento e dias de obra.</w:t>
      </w:r>
    </w:p>
    <w:p>
      <w:pPr>
        <w:spacing w:before="60" w:after="40"/>
      </w:pPr>
      <w:r>
        <w:rPr>
          <w:b/>
          <w:color w:val="1F4E79"/>
        </w:rPr>
        <w:t xml:space="preserve">11. Checklist de Dornelas — </w:t>
      </w:r>
      <w:r>
        <w:t>1) Sim — infiltração e falha de revestimento são problemas observáveis. 2) Sim — vistoria, reparo e plano preventivo. 3) Sim — síndicos/administradoras são identificáveis. 4) Sim, condicional — venda direta e parceria reduzem CAC, mas precisa testar. 5) Sim, com ressalva — demanda contínua, porém sem dado local do tamanho do nicho.</w:t>
      </w:r>
    </w:p>
    <w:p>
      <w:pPr>
        <w:spacing w:before="60" w:after="40"/>
      </w:pPr>
      <w:r>
        <w:rPr>
          <w:b/>
          <w:color w:val="1F4E79"/>
        </w:rPr>
        <w:t xml:space="preserve">12. O que pode dar errado — </w:t>
      </w:r>
      <w:r>
        <w:t>Infiltração pode ter origem estrutural ou exigir intervenção fora da competência da equipe; acesso em altura e segurança elevam custo; condomínio pode adiar aprovação; garantia pode consumir margem; chuvas afetam cronograma. Não depender de subsídio ou anúncio público. Usar responsável técnico quando exigido e contratos que definam limites do diagnóstico.</w:t>
      </w:r>
    </w:p>
    <w:p>
      <w:pPr>
        <w:spacing w:before="60" w:after="40"/>
      </w:pPr>
      <w:r>
        <w:rPr>
          <w:b/>
          <w:color w:val="1F4E79"/>
        </w:rPr>
        <w:t xml:space="preserve">13. Fontes — </w:t>
      </w:r>
      <w:r>
        <w:t>Ver tabela de fontes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Afirmação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Número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Fonte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 que mede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SINAPI/DF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R$ 2.051/m²; variação 12 meses 7,45%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IBGE/Caixa — SINAPI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ago/2026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 médio por m² e variação de custos da construção no DF; não é preço de reforma.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 pública de manutenção predial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valor agregado usado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Compras.gov.br, Pregão 90007/2025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Edital para manutenção predial sob demanda em imóveis da SPU no DF.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 empresarial local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número de mercado usado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IPEDF — PDAE 2023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2024 (publicação)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 de empresas do DF, incluindo construção; página pública consultada não dimensiona este nicho.</w:t>
            </w:r>
          </w:p>
        </w:tc>
      </w:tr>
    </w:tbl>
    <w:p/>
    <w:p>
      <w:pPr>
        <w:spacing w:before="60" w:after="40"/>
      </w:pPr>
      <w:r>
        <w:rPr>
          <w:b/>
          <w:color w:val="1F4E79"/>
        </w:rPr>
        <w:t xml:space="preserve">14. Grau de confiança — </w:t>
      </w:r>
      <w:r>
        <w:t>Médio. Forte aderência à experiência do fundador e problema concreto; confiança limitada pela falta de dados locais de volume, preços e concorrência. Validar com 15 entrevistas e 3 obras-piloto antes de comprometer todo o capital.</w:t>
      </w:r>
    </w:p>
    <w:p>
      <w:r>
        <w:br w:type="page"/>
      </w:r>
    </w:p>
    <w:p>
      <w:pPr>
        <w:pStyle w:val="Heading1"/>
      </w:pPr>
      <w:r>
        <w:t>Oportunidade 2 — Manutenção programada e pequenas obras para carteiras comerciais e condominiais</w:t>
      </w:r>
    </w:p>
    <w:p>
      <w:pPr>
        <w:spacing w:before="60" w:after="40"/>
      </w:pPr>
      <w:r>
        <w:rPr>
          <w:b/>
          <w:color w:val="1F4E79"/>
        </w:rPr>
        <w:t xml:space="preserve">1. Nome da oportunidade — </w:t>
      </w:r>
      <w:r>
        <w:t>Contrato recorrente de inspeções, pequenos reparos e execução de ordens de serviço para administradoras, clínicas, lojas, escolas privadas e condomínios.</w:t>
      </w:r>
    </w:p>
    <w:p>
      <w:pPr>
        <w:spacing w:before="60" w:after="40"/>
      </w:pPr>
      <w:r>
        <w:rPr>
          <w:b/>
          <w:color w:val="1F4E79"/>
        </w:rPr>
        <w:t xml:space="preserve">2. Tendência de origem — </w:t>
      </w:r>
      <w:r>
        <w:t>Gestores de imóveis procuram previsibilidade operacional e documentação de manutenção. Contratações públicas e privadas mostram demanda por serviços preventivos/corretivos, mas a existência de editais não garante acesso a contratos para uma empresa nova.</w:t>
      </w:r>
    </w:p>
    <w:p>
      <w:pPr>
        <w:spacing w:before="60" w:after="40"/>
      </w:pPr>
      <w:r>
        <w:rPr>
          <w:b/>
          <w:color w:val="1F4E79"/>
        </w:rPr>
        <w:t xml:space="preserve">3. Oportunidade — </w:t>
      </w:r>
      <w:r>
        <w:t>Administradoras de imóveis e gestores de clínicas, escolas privadas, redes de varejo e condomínios com vários endereços precisam resolver chamados de acabamento, pintura, revestimentos, reparos leves e adaptações sem contratar uma empreiteira diferente a cada ocorrência. O produto é uma mensalidade por disponibilidade/inspeção mais preço unitário por ordem de serviço, com SLA e relatório.</w:t>
      </w:r>
    </w:p>
    <w:p>
      <w:pPr>
        <w:spacing w:before="60" w:after="40"/>
      </w:pPr>
      <w:r>
        <w:rPr>
          <w:b/>
          <w:color w:val="1F4E79"/>
        </w:rPr>
        <w:t xml:space="preserve">4. Triagem — </w:t>
      </w:r>
      <w:r>
        <w:t>1) Quem: gestor de facilities, gerente administrativo ou administradora com vários imóveis. 2) Dor: chamados sem acompanhamento, tempo de imóvel indisponível e fornecedores fragmentados; impacto local quantificado: [SEM DADO CONFIÁVEL]. 3) Paga: empresa/condomínio por orçamento operacional. 4) Diferencial: prazo de resposta, registro digital, tabela de preços e histórico por ativo; incumbentes podem copiar, então a defesa é confiabilidade e densidade de rota. 5) Agora: digitalização simples e exigência de rastreabilidade são facilitadores, mas a demanda é contínua, não uma janela temporária.</w:t>
      </w:r>
    </w:p>
    <w:p>
      <w:pPr>
        <w:spacing w:before="60" w:after="40"/>
      </w:pPr>
      <w:r>
        <w:rPr>
          <w:b/>
          <w:color w:val="1F4E79"/>
        </w:rPr>
        <w:t xml:space="preserve">5. 1º M — Demanda de mercado — </w:t>
      </w:r>
      <w:r>
        <w:t>Alvo: carteiras de 5–30 imóveis ou instalações que gerem chamados mensais. Canais: prospecção para administradoras, gestores de facilities, contadores e redes locais. [ESTIMATIVA] CAC por cliente empresarial: R$ 800–2.500; considerar ciclo comercial de 1–4 meses. Retorno em menos de um ano é possível com contrato recorrente e densidade geográfica; deve ser comprovado por contrato-piloto.</w:t>
      </w:r>
    </w:p>
    <w:p>
      <w:pPr>
        <w:spacing w:before="60" w:after="40"/>
      </w:pPr>
      <w:r>
        <w:rPr>
          <w:b/>
          <w:color w:val="1F4E79"/>
        </w:rPr>
        <w:t xml:space="preserve">6. 2º M — Tamanho e estrutura — </w:t>
      </w:r>
      <w:r>
        <w:t>Tamanho regional do mercado endereçável: [SEM DADO CONFIÁVEL]. Crescimento: [SEM DADO CONFIÁVEL]. Concorrência inclui empresas de manutenção predial, facilities, prestadores autônomos e empreiteiras. Editais públicos confirmam a existência de compras formais: SPU/DF publicou pregão para manutenção predial sob demanda em 2025; GDF/SES-DF publicou edital para serviços comuns de engenharia, manutenção, reforma e pequenas obras em 2026. Barreiras: habilitação técnica, capital de giro, cumprimento de SLA e gestão de equipes. Recomenda-se começar no setor privado e tratar licitação como canal secundário.</w:t>
      </w:r>
    </w:p>
    <w:p>
      <w:pPr>
        <w:spacing w:before="60" w:after="40"/>
      </w:pPr>
      <w:r>
        <w:rPr>
          <w:b/>
          <w:color w:val="1F4E79"/>
        </w:rPr>
        <w:t xml:space="preserve">7. 3º M — Análise de margem — </w:t>
      </w:r>
      <w:r>
        <w:t>[ESTIMATIVA] Investimento inicial: R$ 90 mil–140 mil, incluindo ferramentas, EPIs, sistema simples de ordens de serviço, marketing B2B, seguros/regularização e capital de giro para recebimentos tardios. Margem bruta-alvo: 25%–35%, dependendo do peso de materiais e deslocamento. Ponto de equilíbrio ilustrativo: R$ 22 mil de despesas fixas ÷ 30% de contribuição = R$ 73,3 mil/mês. Cadeia: prospecção → vistoria/inventário → proposta de SLA → chamados → triagem → execução própria ou subcontratada → aceite documentado → faturamento.</w:t>
      </w:r>
    </w:p>
    <w:p>
      <w:pPr>
        <w:spacing w:before="60" w:after="40"/>
      </w:pPr>
      <w:r>
        <w:rPr>
          <w:b/>
          <w:color w:val="1F4E79"/>
        </w:rPr>
        <w:t xml:space="preserve">8. Modelo de negócio — </w:t>
      </w:r>
      <w:r>
        <w:t>Usa: funcionários/usuários dos imóveis; decide: gestor de facilities, compras ou síndico; paga: empresa/condomínio. Paga por reduzir fricção de contratar múltiplos prestadores, controlar prazo e ter histórico de serviço. Receita: mensalidade de inspeção/gestão + ordens de serviço; custos: equipe, deslocamento, materiais, subcontratação, software, seguros, tributos e capital de giro.</w:t>
      </w:r>
    </w:p>
    <w:p>
      <w:pPr>
        <w:spacing w:before="60" w:after="40"/>
      </w:pPr>
      <w:r>
        <w:rPr>
          <w:b/>
          <w:color w:val="1F4E79"/>
        </w:rPr>
        <w:t xml:space="preserve">9. Modelo na web — </w:t>
      </w:r>
      <w:r>
        <w:t>Modelo empresarial com camada de intermediação operacional apenas se houver rede de subcontratados; não criar marketplace aberto no início. Um portal simples de chamados é ferramenta de entrega, não fonte independente de receita.</w:t>
      </w:r>
    </w:p>
    <w:p>
      <w:pPr>
        <w:spacing w:before="60" w:after="40"/>
      </w:pPr>
      <w:r>
        <w:rPr>
          <w:b/>
          <w:color w:val="1F4E79"/>
        </w:rPr>
        <w:t xml:space="preserve">10. Métrica de negócio que provaria tração em 12 meses — </w:t>
      </w:r>
      <w:r>
        <w:t>[ESTIMATIVA] 5 contratos recorrentes ativos, receita recorrente cobrindo ≥40% das despesas fixas, cumprimento de SLA ≥90%, margem bruta ≥28% e recebimento médio inferior a 45 dias. Acompanhar receita por cliente, renovação, chamados por imóvel e custo de deslocamento.</w:t>
      </w:r>
    </w:p>
    <w:p>
      <w:pPr>
        <w:spacing w:before="60" w:after="40"/>
      </w:pPr>
      <w:r>
        <w:rPr>
          <w:b/>
          <w:color w:val="1F4E79"/>
        </w:rPr>
        <w:t xml:space="preserve">11. Checklist de Dornelas — </w:t>
      </w:r>
      <w:r>
        <w:t>1) Sim — gestores lidam com manutenção e chamados. 2) Sim — SLA, inspeção e reparo. 3) Sim — administradoras e gestores podem ser prospectados nominalmente. 4) Sim, condicional — venda consultiva e operação concentrada por região; CAC precisa ser testado. 5) Parcial/Sim — necessidade é recorrente, mas a vantagem competitiva precisa ser construída; por isso fica abaixo da oportunidade 1.</w:t>
      </w:r>
    </w:p>
    <w:p>
      <w:pPr>
        <w:spacing w:before="60" w:after="40"/>
      </w:pPr>
      <w:r>
        <w:rPr>
          <w:b/>
          <w:color w:val="1F4E79"/>
        </w:rPr>
        <w:t xml:space="preserve">12. O que pode dar errado — </w:t>
      </w:r>
      <w:r>
        <w:t>Contratos grandes podem exigir capital de giro, seguros, atestados e equipe maior que o limite inicial; deslocamento pulverizado destrói margem; clientes podem pressionar preço; licitações podem demorar e exigir documentação. Não contar com edital não contratado. Evitar dependência de um único cliente.</w:t>
      </w:r>
    </w:p>
    <w:p>
      <w:pPr>
        <w:spacing w:before="60" w:after="40"/>
      </w:pPr>
      <w:r>
        <w:rPr>
          <w:b/>
          <w:color w:val="1F4E79"/>
        </w:rPr>
        <w:t xml:space="preserve">13. Fontes — </w:t>
      </w:r>
      <w:r>
        <w:t>Ver tabela de fontes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Afirmação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Número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Fonte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 que mede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Pregão de manutenção predial da SPU no DF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valor agregado usado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Compras.gov.br, Pregão 90007/2025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de manutenção preventiva/corretiva sob demanda para imóveis da SPU no DF, com referência ao SINAPI.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Pregão GDF/SES-DF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valor agregado usado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Comprasnet/GDF, Pregão 90078/2025 (edital publicado em 2026)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de preços para manutenção, reforma, adaptação e pequenas obras em unidades de saúde.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SINAPI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R$ 2.051/m²; variação 12 meses 7,45%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IBGE/Caixa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ago/2026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Referência geral de custo de construção no DF; não mede manutenção predial.</w:t>
            </w:r>
          </w:p>
        </w:tc>
      </w:tr>
    </w:tbl>
    <w:p/>
    <w:p>
      <w:pPr>
        <w:spacing w:before="60" w:after="40"/>
      </w:pPr>
      <w:r>
        <w:rPr>
          <w:b/>
          <w:color w:val="1F4E79"/>
        </w:rPr>
        <w:t xml:space="preserve">14. Grau de confiança — </w:t>
      </w:r>
      <w:r>
        <w:t>Médio-baixo. A demanda e os canais de compra são verificáveis, mas competir com empresas estabelecidas e financiar contratos exige disciplina operacional. Só avançar após obter duas cartas de intenção ou um contrato-piloto pago.</w:t>
      </w:r>
    </w:p>
    <w:p>
      <w:r>
        <w:br w:type="page"/>
      </w:r>
    </w:p>
    <w:p>
      <w:pPr>
        <w:pStyle w:val="Heading1"/>
      </w:pPr>
      <w:r>
        <w:t>Oportunidade 3 — Reformas residenciais compactas com escopo fechado e controle de custo</w:t>
      </w:r>
    </w:p>
    <w:p>
      <w:pPr>
        <w:spacing w:before="60" w:after="40"/>
      </w:pPr>
      <w:r>
        <w:rPr>
          <w:b/>
          <w:color w:val="1F4E79"/>
        </w:rPr>
        <w:t xml:space="preserve">1. Nome da oportunidade — </w:t>
      </w:r>
      <w:r>
        <w:t>Reformas de 1 a 3 ambientes, com preço por escopo, cronograma curto, fotos de avanço e documentação de materiais e mão de obra.</w:t>
      </w:r>
    </w:p>
    <w:p>
      <w:pPr>
        <w:spacing w:before="60" w:after="40"/>
      </w:pPr>
      <w:r>
        <w:rPr>
          <w:b/>
          <w:color w:val="1F4E79"/>
        </w:rPr>
        <w:t xml:space="preserve">2. Tendência de origem — </w:t>
      </w:r>
      <w:r>
        <w:t>Crédito voltado à melhoria habitacional pode destravar parte da demanda de famílias elegíveis; a CAIXA descreve o Reforma Casa Brasil como linha para itens como revestimento, pintura, telhado, instalações e acessibilidade. A regra vigente em 2026 não deve ser presumida para 2027.</w:t>
      </w:r>
    </w:p>
    <w:p>
      <w:pPr>
        <w:spacing w:before="60" w:after="40"/>
      </w:pPr>
      <w:r>
        <w:rPr>
          <w:b/>
          <w:color w:val="1F4E79"/>
        </w:rPr>
        <w:t xml:space="preserve">3. Oportunidade — </w:t>
      </w:r>
      <w:r>
        <w:t>Famílias residentes em imóveis urbanos do DF e Entorno, com renda e crédito elegíveis, querem reformar banheiro, cozinha, piso, pintura ou telhado sem gerir diversos prestadores. O negócio oferece pacote com escopo limitado, orçamento transparente, compra assistida de materiais, execução e entrega fotográfica. O financiamento é contratado pelo cliente diretamente com a CAIXA; a empresa não deve se apresentar como intermediária oficial.</w:t>
      </w:r>
    </w:p>
    <w:p>
      <w:pPr>
        <w:spacing w:before="60" w:after="40"/>
      </w:pPr>
      <w:r>
        <w:rPr>
          <w:b/>
          <w:color w:val="1F4E79"/>
        </w:rPr>
        <w:t xml:space="preserve">4. Triagem — </w:t>
      </w:r>
      <w:r>
        <w:t>1) Quem: proprietário/morador com reforma necessária e orçamento definido. 2) Dor: incerteza de custo, atraso e coordenação de mão de obra; valor médio local do problema: [SEM DADO CONFIÁVEL]. 3) Paga: morador com recursos próprios ou crédito aprovado. 4) Diferencial: especialização em acabamento, preço por pacote, cronograma e garantia; fácil de copiar, portanto defesa limitada. 5) Agora: programa de crédito em operação em 2026 cria canal potencial, mas a continuidade em 2027 é incerta.</w:t>
      </w:r>
    </w:p>
    <w:p>
      <w:pPr>
        <w:spacing w:before="60" w:after="40"/>
      </w:pPr>
      <w:r>
        <w:rPr>
          <w:b/>
          <w:color w:val="1F4E79"/>
        </w:rPr>
        <w:t xml:space="preserve">5. 1º M — Demanda de mercado — </w:t>
      </w:r>
      <w:r>
        <w:t>Alvo: moradores com necessidade concreta de reforma, inicialmente em poucas regiões administrativas e cidades do Entorno para reduzir deslocamento. Canais: parcerias com lojas de material, indicação de arquitetos/administradoras, busca local e portfólio com casos reais. [ESTIMATIVA] CAC de R$ 150–600 por cliente fechado, a testar; a empresa deve verificar se margem da primeira obra cobre captação e visita técnica. Não depender exclusivamente de anúncios digitais.</w:t>
      </w:r>
    </w:p>
    <w:p>
      <w:pPr>
        <w:spacing w:before="60" w:after="40"/>
      </w:pPr>
      <w:r>
        <w:rPr>
          <w:b/>
          <w:color w:val="1F4E79"/>
        </w:rPr>
        <w:t xml:space="preserve">6. 2º M — Tamanho e estrutura — </w:t>
      </w:r>
      <w:r>
        <w:t>Mercado local de reformas compactas: [SEM DADO CONFIÁVEL]. Crescimento: [SEM DADO CONFIÁVEL]. A CAIXA informa faixa de financiamento de R$ 10 mil a R$ 50 mil na página consultada e lista revestimento, pintura, elétrica/hidráulica e acessibilidade entre usos elegíveis. Isso é limite de crédito, não tamanho de mercado nem ticket garantido. Concorrentes: empreiteiros pequenos, profissionais autônomos, lojas que indicam instaladores e empresas de reforma. Barreiras baixas; a defesa é processo, avaliação, cumprimento de prazo e reputação.</w:t>
      </w:r>
    </w:p>
    <w:p>
      <w:pPr>
        <w:spacing w:before="60" w:after="40"/>
      </w:pPr>
      <w:r>
        <w:rPr>
          <w:b/>
          <w:color w:val="1F4E79"/>
        </w:rPr>
        <w:t xml:space="preserve">7. 3º M — Análise de margem — </w:t>
      </w:r>
      <w:r>
        <w:t>[ESTIMATIVA] Investimento inicial: R$ 45 mil–80 mil, com ferramentas, EPIs, transporte/locação, amostras, marketing e capital de giro; começar com equipe enxuta e subcontratar especialidades. Margem bruta-alvo: 25%–35%. Ponto de equilíbrio ilustrativo: despesas fixas de R$ 14 mil/mês ÷ contribuição de 30% = R$ 46,7 mil/mês. Cadeia: qualificação do lead → visita e escopo → contrato e sinal compatível com a lei → compra de material → execução → vistoria/aceite → saldo e garantia.</w:t>
      </w:r>
    </w:p>
    <w:p>
      <w:pPr>
        <w:spacing w:before="60" w:after="40"/>
      </w:pPr>
      <w:r>
        <w:rPr>
          <w:b/>
          <w:color w:val="1F4E79"/>
        </w:rPr>
        <w:t xml:space="preserve">8. Modelo de negócio — </w:t>
      </w:r>
      <w:r>
        <w:t>Usa: morador/família; decide: morador ou proprietário; paga: cliente, eventualmente com crédito contratado diretamente. Paga por previsibilidade e menor custo de coordenação. [ESTIMATIVA] Pacote de reforma compacta: R$ 8 mil–30 mil conforme escopo, sem ser média de mercado. Custos: mão de obra, material, descarte, transporte, tributos, visitas, retrabalho e aquisição de cliente.</w:t>
      </w:r>
    </w:p>
    <w:p>
      <w:pPr>
        <w:spacing w:before="60" w:after="40"/>
      </w:pPr>
      <w:r>
        <w:rPr>
          <w:b/>
          <w:color w:val="1F4E79"/>
        </w:rPr>
        <w:t xml:space="preserve">9. Modelo na web — </w:t>
      </w:r>
      <w:r>
        <w:t>Modelo empresarial B2C com captação digital. Não é mercado virtual: a empresa vende e executa o próprio serviço. O site deve explicar escopos, exclusões, garantias e etapas; evitar prometer aprovação de financiamento.</w:t>
      </w:r>
    </w:p>
    <w:p>
      <w:pPr>
        <w:spacing w:before="60" w:after="40"/>
      </w:pPr>
      <w:r>
        <w:rPr>
          <w:b/>
          <w:color w:val="1F4E79"/>
        </w:rPr>
        <w:t xml:space="preserve">10. Métrica de negócio que provaria tração em 12 meses — </w:t>
      </w:r>
      <w:r>
        <w:t>[ESTIMATIVA] 24 obras concluídas, margem bruta média ≥28%, atraso médio inferior a 10% do prazo contratado, retrabalho inferior a 5% da receita e indicações respondendo por 25% dos novos clientes. Medir ticket, CAC, conversão de visita em contrato e prazo de recebimento.</w:t>
      </w:r>
    </w:p>
    <w:p>
      <w:pPr>
        <w:spacing w:before="60" w:after="40"/>
      </w:pPr>
      <w:r>
        <w:rPr>
          <w:b/>
          <w:color w:val="1F4E79"/>
        </w:rPr>
        <w:t xml:space="preserve">11. Checklist de Dornelas — </w:t>
      </w:r>
      <w:r>
        <w:t>1) Sim — reforma residencial é problema concreto. 2) Sim — pacotes de acabamento e reparos. 3) Sim — moradores em áreas delimitadas e elegíveis. 4) Sim, condicional — canais locais e indicação; CAC e inadimplência devem ser testados. 5) Parcial — o crédito pode ajudar, mas sua continuidade e condições em 2027 não estão garantidas.</w:t>
      </w:r>
    </w:p>
    <w:p>
      <w:pPr>
        <w:spacing w:before="60" w:after="40"/>
      </w:pPr>
      <w:r>
        <w:rPr>
          <w:b/>
          <w:color w:val="1F4E79"/>
        </w:rPr>
        <w:t xml:space="preserve">12. O que pode dar errado — </w:t>
      </w:r>
      <w:r>
        <w:t>Mudança ou suspensão do programa de crédito; cliente não aprovado; escopo informal gera aditivos e conflitos; aumento de materiais e mão de obra; inadimplência; concorrência por preço; equipe subdimensionada. Não financiar materiais do cliente com caixa próprio sem sinal e marcos de pagamento contratados.</w:t>
      </w:r>
    </w:p>
    <w:p>
      <w:pPr>
        <w:spacing w:before="60" w:after="40"/>
      </w:pPr>
      <w:r>
        <w:rPr>
          <w:b/>
          <w:color w:val="1F4E79"/>
        </w:rPr>
        <w:t xml:space="preserve">13. Fontes — </w:t>
      </w:r>
      <w:r>
        <w:t>Ver tabela de fontes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Afirmação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Número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Fonte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Ano</w:t>
            </w:r>
          </w:p>
        </w:tc>
        <w:tc>
          <w:tcPr>
            <w:tcW w:type="dxa" w:w="1987"/>
            <w:vAlign w:val="center"/>
            <w:shd w:fill="B4C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 que mede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Reforma Casa Brasil — valor informado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R$ 10 mil–50 mil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CAIXA, página do programa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Consulta em 10/10/2026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Faixa de financiamento anunciada na página consultada; regras sujeitas a alteração.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Reforma Casa Brasil — elegibilidade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Renda familiar até R$ 13 mil/mês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CAIXA, página do programa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Consulta em 10/10/2026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Critério informado na página consultada, sujeito à análise de crédito e atualização.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Perspectiva setorial nacional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Projeção de crescimento de 2% em 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CBIC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11/02/2026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Projeção para a construção no Brasil, não especificamente para reformas no DF.</w:t>
            </w:r>
          </w:p>
        </w:tc>
      </w:tr>
    </w:tbl>
    <w:p/>
    <w:p>
      <w:pPr>
        <w:spacing w:before="60" w:after="40"/>
      </w:pPr>
      <w:r>
        <w:rPr>
          <w:b/>
          <w:color w:val="1F4E79"/>
        </w:rPr>
        <w:t xml:space="preserve">14. Grau de confiança — </w:t>
      </w:r>
      <w:r>
        <w:t>Médio-baixo. O serviço corresponde à competência do fundador e há canal de crédito identificável; a defesa competitiva é baixa e a dependência de política/financiamento é maior.</w:t>
      </w:r>
    </w:p>
    <w:p>
      <w:r>
        <w:br w:type="page"/>
      </w:r>
    </w:p>
    <w:p>
      <w:pPr>
        <w:pStyle w:val="Heading1"/>
      </w:pPr>
      <w:r>
        <w:t>Descartadas</w:t>
      </w:r>
    </w:p>
    <w:p>
      <w:pPr>
        <w:spacing w:after="80"/>
      </w:pPr>
      <w:r>
        <w:t>1. Marketplace digital genérico para conectar clientes e prestadores de reforma — falha na triagem 4 (por que este negócio e não o incumbente?): baixa barreira de entrada, necessidade de liquidez dos dois lados e risco de gastar capital em tecnologia antes de provar transações rentáveis. Reavaliar somente após formar uma carteira local de prestadores e clientes.</w:t>
      </w:r>
    </w:p>
    <w:p>
      <w:pPr>
        <w:spacing w:after="80"/>
      </w:pPr>
      <w:r>
        <w:t>2. Empresa de retrofit energético completo de edifícios públicos — falha na triagem 3 e no limite de capital: projetos podem exigir engenharia multidisciplinar, habilitação, garantias e capital de giro acima do adequado para uma empresa com até R$ 150 mil. O Ministério de Minas e Energia descreve retrofit e diagnóstico energético como opções, mas não comprova contratos locais acessíveis a uma nova ME/EPP. Fonte: https://www.gov.br/mme/pt-br/assuntos/ee/guia-para-municipios/guia_de_ee_para_municipios/volume-ii/eficiencia-energetica-para-edificios-publicos-municipais-em-uso</w:t>
      </w:r>
    </w:p>
    <w:p>
      <w:pPr>
        <w:spacing w:after="80"/>
      </w:pPr>
      <w:r>
        <w:t>3. Empreiteira generalista para disputar grandes licitações de manutenção — falha na triagem 4 (vantagem frente a incumbentes) e na pergunta 5 (janela): editais confirmam demanda, mas exigências de habilitação, escala, garantias e capital de giro tornam o modelo pouco defensável para início com equipe de até 15 pessoas e capital limitado. Não é uma rejeição permanente; pode ser canal futuro após histórico e atestados.</w:t>
      </w:r>
    </w:p>
    <w:p>
      <w:pPr>
        <w:pStyle w:val="Heading1"/>
      </w:pPr>
      <w:r>
        <w:t>Ranking final</w:t>
      </w:r>
    </w:p>
    <w:p>
      <w:pPr>
        <w:pStyle w:val="ListNumber"/>
        <w:spacing w:after="40"/>
      </w:pPr>
      <w:r>
        <w:t>Diagnóstico e correção de infiltrações/revestimentos: melhor encaixe com a experiência do fundador, problema caro e observável, venda para decisores identificáveis e possibilidade de construir reputação técnica.</w:t>
      </w:r>
    </w:p>
    <w:p>
      <w:pPr>
        <w:pStyle w:val="ListNumber"/>
        <w:spacing w:after="40"/>
      </w:pPr>
      <w:r>
        <w:t>Manutenção programada e pequenas obras: potencial de recorrência e expansão por carteira, mas exige capital de giro, SLA e diferenciação operacional contra empresas de facilities.</w:t>
      </w:r>
    </w:p>
    <w:p>
      <w:pPr>
        <w:pStyle w:val="ListNumber"/>
        <w:spacing w:after="40"/>
      </w:pPr>
      <w:r>
        <w:t>Reformas residenciais compactas: menor investimento e aderência ao acabamento, porém concorrência mais fácil de copiar e maior incerteza sobre crédito e sensibilidade do consumidor.</w:t>
      </w:r>
    </w:p>
    <w:p>
      <w:pPr>
        <w:pStyle w:val="Heading1"/>
      </w:pPr>
      <w:r>
        <w:t>Plano de validação antes de investir</w:t>
      </w:r>
    </w:p>
    <w:p>
      <w:pPr>
        <w:pStyle w:val="ListBullet"/>
        <w:spacing w:after="40"/>
      </w:pPr>
      <w:r>
        <w:t>Em 30 dias: entrevistar 15 síndicos/administradoras e 10 gestores de imóveis; registrar última ocorrência, gasto, fornecedor usado, prazo e motivo de insatisfação.</w:t>
      </w:r>
    </w:p>
    <w:p>
      <w:pPr>
        <w:pStyle w:val="ListBullet"/>
        <w:spacing w:after="40"/>
      </w:pPr>
      <w:r>
        <w:t>Em 60 dias: produzir três propostas-piloto pagas ou cartas de intenção com escopo, preço, prazo, condições de acesso e garantia.</w:t>
      </w:r>
    </w:p>
    <w:p>
      <w:pPr>
        <w:pStyle w:val="ListBullet"/>
        <w:spacing w:after="40"/>
      </w:pPr>
      <w:r>
        <w:t>Em 90 dias: calcular margem real por obra, horas de retrabalho, CAC por canal, prazo de recebimento e necessidade de capital de giro.</w:t>
      </w:r>
    </w:p>
    <w:p>
      <w:pPr>
        <w:pStyle w:val="ListBullet"/>
        <w:spacing w:after="40"/>
      </w:pPr>
      <w:r>
        <w:t>Não comprometer os R$ 150 mil de uma vez. Preservar reserva para folha, materiais e recebíveis; investir em equipamento especializado só depois de contratos pagos.</w:t>
      </w:r>
    </w:p>
    <w:p>
      <w:pPr>
        <w:pStyle w:val="ListBullet"/>
        <w:spacing w:after="40"/>
      </w:pPr>
      <w:r>
        <w:t>Antes de 2027, verificar novamente regras do Reforma Casa Brasil, custos SINAPI, convenções condominiais, licenças, obrigações de segurança, exigência de responsável técnico e situação tributária.</w:t>
      </w:r>
    </w:p>
    <w:p>
      <w:pPr>
        <w:pStyle w:val="Heading1"/>
      </w:pPr>
      <w:r>
        <w:t>Limitações desta resposta</w:t>
      </w:r>
    </w:p>
    <w:p>
      <w:pPr>
        <w:pStyle w:val="ListBullet"/>
        <w:spacing w:after="40"/>
      </w:pPr>
      <w:r>
        <w:t>Não foi encontrado dado oficial robusto que quantifique o faturamento, o número de prestadores, o crescimento ou a margem média de cada nicho no DF/RIDE-DF.</w:t>
      </w:r>
    </w:p>
    <w:p>
      <w:pPr>
        <w:pStyle w:val="ListBullet"/>
        <w:spacing w:after="40"/>
      </w:pPr>
      <w:r>
        <w:t>As páginas consultadas de licitações comprovam objetos de compra, mas não foram usadas para afirmar valor contratado, adjudicação ou participação de pequenas empresas.</w:t>
      </w:r>
    </w:p>
    <w:p>
      <w:pPr>
        <w:pStyle w:val="ListBullet"/>
        <w:spacing w:after="40"/>
      </w:pPr>
      <w:r>
        <w:t>As faixas de investimento, ticket, margem, CAC e metas de tração são estimativas gerenciais para teste, não dados observados.</w:t>
      </w:r>
    </w:p>
    <w:p>
      <w:pPr>
        <w:pStyle w:val="ListBullet"/>
        <w:spacing w:after="40"/>
      </w:pPr>
      <w:r>
        <w:t>Não foi feita pesquisa primária com síndicos, administradoras, empresas ou consumidores; a disposição real a pagar ainda precisa ser validada.</w:t>
      </w:r>
    </w:p>
    <w:p>
      <w:pPr>
        <w:pStyle w:val="ListBullet"/>
        <w:spacing w:after="40"/>
      </w:pPr>
      <w:r>
        <w:t>Projeções setoriais nacionais foram explicitamente tratadas como nacionais, não como previsão específica para o DF.</w:t>
      </w:r>
    </w:p>
    <w:p>
      <w:pPr>
        <w:pStyle w:val="Heading1"/>
      </w:pPr>
      <w:r>
        <w:t>Referências e links consultados</w:t>
      </w:r>
    </w:p>
    <w:p>
      <w:pPr>
        <w:pStyle w:val="ListBullet"/>
        <w:spacing w:after="60"/>
      </w:pPr>
      <w:r>
        <w:t xml:space="preserve">IBGE — SINAPI, séries e resultados mensais: </w:t>
      </w:r>
      <w:r>
        <w:t>https://www.ibge.gov.br/estatisticas/economicas/precos-e-custos/9270-sistema-nacional-de-pesquisa-de-custos-e-indices-da-construcao-civil.html</w:t>
      </w:r>
    </w:p>
    <w:p>
      <w:pPr>
        <w:pStyle w:val="ListBullet"/>
        <w:spacing w:after="60"/>
      </w:pPr>
      <w:r>
        <w:t xml:space="preserve">CBIC — Construção projeta 2026 mais positivo que 2025 (11/02/2026): </w:t>
      </w:r>
      <w:r>
        <w:t>https://cbic.org.br/construcao-civil-projeta-2026-mais-positivo-que-2025-impulsionado-por-credito-e-investimentos/</w:t>
      </w:r>
    </w:p>
    <w:p>
      <w:pPr>
        <w:pStyle w:val="ListBullet"/>
        <w:spacing w:after="60"/>
      </w:pPr>
      <w:r>
        <w:t xml:space="preserve">IPEDF — PDAE 2023: </w:t>
      </w:r>
      <w:r>
        <w:t>https://ipedf.df.gov.br/pdae/</w:t>
      </w:r>
    </w:p>
    <w:p>
      <w:pPr>
        <w:pStyle w:val="ListBullet"/>
        <w:spacing w:after="60"/>
      </w:pPr>
      <w:r>
        <w:t xml:space="preserve">CAIXA — Reforma Casa Brasil: </w:t>
      </w:r>
      <w:r>
        <w:t>https://www.caixa.gov.br/voce/habitacao/reforma-casa-brasil/Paginas/default.aspx</w:t>
      </w:r>
    </w:p>
    <w:p>
      <w:pPr>
        <w:pStyle w:val="ListBullet"/>
        <w:spacing w:after="60"/>
      </w:pPr>
      <w:r>
        <w:t xml:space="preserve">CAIXA — Perguntas frequentes do Reforma Casa Brasil: </w:t>
      </w:r>
      <w:r>
        <w:t>https://www.caixa.gov.br/voce/habitacao/reforma-casa-brasil/perguntas-frequentes/Paginas/default.aspx</w:t>
      </w:r>
    </w:p>
    <w:p>
      <w:pPr>
        <w:pStyle w:val="ListBullet"/>
        <w:spacing w:after="60"/>
      </w:pPr>
      <w:r>
        <w:t xml:space="preserve">Compras.gov.br — Pregão SPU/DF 90007/2025: </w:t>
      </w:r>
      <w:r>
        <w:t>https://comprasnet.gov.br/ConsultaLicitacoes/download/download_editais_detalhe.asp?coduasg=170607&amp;modprp=5&amp;numprp=900072025</w:t>
      </w:r>
    </w:p>
    <w:p>
      <w:pPr>
        <w:pStyle w:val="ListBullet"/>
        <w:spacing w:after="60"/>
      </w:pPr>
      <w:r>
        <w:t xml:space="preserve">Comprasnet/GDF — Pregão SES-DF 90078/2025: </w:t>
      </w:r>
      <w:r>
        <w:t>https://comprasnet.gov.br/ConsultaLicitacoes/download/download_editais_detalhe.asp?coduasg=974002&amp;modprp=5&amp;numprp=900782025</w:t>
      </w:r>
    </w:p>
    <w:p>
      <w:pPr>
        <w:pStyle w:val="ListBullet"/>
        <w:spacing w:after="60"/>
      </w:pPr>
      <w:r>
        <w:t xml:space="preserve">Lei 14.133/2021 — licitações e contratos administrativos: </w:t>
      </w:r>
      <w:r>
        <w:t>https://www.gov.br/ana/pt-br/acesso-a-informacao/integridade/normativos/arquivos/lei-no-14-133-de-1o-de-abril-de-2021-lei-de-licitacoes-e-contratos.pdf</w:t>
      </w:r>
    </w:p>
    <w:p>
      <w:pPr>
        <w:pStyle w:val="ListBullet"/>
        <w:spacing w:after="60"/>
      </w:pPr>
      <w:r>
        <w:t xml:space="preserve">MME — Eficiência energética para edifícios públicos em uso: </w:t>
      </w:r>
      <w:r>
        <w:t>https://www.gov.br/mme/pt-br/assuntos/ee/guia-para-municipios/guia_de_ee_para_municipios/volume-ii/eficiencia-energetica-para-edificios-publicos-municipais-em-uso</w:t>
      </w:r>
    </w:p>
    <w:p>
      <w:pPr>
        <w:pStyle w:val="ListBullet"/>
        <w:spacing w:after="60"/>
      </w:pPr>
      <w:r>
        <w:t xml:space="preserve">IBGE — Censo Demográfico 2022, página de resultados: </w:t>
      </w:r>
      <w:r>
        <w:t>https://www.ibge.gov.br/estatisticas/sociais/trabalho/22827-censo-demografico-2022.html?edicao=37225&amp;t=resultados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Pesquisa exploratória — corte em 10/10/2026 | Brasília, DF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ANÁLISE DE OPORTUNIDADES | CONSTRUÇÃO E AMBIENTE CONSTRUÍDO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oportunidades de negócio na construção civil — DF e Entorno</dc:title>
  <dc:subject>Oportunidades para ME/EPP com capital até R$ 150 mil, abertura em 2027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