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drawing>
          <wp:inline xmlns:a="http://schemas.openxmlformats.org/drawingml/2006/main" xmlns:pic="http://schemas.openxmlformats.org/drawingml/2006/picture">
            <wp:extent cx="3291840" cy="771525"/>
            <wp:docPr id="1" name="Picture 1" descr="Logotipo de Formularios Inteligentes"/>
            <wp:cNvGraphicFramePr>
              <a:graphicFrameLocks noChangeAspect="1"/>
            </wp:cNvGraphicFramePr>
            <a:graphic>
              <a:graphicData uri="http://schemas.openxmlformats.org/drawingml/2006/picture">
                <pic:pic>
                  <pic:nvPicPr>
                    <pic:cNvPr id="0" name="logo_word.png"/>
                    <pic:cNvPicPr/>
                  </pic:nvPicPr>
                  <pic:blipFill>
                    <a:blip r:embed="rId11"/>
                    <a:stretch>
                      <a:fillRect/>
                    </a:stretch>
                  </pic:blipFill>
                  <pic:spPr>
                    <a:xfrm>
                      <a:off x="0" y="0"/>
                      <a:ext cx="3291840" cy="771525"/>
                    </a:xfrm>
                    <a:prstGeom prst="rect"/>
                  </pic:spPr>
                </pic:pic>
              </a:graphicData>
            </a:graphic>
          </wp:inline>
        </w:drawing>
      </w:r>
    </w:p>
    <w:p>
      <w:pPr>
        <w:pStyle w:val="Title"/>
        <w:spacing w:before="640"/>
        <w:jc w:val="center"/>
      </w:pPr>
      <w:r>
        <w:t>Estudio de Factibilidad</w:t>
      </w:r>
    </w:p>
    <w:p>
      <w:pPr>
        <w:spacing w:before="160"/>
        <w:jc w:val="center"/>
      </w:pPr>
      <w:r>
        <w:rPr>
          <w:rFonts w:ascii="Aptos" w:hAnsi="Aptos"/>
          <w:color w:val="485A60"/>
          <w:sz w:val="26"/>
        </w:rPr>
        <w:t>Investigación preliminar y factibilidad económica de Formularios Inteligentes</w:t>
      </w:r>
    </w:p>
    <w:p>
      <w:pPr>
        <w:spacing w:before="2900"/>
        <w:jc w:val="center"/>
      </w:pPr>
      <w:r>
        <w:rPr>
          <w:rFonts w:ascii="Aptos" w:hAnsi="Aptos"/>
          <w:color w:val="414B50"/>
          <w:sz w:val="20"/>
        </w:rPr>
        <w:t>Código del documento: FI EF 01</w:t>
        <w:br/>
        <w:t>Versión 1.0</w:t>
        <w:br/>
        <w:t>Fecha de elaboración: 3 de octubre de 2026</w:t>
      </w:r>
    </w:p>
    <w:p>
      <w:r>
        <w:br w:type="page"/>
      </w:r>
    </w:p>
    <w:p>
      <w:pPr>
        <w:pStyle w:val="Heading1"/>
      </w:pPr>
      <w:r>
        <w:t>Control del documento</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44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Elemento</w:t>
            </w:r>
          </w:p>
        </w:tc>
        <w:tc>
          <w:tcPr>
            <w:tcW w:type="dxa" w:w="72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Detalle</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Proyecto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Formularios Inteligentes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Documento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Estudio de factibilidad: investigación preliminar y factibilidad económica</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Versión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Fecha de corte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3 de octubre de 2026</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Estado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Primera estimación para la fase de factibilidad</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Alcance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Sistema web con React, Supabase y análisis mediante OpenAI</w:t>
            </w:r>
          </w:p>
        </w:tc>
      </w:tr>
    </w:tbl>
    <w:p>
      <w:pPr>
        <w:spacing w:after="20"/>
      </w:pPr>
    </w:p>
    <w:p>
      <w:pPr>
        <w:pStyle w:val="Heading1"/>
      </w:pPr>
      <w:r>
        <w:t>Contenido</w:t>
      </w:r>
    </w:p>
    <w:p>
      <w:pPr>
        <w:pStyle w:val="ListNumber"/>
      </w:pPr>
      <w:r>
        <w:t>Presentación del estudio</w:t>
      </w:r>
    </w:p>
    <w:p>
      <w:pPr>
        <w:pStyle w:val="ListNumber"/>
      </w:pPr>
      <w:r>
        <w:t>Investigación preliminar desarrollada de forma narrativa</w:t>
      </w:r>
    </w:p>
    <w:p>
      <w:pPr>
        <w:pStyle w:val="ListNumber"/>
      </w:pPr>
      <w:r>
        <w:t>Factibilidad económica</w:t>
      </w:r>
    </w:p>
    <w:p>
      <w:pPr>
        <w:pStyle w:val="ListNumber"/>
      </w:pPr>
      <w:r>
        <w:t>Objetivo, metodología y supuestos</w:t>
      </w:r>
    </w:p>
    <w:p>
      <w:pPr>
        <w:pStyle w:val="ListNumber"/>
      </w:pPr>
      <w:r>
        <w:t>Recursos y costos del proyecto</w:t>
      </w:r>
    </w:p>
    <w:p>
      <w:pPr>
        <w:pStyle w:val="ListNumber"/>
      </w:pPr>
      <w:r>
        <w:t>Escenarios, beneficios y riesgos</w:t>
      </w:r>
    </w:p>
    <w:p>
      <w:pPr>
        <w:pStyle w:val="ListNumber"/>
      </w:pPr>
      <w:r>
        <w:t>Conclusión y fuentes consultadas</w:t>
      </w:r>
    </w:p>
    <w:p>
      <w:r>
        <w:t>Las cifras, precios y conclusiones corresponden a la fecha de corte indicada. Los valores de proveedores pueden cambiar y deben confirmarse antes de contratar servicios.</w:t>
      </w:r>
    </w:p>
    <w:p>
      <w:r>
        <w:br w:type="page"/>
      </w:r>
    </w:p>
    <w:p>
      <w:pPr>
        <w:pStyle w:val="Heading1"/>
      </w:pPr>
      <w:r>
        <w:t>Presentación del estudio</w:t>
      </w:r>
    </w:p>
    <w:p>
      <w:r>
        <w:t>Este documento integra la investigación preliminar y la factibilidad económica del proyecto Formularios Inteligentes. La primera parte analiza el contexto, el problema, las motivaciones, los usuarios, la solución propuesta y sus principales competidores. La segunda parte estima los recursos, costos, escenarios y beneficios necesarios para implementar y operar el producto.</w:t>
      </w:r>
    </w:p>
    <w:p>
      <w:r>
        <w:t>En conjunto, el estudio permite valorar la pertinencia de la solución y establecer una base económica inicial para las fases de análisis, diseño e implementación. Las cifras corresponden a una estimación preliminar y deberán actualizarse con los resultados del piloto y las decisiones definitivas de arquitectura y alcance.</w:t>
      </w:r>
    </w:p>
    <w:p>
      <w:pPr>
        <w:pStyle w:val="Heading1"/>
        <w:pageBreakBefore/>
      </w:pPr>
      <w:r>
        <w:t>Parte I Investigación preliminar</w:t>
      </w:r>
    </w:p>
    <w:p>
      <w:r>
        <w:t>La investigación preliminar muestra que el mercado ya ofrece herramientas maduras para crear formularios y recopilar respuestas. La oportunidad de Formularios Inteligentes consiste en reunir en una sola plataforma el contexto del negocio, los permisos por departamento, la revisión de solicitudes, el análisis asistido por inteligencia artificial y el registro de decisiones. El proyecto resulta especialmente pertinente para organizaciones que actualmente combinan formularios genéricos, hojas de cálculo, correo electrónico y tareas manuales de seguimiento.</w:t>
      </w:r>
    </w:p>
    <w:p>
      <w:r>
        <w:t>En áreas como Recursos Humanos, administración, compras, soporte y operaciones, los formularios constituyen el punto de entrada de solicitudes, candidatos, incidentes y evidencias. En un escenario habitual, un responsable diseña las preguntas, comparte un enlace, recibe respuestas y posteriormente traslada la información a otra herramienta para revisarla. Cuando participan varias áreas, aparecen tareas adicionales: determinar quién puede ver cada envío, verificar que la información cumpla reglas, solicitar correcciones, registrar observaciones y comunicar una aprobación o rechazo.</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38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Práctica actual</w:t>
            </w:r>
          </w:p>
        </w:tc>
        <w:tc>
          <w:tcPr>
            <w:tcW w:type="dxa" w:w="626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Consecuencia</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Construcción manual de cada formulario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Tiempo repetitivo, estructura inconsistente y posibilidad de omitir preguntas relevantes.</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Respuestas almacenadas en hojas de cálculo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La captura se resuelve, pero la revisión, los permisos y los estados quedan fuera del flujo.</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Coordinación mediante correo o mensajería</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Las observaciones se dispersan y es difícil reconstruir quién tomó una decisión.</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Revisión basada únicamente en criterio humano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Aumenta el tiempo de atención y puede producir resultados inconsistentes en solicitudes similares.</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Herramientas separadas por departamento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Duplicación de formularios, usuarios, datos y costos de administración.</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Integraciones desarrolladas caso por caso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Mayor dependencia técnica y dificultad para reutilizar reglas o conexiones.</w:t>
            </w:r>
          </w:p>
        </w:tc>
      </w:tr>
    </w:tbl>
    <w:p>
      <w:pPr>
        <w:spacing w:after="20"/>
      </w:pPr>
    </w:p>
    <w:p>
      <w:r>
        <w:t>Las organizaciones necesitan recopilar información estructurada y convertirla en decisiones trazables. Las herramientas de formularios tradicionales atienden bien la captura, pero no siempre incorporan el contexto del proceso, la segmentación departamental, un flujo de revisión y la asistencia inteligente bajo una misma administración. Como resultado, el proceso completo requiere intervención manual y múltiples aplicaciones.</w:t>
      </w:r>
    </w:p>
    <w:p>
      <w:r>
        <w:t>Las principales causas identificadas son las siguientes:</w:t>
      </w:r>
    </w:p>
    <w:p>
      <w:pPr>
        <w:pStyle w:val="ListBullet"/>
      </w:pPr>
      <w:r>
        <w:t>Los formularios se diseñan desde cero y dependen de la experiencia individual del creador.</w:t>
      </w:r>
    </w:p>
    <w:p>
      <w:pPr>
        <w:pStyle w:val="ListBullet"/>
      </w:pPr>
      <w:r>
        <w:t>La información de negocio que explica el objetivo, las reglas y el resultado esperado no queda vinculada al formulario.</w:t>
      </w:r>
    </w:p>
    <w:p>
      <w:pPr>
        <w:pStyle w:val="ListBullet"/>
      </w:pPr>
      <w:r>
        <w:t>Los permisos de una herramienta genérica no representan necesariamente los roles internos de la organización.</w:t>
      </w:r>
    </w:p>
    <w:p>
      <w:pPr>
        <w:pStyle w:val="ListBullet"/>
      </w:pPr>
      <w:r>
        <w:t>La revisión ocurre después de exportar los datos o mediante comunicaciones externas.</w:t>
      </w:r>
    </w:p>
    <w:p>
      <w:pPr>
        <w:pStyle w:val="ListBullet"/>
      </w:pPr>
      <w:r>
        <w:t>La automatización y la inteligencia artificial se agregan como servicios separados, lo que incrementa costo y complejidad.</w:t>
      </w:r>
    </w:p>
    <w:p>
      <w:r>
        <w:t>Estas condiciones producen efectos que pueden observarse en la operación diaria:</w:t>
      </w:r>
    </w:p>
    <w:p>
      <w:pPr>
        <w:pStyle w:val="ListBullet"/>
      </w:pPr>
      <w:r>
        <w:t>Mayor tiempo entre la recepción de una respuesta y la decisión.</w:t>
      </w:r>
    </w:p>
    <w:p>
      <w:pPr>
        <w:pStyle w:val="ListBullet"/>
      </w:pPr>
      <w:r>
        <w:t>Inconsistencias en formularios que deberían seguir un mismo estándar.</w:t>
      </w:r>
    </w:p>
    <w:p>
      <w:pPr>
        <w:pStyle w:val="ListBullet"/>
      </w:pPr>
      <w:r>
        <w:t>Poca visibilidad del estado de una solicitud y de la observación que fundamentó la decisión.</w:t>
      </w:r>
    </w:p>
    <w:p>
      <w:pPr>
        <w:pStyle w:val="ListBullet"/>
      </w:pPr>
      <w:r>
        <w:t>Riesgo de acceso excesivo a información personal o departamental.</w:t>
      </w:r>
    </w:p>
    <w:p>
      <w:pPr>
        <w:pStyle w:val="ListBullet"/>
      </w:pPr>
      <w:r>
        <w:t>Dificultad para convertir las respuestas en indicadores o acciones posteriores.</w:t>
      </w:r>
    </w:p>
    <w:p>
      <w:r>
        <w:t>A partir de esta situación, la investigación se orienta mediante la siguiente pregunta:</w:t>
      </w:r>
    </w:p>
    <w:p>
      <w:r>
        <w:t>¿Es posible desarrollar una plataforma web de bajo costo que permita crear formularios mediante lenguaje natural, publicarlos de forma pública o privada, controlar el acceso por rol y departamento, analizar respuestas con inteligencia artificial y registrar decisiones con trazabilidad?</w:t>
      </w:r>
    </w:p>
    <w:p>
      <w:r>
        <w:t>El equipo decidió emprender el proyecto por la necesidad de demostrar que la inteligencia artificial puede utilizarse como apoyo controlado dentro de un proceso administrativo, y no solamente como un chat independiente. La propuesta mantiene al usuario responsable de revisar y confirmar lo generado, mientras la plataforma conserva reglas, permisos, respuestas y estados en una base de datos estructurada.</w:t>
      </w:r>
    </w:p>
    <w:p>
      <w:r>
        <w:t>El proyecto busca reducir el esfuerzo necesario para configurar formularios mediante su generación a partir de instrucciones escritas en lenguaje natural y estructuras de datos validadas. También pretende mejorar la consistencia al permitir que cada formulario incluya un contexto definido por objetivos, instrucciones, reglas, restricciones y resultados esperados. La protección de la información se garantiza mediante mecanismos de autenticación, roles, permisos y políticas de seguridad en Supabase. Además, el sistema agiliza la revisión de las respuestas utilizando inteligencia artificial para proponer un estado y una observación, aunque la decisión debe ser confirmada por una persona antes de guardarse. La trazabilidad se mantiene mediante los estados Ingresado, En revisión, Aprobado y Rechazado, junto con el registro permanente de las observaciones. Finalmente, la arquitectura web modular, las migraciones de la base de datos y las funciones seguras del servidor facilitan el mantenimiento y la incorporación de mejoras en el sistema.</w:t>
      </w:r>
    </w:p>
    <w:p>
      <w:pPr>
        <w:spacing w:after="20"/>
      </w:pPr>
    </w:p>
    <w:p>
      <w:r>
        <w:t>La solución debe responder a las necesidades de distintos participantes del proceso, desde quienes administran la plataforma hasta quienes completan y revisan los formularios.</w:t>
      </w:r>
    </w:p>
    <w:p>
      <w:r>
        <w:t>El sistema atiende las necesidades de diferentes tipos de usuarios. El administrador controla los usuarios, roles, departamentos y la operación general mediante un directorio de usuarios y herramientas para asignar funciones y permisos administrativos. El diseñador de formularios puede crear y modificar formularios mediante un editor visual y funciones de generación asistida por inteligencia artificial, lo que reduce el trabajo repetitivo. Por su parte, el configurador de contexto establece los criterios de negocio que orientan el análisis, incluyendo reglas, restricciones e instrucciones que pueden actualizarse conforme cambien las necesidades del proceso.</w:t>
      </w:r>
    </w:p>
    <w:p>
      <w:r>
        <w:t>Los participantes pueden responder los formularios desde diferentes dispositivos mediante enlaces públicos o privados, con validación de campos y captura de imágenes cuando sea necesario. Los usuarios encargados de la revisión consultan únicamente los envíos correspondientes a su departamento mediante una bandeja filtrada, desde la cual pueden examinar las respuestas, solicitar el análisis mediante inteligencia artificial, registrar observaciones y tomar una decisión. Finalmente, el analista puede consultar el volumen de solicitudes, sus estados y resultados a partir de información preparada para la creación de paneles e indicadores.</w:t>
      </w:r>
    </w:p>
    <w:p>
      <w:pPr>
        <w:spacing w:after="20"/>
      </w:pPr>
    </w:p>
    <w:p>
      <w:r>
        <w:t>Formularios Inteligentes es un sistema web compuesta por una interfaz React y un backend administrado en Supabase. La plataforma permite diseñar formularios por secciones, asignarlos a departamentos, publicarlos, recopilar respuestas y administrar su revisión. Las funciones de inteligencia artificial utilizan OpenAI desde funciones seguras del servidor, por lo que las claves privadas no se exponen al navegador.</w:t>
      </w:r>
    </w:p>
    <w:p>
      <w:r>
        <w:t>Estas son las funcionalidades disponibles en el sistema:</w:t>
      </w:r>
    </w:p>
    <w:p>
      <w:pPr>
        <w:pStyle w:val="ListBullet"/>
      </w:pPr>
      <w:r>
        <w:t>Inicio de sesión, perfiles, roles y permisos.</w:t>
      </w:r>
    </w:p>
    <w:p>
      <w:pPr>
        <w:pStyle w:val="ListBullet"/>
      </w:pPr>
      <w:r>
        <w:t>Constructor de formularios con preguntas de texto, selección, fechas, números, booleanos y fotografías.</w:t>
      </w:r>
    </w:p>
    <w:p>
      <w:pPr>
        <w:pStyle w:val="ListBullet"/>
      </w:pPr>
      <w:r>
        <w:t>Generación y edición de formularios mediante inteligencia artificial.</w:t>
      </w:r>
    </w:p>
    <w:p>
      <w:pPr>
        <w:pStyle w:val="ListBullet"/>
      </w:pPr>
      <w:r>
        <w:t>Publicación pública o privada mediante enlace estable.</w:t>
      </w:r>
    </w:p>
    <w:p>
      <w:pPr>
        <w:pStyle w:val="ListBullet"/>
      </w:pPr>
      <w:r>
        <w:t>Asignación de formularios por departamento.</w:t>
      </w:r>
    </w:p>
    <w:p>
      <w:pPr>
        <w:pStyle w:val="ListBullet"/>
      </w:pPr>
      <w:r>
        <w:t>Registro de envíos, respuestas y estados de revisión.</w:t>
      </w:r>
    </w:p>
    <w:p>
      <w:pPr>
        <w:pStyle w:val="ListBullet"/>
      </w:pPr>
      <w:r>
        <w:t>Análisis de respuestas según el contexto del formulario.</w:t>
      </w:r>
    </w:p>
    <w:p>
      <w:pPr>
        <w:pStyle w:val="ListBullet"/>
      </w:pPr>
      <w:r>
        <w:t>Recomendación de aprobación o rechazo con observación editable y confirmación humana.</w:t>
      </w:r>
    </w:p>
    <w:p>
      <w:r>
        <w:t>La revisión del mercado confirma que ya existen herramientas capaces de resolver una parte del problema. Las alternativas más relevantes se describen a continuación.</w:t>
      </w:r>
    </w:p>
    <w:p>
      <w:r>
        <w:t>Google Forms permite crear formularios y cuestionarios con distintos tipos de pregunta, plantillas, personalización básica, lógica de navegación y análisis en tiempo real. Las respuestas pueden exportarse a Google Sheets y los formularios funcionan en dispositivos móviles. Su principal ventaja es la facilidad de adopción dentro de Google Workspace. Para el problema estudiado, la limitación es que el flujo departamental, la revisión con estados propios y el análisis contextual requieren procesos o desarrollos adicionales.</w:t>
      </w:r>
    </w:p>
    <w:p>
      <w:r>
        <w:t>Microsoft Forms permite crear encuestas, cuestionarios y registros, recibir respuestas desde navegadores y exportar resultados a Excel. Su integración con Microsoft 365 lo hace atractivo para organizaciones que ya utilizan ese ecosistema. La documentación oficial indica límites amplios para clientes empresariales y educativos. No obstante, un proceso especializado de revisión por departamentos y decisiones asistidas por un contexto propio normalmente depende de Power Automate, Power Apps u otras configuraciones.</w:t>
      </w:r>
    </w:p>
    <w:p>
      <w:r>
        <w:t>Typeform compite mediante una experiencia visual conversacional, lógica condicional, integraciones, marca personalizada y funciones de inteligencia artificial. Sus planes comerciales incrementan respuestas, usuarios y capacidades de análisis. Es una referencia fuerte en experiencia del participante; sin embargo, su enfoque principal es la captura y conversión. La adaptación a reglas internas, permisos específicos y una bandeja BackOffice propia puede requerir planes superiores e integraciones.</w:t>
      </w:r>
    </w:p>
    <w:p>
      <w:r>
        <w:t>Jotform ofrece un catálogo amplio de campos, plantillas, pagos, documentos, aprobaciones y agentes de inteligencia artificial. El plan Starter es gratuito con límites de formularios y envíos; los planes pagados amplían capacidad y eliminan la marca. Es uno de los competidores más cercanos por amplitud funcional. La oportunidad del proyecto reside en controlar el modelo de datos, el flujo por departamento y la lógica del análisis sin depender de límites por formulario o de un ecosistema cerrado.</w:t>
      </w:r>
    </w:p>
    <w:p>
      <w:r>
        <w:t>Zoho Forms incluye formularios adaptables, reglas, aprobaciones multinivel, permisos, auditoría, integraciones y creación con inteligencia artificial según el plan. Resulta competitivo para organizaciones que ya utilizan aplicaciones Zoho. Su fortaleza confirma que existe demanda por flujos de aprobación; al mismo tiempo, la propuesta propia puede enfocarse en una experiencia simplificada, integración directa con sistemas internos y control de costos según el uso real.</w:t>
      </w:r>
    </w:p>
    <w:p>
      <w:r>
        <w:t>Formstack se orienta a formularios seguros y automatización empresarial, con opciones de documentos, firma electrónica, Salesforce, inicio de sesión único y soluciones reguladas. Su precio inicial es superior al de herramientas generalistas, lo cual refleja su enfoque empresarial. Formularios Inteligentes no iguala todavía ese nivel de cumplimiento e integraciones, pero puede ser una alternativa específica y más económica para procesos internos de alcance controlado.</w:t>
      </w:r>
    </w:p>
    <w:p>
      <w:r>
        <w:t>La comparación permite observar las fortalezas de cada solución y las limitaciones que presentan frente al flujo propuesto por Formularios Inteligentes.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51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Solución</w:t>
            </w:r>
          </w:p>
        </w:tc>
        <w:tc>
          <w:tcPr>
            <w:tcW w:type="dxa" w:w="295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Fortalezas principales</w:t>
            </w:r>
          </w:p>
        </w:tc>
        <w:tc>
          <w:tcPr>
            <w:tcW w:type="dxa" w:w="324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Limitación frente al caso</w:t>
            </w:r>
          </w:p>
        </w:tc>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Precio de referencia</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Google Forms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Facilidad, colaboración, Sheets, lógica y acceso móvil.</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Flujo especializado y revisión departamental requieren componentes adicionales.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Disponible sin costo individual; también integrado en Google Workspace.</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Microsoft Forms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Integración con Microsoft 365, Excel y administración empresarial.</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Automatización avanzada suele depender del ecosistema Power Platform.</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Incluido en cuentas y planes Microsoft compatibles.</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Typeform</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Experiencia visual, marca, lógica, integraciones y funciones de inteligencia artificial.</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Costo por capacidad y menor control sobre un flujo interno personalizado.</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Basic desde 29 dólares estadounidenses al mes; niveles superiores según respuestas y usuarios.</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Jotform</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Gran variedad de campos, aprobaciones, documentos y agentes inteligencia artificial.</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Límites de formularios, envíos y usuarios según el plan.</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Starter gratuito; Bronze 34 dólares estadounidenses al mes con pago anual.</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Zoho Forms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Reglas, permisos, aprobaciones, auditoría e integración Zoho.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Mayor dependencia del ecosistema y configuración del proveedor.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Plan gratuito y planes pagados según capacidad.</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Formstack</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Seguridad empresarial, automatización, documentos y firma.</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Precio alto para un equipo pequeño y personalización ligada al proveedor.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Forms desde 83 dólares estadounidenses al mes con pago anual.</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Formularios Inteligentes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Contexto propio, roles y seguridad a nivel de filas, departamentos, BackOffice y análisis de inteligencia artificial controlado.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Requiere acuerdos de nivel de servicio, integraciones amplias y mayor madurez operativa.</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Infraestructura base estimada desde 51.25 dólares estadounidenses al mes en producción.</w:t>
            </w:r>
          </w:p>
        </w:tc>
      </w:tr>
    </w:tbl>
    <w:p>
      <w:pPr>
        <w:spacing w:after="20"/>
      </w:pPr>
    </w:p>
    <w:p>
      <w:r>
        <w:t>La solución no debe posicionarse como un constructor genérico con más plantillas que los líderes del mercado. Su propuesta de valor es convertir una respuesta en un caso de negocio trazable: el formulario conserva su contexto, cada usuario observa solamente lo autorizado, la inteligencia artificial analiza bajo reglas explícitas y la decisión final permanece bajo control humano. Esta especialización es relevante cuando el proceso importa tanto como la captura.</w:t>
      </w:r>
    </w:p>
    <w:p>
      <w:r>
        <w:t>Además de la oportunidad funcional, el proyecto debe considerar los riesgos de seguridad, calidad de la inteligencia artificial, dependencia de proveedores y adopción por parte de los usuarios.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Factor</w:t>
            </w:r>
          </w:p>
        </w:tc>
        <w:tc>
          <w:tcPr>
            <w:tcW w:type="dxa" w:w="39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Hallazgo preliminar</w:t>
            </w:r>
          </w:p>
        </w:tc>
        <w:tc>
          <w:tcPr>
            <w:tcW w:type="dxa" w:w="388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Respuesta recomendada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Oportunidad funcional</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Unificar captura, revisión, contexto y decisión en una sola plataforma.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Priorizar flujos departamentales y trazabilidad antes que ampliar plantillas.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Oportunidad económica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Servicios administrados y modelos por consumo reducen la inversión inicial.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Mantener límites, alertas de gasto y métricas por análisis.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Competencia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Existen soluciones maduras y algunas ya incorporan inteligencia artificial y aprobaciones.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Diferenciar mediante personalización, propiedad de datos e integración específica.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Seguridad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 procesan datos personales y posiblemente imágenes.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Fortalecer autenticación en funciones seguras del servidor, Storage, auditoría y políticas de retención.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Calidad de inteligencia artificial</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Una recomendación puede ser incompleta o incorrecta.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Conservar revisión humana, mostrar criterios y evitar decisiones automáticas irreversibles.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Adopción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Los usuarios pueden preferir herramientas conocidas.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Validar el flujo con un departamento piloto y medir tiempo, errores y satisfacción.</w:t>
            </w:r>
          </w:p>
        </w:tc>
      </w:tr>
    </w:tbl>
    <w:p>
      <w:pPr>
        <w:spacing w:after="20"/>
      </w:pPr>
    </w:p>
    <w:p>
      <w:r>
        <w:t>La investigación confirma que el problema tiene soluciones parciales y competidores importantes, pero también que existe espacio para una plataforma enfocada en procesos internos con contexto, permisos, revisión y decisiones trazables. El proyecto es pertinente si se orienta a organizaciones que necesitan adaptar el flujo a sus reglas y conservar control sobre la aplicación y los datos.</w:t>
      </w:r>
    </w:p>
    <w:p>
      <w:r>
        <w:t>La ventaja competitiva no proviene únicamente de generar preguntas con inteligencia artificial, porque esa función ya aparece en varias plataformas. La diferenciación sostenible debe construirse alrededor del contexto de negocio, la seguridad por departamento, la trazabilidad de observaciones, la integración con sistemas propios y la capacidad de medir el efecto operativo. La siguiente fase debe validar estos supuestos con usuarios reales y un proceso piloto.</w:t>
      </w:r>
    </w:p>
    <w:p>
      <w:pPr/>
      <w:r>
        <w:rPr>
          <w:b/>
        </w:rPr>
        <w:t>Fuentes consultadas</w:t>
      </w:r>
    </w:p>
    <w:p>
      <w:pPr>
        <w:spacing w:after="80"/>
        <w:ind w:left="360" w:hanging="360"/>
      </w:pPr>
      <w:r>
        <w:rPr>
          <w:sz w:val="18"/>
        </w:rPr>
        <w:t>[1] Google Workspace, Google Forms. https://workspace.google.com/products/forms/ (consulta: 3 de octubre de 2026).</w:t>
      </w:r>
    </w:p>
    <w:p>
      <w:pPr>
        <w:spacing w:after="80"/>
        <w:ind w:left="360" w:hanging="360"/>
      </w:pPr>
      <w:r>
        <w:rPr>
          <w:sz w:val="18"/>
        </w:rPr>
        <w:t>[2] Microsoft Learn, configuración y capacidades de Microsoft Forms. https://learn.microsoft.com/en-us/microsoft-forms/set-up-microsoft-forms (consulta: 3 de octubre de 2026).</w:t>
      </w:r>
    </w:p>
    <w:p>
      <w:pPr>
        <w:spacing w:after="80"/>
        <w:ind w:left="360" w:hanging="360"/>
      </w:pPr>
      <w:r>
        <w:rPr>
          <w:sz w:val="18"/>
        </w:rPr>
        <w:t>[3] Typeform, planes y precios. https://www.typeform.com/pricing (consulta: 3 de octubre de 2026).</w:t>
      </w:r>
    </w:p>
    <w:p>
      <w:pPr>
        <w:spacing w:after="80"/>
        <w:ind w:left="360" w:hanging="360"/>
      </w:pPr>
      <w:r>
        <w:rPr>
          <w:sz w:val="18"/>
        </w:rPr>
        <w:t>[4] Jotform, características y precios. https://www.jotform.com/pricing/ (consulta: 3 de octubre de 2026).</w:t>
      </w:r>
    </w:p>
    <w:p>
      <w:pPr>
        <w:spacing w:after="80"/>
        <w:ind w:left="360" w:hanging="360"/>
      </w:pPr>
      <w:r>
        <w:rPr>
          <w:sz w:val="18"/>
        </w:rPr>
        <w:t>[5] Zoho Forms, planes y características. https://www.zoho.com/forms/pricing.html (consulta: 3 de octubre de 2026).</w:t>
      </w:r>
    </w:p>
    <w:p>
      <w:pPr>
        <w:spacing w:after="80"/>
        <w:ind w:left="360" w:hanging="360"/>
      </w:pPr>
      <w:r>
        <w:rPr>
          <w:sz w:val="18"/>
        </w:rPr>
        <w:t>[6] Formstack, precios de Forms. https://forms.formstack.com/pricing (consulta: 3 de octubre de 2026).</w:t>
      </w:r>
    </w:p>
    <w:p>
      <w:pPr>
        <w:spacing w:after="80"/>
        <w:ind w:left="360" w:hanging="360"/>
      </w:pPr>
      <w:r>
        <w:rPr>
          <w:sz w:val="18"/>
        </w:rPr>
        <w:t>[7] Documentación interna del proyecto. docs/PLANTEAMIENTO.md y docs/IMPLEMENTACION.md (consulta: 3 de octubre de 2026).</w:t>
      </w:r>
    </w:p>
    <w:p>
      <w:pPr>
        <w:pStyle w:val="Heading1"/>
        <w:pageBreakBefore/>
      </w:pPr>
      <w:r>
        <w:t>Parte II Factibilidad económica</w:t>
      </w:r>
    </w:p>
    <w:p>
      <w:r>
        <w:t>La aplicación es económicamente viable porque puede utilizar infraestructura gratuita durante su etapa académica y requiere únicamente una reserva pequeña para el consumo de inteligencia artificial. La estimación distingue el valor referencial de las horas de trabajo y los desembolsos que efectivamente deberá realizar el equipo. Las cifras se actualizarán después de la fase de análisis y diseño.</w:t>
      </w:r>
    </w:p>
    <w:p>
      <w:r>
        <w:t>Esta factibilidad económica constituye una primera estimación de los costos del proyecto. En ella se desglosan los recursos humanos, tecnológicos y operativos necesarios. Los valores son referenciales y deberán refinarse después del análisis y diseño. Las horas se valoran a 15 dólares estadounidenses por programador y no representan un salario, una cotización comercial ni un pago inmediato.</w:t>
      </w:r>
    </w:p>
    <w:p>
      <w:r>
        <w:t>El trabajo se realizará entre dos programadores con responsabilidades compartidas. Para esta primera estimación se considera una carga total de 380 horas: 190 horas para cada integrante. El primer programador tendrá mayor participación en la interfaz, mientras que el segundo se concentrará en el servidor y la base de datos. Las tareas de análisis, diseño, inteligencia artificial, pruebas, despliegue y documentación se distribuirán de forma equilibrada.</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345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Actividad</w:t>
            </w:r>
          </w:p>
        </w:tc>
        <w:tc>
          <w:tcPr>
            <w:tcW w:type="dxa" w:w="151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Programador 1</w:t>
            </w:r>
          </w:p>
        </w:tc>
        <w:tc>
          <w:tcPr>
            <w:tcW w:type="dxa" w:w="151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Programador 2</w:t>
            </w:r>
          </w:p>
        </w:tc>
        <w:tc>
          <w:tcPr>
            <w:tcW w:type="dxa" w:w="115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Total</w:t>
            </w:r>
          </w:p>
        </w:tc>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Costo estimado</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Análisis y definición del alcance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20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20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40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600 dólares</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Diseño de experiencia y formularios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20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20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40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600 dólares</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Desarrollo de la interfaz</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60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40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100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1,500 dólares</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Servidor y base de datos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40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60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100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1,500 dólares</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Inteligencia artificial y pruebas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30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30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60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900 dólares</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Despliegue y documentación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20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20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40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600 dólares</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Total estimado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190 h</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190 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380 h</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5,700 dólares</w:t>
            </w:r>
          </w:p>
        </w:tc>
      </w:tr>
    </w:tbl>
    <w:p>
      <w:pPr>
        <w:spacing w:after="20"/>
      </w:pPr>
    </w:p>
    <w:p>
      <w:r>
        <w:t>El trabajo se valora en 5,700 dólares estadounidenses, equivalentes a 2,850 dólares por programador. Con una dedicación aproximada de 15 horas semanales por persona, el desarrollo requeriría alrededor de 13 semanas. Estas cifras reconocen el esfuerzo académico, pero no constituyen un desembolso inmediato.</w:t>
      </w:r>
    </w:p>
    <w:p>
      <w:r>
        <w:t>React, TypeScript, Vite y Git no requieren licencias. Para el escenario académico se utilizarán los niveles gratuitos de Supabase y Vercel, junto con una reserva mensual de 2 dólares para inteligencia artificial. El dominio propio es opcional y se estima en 15 dólares al año.</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88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Recurso</w:t>
            </w:r>
          </w:p>
        </w:tc>
        <w:tc>
          <w:tcPr>
            <w:tcW w:type="dxa" w:w="21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Costo estimado</w:t>
            </w:r>
          </w:p>
        </w:tc>
        <w:tc>
          <w:tcPr>
            <w:tcW w:type="dxa" w:w="460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Justificación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Equipo de desarrollo</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0 dólares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Se utilizan computadoras disponibles del equipo.</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Herramientas de programación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0 dólares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React, TypeScript, Vite y Git son herramientas sin costo de licencia.</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Base de datos y autenticación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0 dólares al mes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El nivel gratuito de Supabase cubre el uso académico previsto.</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Alojamiento del sistema</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0 dólares al mes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El nivel gratuito de Vercel es suficiente para pruebas y demostraciones.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Inteligencia artificial</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 dólares al mes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Reserva para generación de formularios y análisis de respuestas.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Dominio propio</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15 dólares al año, opcional</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Solo se necesita si se desea una dirección personalizada.</w:t>
            </w:r>
          </w:p>
        </w:tc>
      </w:tr>
    </w:tbl>
    <w:p>
      <w:pPr>
        <w:spacing w:after="20"/>
      </w:pPr>
    </w:p>
    <w:p>
      <w:r>
        <w:t>El desembolso operativo se estima en 24 dólares anuales sin dominio o 39 dólares con dominio propio. No se requiere adquirir licencias, servidores ni equipo adicional durante el escenario académico.</w:t>
      </w:r>
    </w:p>
    <w:p>
      <w:r>
        <w:t>Inicialmente se utilizarán modelos de OpenAI. Posteriormente se evaluará Ollama mediante pruebas de rendimiento, calidad de respuesta y consumo de recursos. Los modelos locales podrían reducir la dependencia de servicios externos, pero también pueden requerir equipos con mayor capacidad, energía y mantenimiento; por ello, no se incluyen como gasto inmediato.</w:t>
      </w:r>
    </w:p>
    <w:p>
      <w:r>
        <w:t>Si el sistema pasa a un uso institucional, deberán revisarse los límites gratuitos. Como referencia, Supabase ofrece un plan profesional desde 25 dólares mensuales y Vercel desde 20 dólares mensuales; estos planes no forman parte del presupuesto actual.</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88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Riesgo económico</w:t>
            </w:r>
          </w:p>
        </w:tc>
        <w:tc>
          <w:tcPr>
            <w:tcW w:type="dxa" w:w="57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Medida de control</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Aumento del consumo de inteligencia artificial</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Impedir análisis repetidos, registrar el consumo y establecer un límite mensual.</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Superación de los límites gratuitos</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Revisar trimestralmente usuarios, almacenamiento y transferencias.</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Cambio de precios de proveedores</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Actualizar el presupuesto antes de contratar cualquier plan pagado.</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Rendimiento insuficiente de modelos locales</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Comparar Ollama con los modelos de OpenAI antes de realizar la migración.</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Crecimiento no planificado del sistema</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Autorizar nuevas funciones según prioridad y disponibilidad presupuestaria.</w:t>
            </w:r>
          </w:p>
        </w:tc>
      </w:tr>
    </w:tbl>
    <w:p>
      <w:pPr>
        <w:spacing w:after="20"/>
      </w:pPr>
    </w:p>
    <w:p>
      <w:r>
        <w:rPr>
          <w:b/>
        </w:rPr>
        <w:t xml:space="preserve">Conclusión de factibilidad. </w:t>
      </w:r>
      <w:r>
        <w:t>El proyecto es económicamente factible. La primera estimación reconoce 5,700 dólares estadounidenses como valor del trabajo del equipo y entre 24 y 39 dólares como desembolso operativo durante el primer año, según se adquiera o no un dominio propio. Por tanto, el costo económico total de referencia se encuentra entre 5,724 y 5,739 dólares, aunque el pago efectivo previsto para el escenario académico corresponde únicamente a la operación. El uso de infraestructura gratuita reduce el desembolso sin impedir la demostración de las funciones principales. Todas estas cifras deberán refinarse después de la fase de análisis y diseño y conforme se obtengan datos reales de uso.</w:t>
      </w:r>
    </w:p>
    <w:p>
      <w:r>
        <w:rPr>
          <w:b/>
        </w:rPr>
        <w:t xml:space="preserve">Fuentes consultadas. </w:t>
      </w:r>
      <w:r>
        <w:t>Precios y características oficiales de Supabase, Vercel y OpenAI, consultados el 3 de octubre de 2026. Los valores son referencias públicas y deben verificarse nuevamente antes de contratar servicios.</w:t>
      </w:r>
    </w:p>
    <w:sectPr w:rsidR="00FC693F" w:rsidRPr="0006063C" w:rsidSect="00034616">
      <w:headerReference w:type="default" r:id="rId9"/>
      <w:footerReference w:type="default" r:id="rId10"/>
      <w:pgSz w:w="12240" w:h="15840"/>
      <w:pgMar w:top="1080" w:right="1224" w:bottom="1037"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3"/>
        <w:sz w:val="16"/>
      </w:rPr>
      <w:t xml:space="preserve">Proyecto final universitario   •   Octubre de 2026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6970"/>
        <w:sz w:val="16"/>
      </w:rPr>
      <w:t>FORMULARIOS INTELIGENTES   |   ESTUDIO DE FACTIBILIDAD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Factibilidad de Formularios Inteligentes</dc:title>
  <dc:subject>Investigación preliminar y factibilidad económica</dc:subject>
  <dc:creator>Equipo de Formularios Inteligentes</dc:creator>
  <cp:keywords/>
  <dc:description>generated by python-docx</dc:description>
  <cp:lastModifiedBy/>
  <cp:revision>1</cp:revision>
  <dcterms:created xsi:type="dcterms:W3CDTF">2013-12-23T23:15:00Z</dcterms:created>
  <dcterms:modified xsi:type="dcterms:W3CDTF">2013-12-23T23:15:00Z</dcterms:modified>
  <cp:category/>
</cp:coreProperties>
</file>