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Cuerpodetextokicker"/>
        <w:bidi w:val="0"/>
        <w:jc w:val="left"/>
        <w:rPr/>
      </w:pPr>
      <w:r>
        <w:rPr/>
        <w:t>CONDOMINIO MISIONES · MESA DIRECTIVA</w:t>
      </w:r>
    </w:p>
    <w:p>
      <w:pPr>
        <w:pStyle w:val="BodyText"/>
        <w:bidi w:val="0"/>
        <w:jc w:val="left"/>
        <w:rPr/>
      </w:pPr>
      <w:r>
        <w:rPr/>
        <w:t>Senda Eterna 444, Fraccionamiento Milenio III, Santiago de Querétaro, Qro.</w:t>
      </w:r>
    </w:p>
    <w:p>
      <w:pPr>
        <w:pStyle w:val="Cuerpodetextometa"/>
        <w:bidi w:val="0"/>
        <w:ind w:hanging="0" w:left="280" w:right="280"/>
        <w:jc w:val="left"/>
        <w:rPr/>
      </w:pPr>
      <w:r>
        <w:rPr/>
        <w:t xml:space="preserve">Querétaro, Qro., a </w:t>
      </w:r>
      <w:r>
        <w:rPr>
          <w:shd w:fill="FFF3CD" w:val="clear"/>
        </w:rPr>
        <w:t>___</w:t>
      </w:r>
      <w:r>
        <w:rPr/>
        <w:t xml:space="preserve"> de octubre de 2026</w:t>
      </w:r>
    </w:p>
    <w:p>
      <w:pPr>
        <w:pStyle w:val="Cuerpodetextoasunto"/>
        <w:bidi w:val="0"/>
        <w:jc w:val="left"/>
        <w:rPr/>
      </w:pPr>
      <w:r>
        <w:rPr/>
        <w:t>Asunto: Requerimiento de entrega-recepción, rendición de cuentas y devolución de recursos del condominio</w:t>
      </w:r>
    </w:p>
    <w:p>
      <w:pPr>
        <w:pStyle w:val="BodyText"/>
        <w:bidi w:val="0"/>
        <w:jc w:val="left"/>
        <w:rPr/>
      </w:pPr>
      <w:r>
        <w:rPr/>
        <w:t>Sr. Víctor Hinojosa Vivas</w:t>
        <w:br/>
        <w:t>Admin-Solutions</w:t>
        <w:br/>
        <w:t>Presente</w:t>
      </w:r>
    </w:p>
    <w:p>
      <w:pPr>
        <w:pStyle w:val="BodyText"/>
        <w:bidi w:val="0"/>
        <w:jc w:val="left"/>
        <w:rPr/>
      </w:pPr>
      <w:r>
        <w:rPr/>
        <w:t>Por oficio del 2 de octubre de 2026 la mesa directiva le comunicó la conclusión del servicio de administración y lo convocó a la entrega-recepción el martes 6 de octubre a las 12:00 horas. Esa reunión no se realizó por su inasistencia y a la fecha no hemos recibido respuesta a los mensajes enviados.</w:t>
      </w:r>
    </w:p>
    <w:p>
      <w:pPr>
        <w:pStyle w:val="BodyText"/>
        <w:bidi w:val="0"/>
        <w:ind w:hanging="0" w:left="0" w:right="0"/>
        <w:jc w:val="left"/>
        <w:rPr/>
      </w:pPr>
      <w:r>
        <w:rPr/>
        <w:t xml:space="preserve">En la Asamblea de Propietarios celebrada el 13 de octubre de 2026 se acordó requerirle formalmente, por este medio, la entrega de lo siguiente en un plazo máximo de </w:t>
      </w:r>
      <w:r>
        <w:rPr>
          <w:rStyle w:val="Strong"/>
          <w:shd w:fill="FFF3CD" w:val="clear"/>
        </w:rPr>
        <w:t>diez días naturales</w:t>
      </w:r>
      <w:r>
        <w:rPr/>
        <w:t xml:space="preserve"> contados a partir de la recepción de esta carta, es decir, a más tardar el </w:t>
      </w:r>
      <w:r>
        <w:rPr>
          <w:shd w:fill="FFF3CD" w:val="clear"/>
        </w:rPr>
        <w:t>___ de octubre de 2026</w:t>
      </w:r>
      <w:r>
        <w:rPr/>
        <w:t>:</w:t>
      </w:r>
    </w:p>
    <w:p>
      <w:pPr>
        <w:pStyle w:val="Heading1"/>
        <w:bidi w:val="0"/>
        <w:jc w:val="left"/>
        <w:rPr/>
      </w:pPr>
      <w:r>
        <w:rPr/>
        <w:t>1. Recursos del condominio</w:t>
      </w:r>
    </w:p>
    <w:p>
      <w:pPr>
        <w:pStyle w:val="BodyText"/>
        <w:numPr>
          <w:ilvl w:val="0"/>
          <w:numId w:val="1"/>
        </w:numPr>
        <w:tabs>
          <w:tab w:val="clear" w:pos="1134"/>
          <w:tab w:val="left" w:pos="709" w:leader="none"/>
        </w:tabs>
        <w:bidi w:val="0"/>
        <w:spacing w:before="0" w:after="0"/>
        <w:ind w:hanging="283" w:left="709"/>
        <w:jc w:val="left"/>
        <w:rPr/>
      </w:pPr>
      <w:r>
        <w:rPr/>
        <w:t xml:space="preserve">El saldo de </w:t>
      </w:r>
      <w:r>
        <w:rPr>
          <w:rStyle w:val="Strong"/>
        </w:rPr>
        <w:t>$18,452.00</w:t>
      </w:r>
      <w:r>
        <w:rPr/>
        <w:t xml:space="preserve"> que la propia administración reportó como caja al 30 de junio de 2026 en la tabla contable de ingresos y egresos. </w:t>
      </w:r>
    </w:p>
    <w:p>
      <w:pPr>
        <w:pStyle w:val="BodyText"/>
        <w:numPr>
          <w:ilvl w:val="0"/>
          <w:numId w:val="1"/>
        </w:numPr>
        <w:tabs>
          <w:tab w:val="clear" w:pos="1134"/>
          <w:tab w:val="left" w:pos="709" w:leader="none"/>
        </w:tabs>
        <w:bidi w:val="0"/>
        <w:spacing w:before="0" w:after="0"/>
        <w:ind w:hanging="283" w:left="709"/>
        <w:jc w:val="left"/>
        <w:rPr/>
      </w:pPr>
      <w:r>
        <w:rPr/>
        <w:t xml:space="preserve">La totalidad de las cuotas de mantenimiento, cuotas de agua y cuotas extraordinarias cobradas a los propietarios entre el 1 de julio y el 30 de septiembre de 2026, incluida la cuota extraordinaria de $1,000.00 por departamento aprobada en agosto para la protocolización de la mesa directiva, la apertura de la cuenta bancaria y el control de acceso, menos los gastos del condominio que acredite con comprobante. </w:t>
      </w:r>
    </w:p>
    <w:p>
      <w:pPr>
        <w:pStyle w:val="BodyText"/>
        <w:numPr>
          <w:ilvl w:val="0"/>
          <w:numId w:val="1"/>
        </w:numPr>
        <w:tabs>
          <w:tab w:val="clear" w:pos="1134"/>
          <w:tab w:val="left" w:pos="709" w:leader="none"/>
        </w:tabs>
        <w:bidi w:val="0"/>
        <w:ind w:hanging="283" w:left="709"/>
        <w:jc w:val="left"/>
        <w:rPr/>
      </w:pPr>
      <w:r>
        <w:rPr/>
        <w:t xml:space="preserve">El saldo que resulte deberá transferirse a la cuenta que la mesa directiva le indique por escrito, con comprobante de la operación. </w:t>
      </w:r>
    </w:p>
    <w:p>
      <w:pPr>
        <w:pStyle w:val="Heading1"/>
        <w:bidi w:val="0"/>
        <w:jc w:val="left"/>
        <w:rPr/>
      </w:pPr>
      <w:r>
        <w:rPr/>
        <w:t>2. Rendición de cuentas de julio a septiembre de 2026</w:t>
      </w:r>
    </w:p>
    <w:p>
      <w:pPr>
        <w:pStyle w:val="BodyText"/>
        <w:numPr>
          <w:ilvl w:val="0"/>
          <w:numId w:val="2"/>
        </w:numPr>
        <w:tabs>
          <w:tab w:val="clear" w:pos="1134"/>
          <w:tab w:val="left" w:pos="709" w:leader="none"/>
        </w:tabs>
        <w:bidi w:val="0"/>
        <w:spacing w:before="0" w:after="0"/>
        <w:ind w:hanging="283" w:left="709"/>
        <w:jc w:val="left"/>
        <w:rPr/>
      </w:pPr>
      <w:r>
        <w:rPr/>
        <w:t xml:space="preserve">Hoja de cálculo con saldos, ingresos y egresos de cada mes, en el mismo formato de las tablas contables entregadas hasta junio. </w:t>
      </w:r>
    </w:p>
    <w:p>
      <w:pPr>
        <w:pStyle w:val="BodyText"/>
        <w:numPr>
          <w:ilvl w:val="0"/>
          <w:numId w:val="2"/>
        </w:numPr>
        <w:tabs>
          <w:tab w:val="clear" w:pos="1134"/>
          <w:tab w:val="left" w:pos="709" w:leader="none"/>
        </w:tabs>
        <w:bidi w:val="0"/>
        <w:spacing w:before="0" w:after="0"/>
        <w:ind w:hanging="283" w:left="709"/>
        <w:jc w:val="left"/>
        <w:rPr/>
      </w:pPr>
      <w:r>
        <w:rPr/>
        <w:t xml:space="preserve">Relación por departamento de cuotas ordinarias, de agua y extraordinarias cobradas, con fecha y monto de cada pago, y adeudos a la fecha de su salida. </w:t>
      </w:r>
    </w:p>
    <w:p>
      <w:pPr>
        <w:pStyle w:val="BodyText"/>
        <w:numPr>
          <w:ilvl w:val="0"/>
          <w:numId w:val="2"/>
        </w:numPr>
        <w:tabs>
          <w:tab w:val="clear" w:pos="1134"/>
          <w:tab w:val="left" w:pos="709" w:leader="none"/>
        </w:tabs>
        <w:bidi w:val="0"/>
        <w:spacing w:before="0" w:after="0"/>
        <w:ind w:hanging="283" w:left="709"/>
        <w:jc w:val="left"/>
        <w:rPr/>
      </w:pPr>
      <w:r>
        <w:rPr/>
        <w:t xml:space="preserve">Comprobantes de todos los egresos: pagos de luz (CFE), conserjería, limpieza y cualquier otro. </w:t>
      </w:r>
    </w:p>
    <w:p>
      <w:pPr>
        <w:pStyle w:val="BodyText"/>
        <w:numPr>
          <w:ilvl w:val="0"/>
          <w:numId w:val="2"/>
        </w:numPr>
        <w:tabs>
          <w:tab w:val="clear" w:pos="1134"/>
          <w:tab w:val="left" w:pos="709" w:leader="none"/>
        </w:tabs>
        <w:bidi w:val="0"/>
        <w:ind w:hanging="283" w:left="709"/>
        <w:jc w:val="left"/>
        <w:rPr/>
      </w:pPr>
      <w:r>
        <w:rPr/>
        <w:t xml:space="preserve">Estado de la cuota extraordinaria del elevador: monto recaudado, monto ejercido, saldo y departamentos pendientes, con las facturas de MSM Elevadores. </w:t>
      </w:r>
    </w:p>
    <w:p>
      <w:pPr>
        <w:pStyle w:val="Heading1"/>
        <w:bidi w:val="0"/>
        <w:jc w:val="left"/>
        <w:rPr/>
      </w:pPr>
      <w:r>
        <w:rPr/>
        <w:t>3. El servicio de agua (CEA)</w:t>
      </w:r>
    </w:p>
    <w:p>
      <w:pPr>
        <w:pStyle w:val="BodyText"/>
        <w:bidi w:val="0"/>
        <w:jc w:val="left"/>
        <w:rPr/>
      </w:pPr>
      <w:r>
        <w:rPr/>
        <w:t xml:space="preserve">El portal de la Comisión Estatal de Aguas, referencia 604884, muestra </w:t>
      </w:r>
      <w:r>
        <w:rPr>
          <w:rStyle w:val="Strong"/>
        </w:rPr>
        <w:t>tres recibos vencidos</w:t>
      </w:r>
      <w:r>
        <w:rPr/>
        <w:t xml:space="preserve"> que corresponden al periodo en que usted administraba y cobraba el agua a los propietarios: $10,107.00, $10,287.00 y $10,078.00, en total </w:t>
      </w:r>
      <w:r>
        <w:rPr>
          <w:rStyle w:val="Strong"/>
        </w:rPr>
        <w:t>$30,472.00</w:t>
      </w:r>
      <w:r>
        <w:rPr/>
        <w:t>, más los recargos que se sigan generando. El condominio tuvo que pagar además el recibo de octubre, por $10,722.00, para evitar el corte del servicio. Le requerimos:</w:t>
      </w:r>
    </w:p>
    <w:p>
      <w:pPr>
        <w:pStyle w:val="BodyText"/>
        <w:numPr>
          <w:ilvl w:val="0"/>
          <w:numId w:val="3"/>
        </w:numPr>
        <w:tabs>
          <w:tab w:val="clear" w:pos="1134"/>
          <w:tab w:val="left" w:pos="709" w:leader="none"/>
        </w:tabs>
        <w:bidi w:val="0"/>
        <w:spacing w:before="0" w:after="0"/>
        <w:ind w:hanging="283" w:left="709"/>
        <w:jc w:val="left"/>
        <w:rPr/>
      </w:pPr>
      <w:r>
        <w:rPr/>
        <w:t xml:space="preserve">Explicación por escrito de por qué no se pagaron esos recibos con el agua cobrada a los propietarios. </w:t>
      </w:r>
    </w:p>
    <w:p>
      <w:pPr>
        <w:pStyle w:val="BodyText"/>
        <w:numPr>
          <w:ilvl w:val="0"/>
          <w:numId w:val="3"/>
        </w:numPr>
        <w:tabs>
          <w:tab w:val="clear" w:pos="1134"/>
          <w:tab w:val="left" w:pos="709" w:leader="none"/>
        </w:tabs>
        <w:bidi w:val="0"/>
        <w:ind w:hanging="283" w:left="709"/>
        <w:jc w:val="left"/>
        <w:rPr/>
      </w:pPr>
      <w:r>
        <w:rPr/>
        <w:t xml:space="preserve">La entrega del importe correspondiente, o en su caso el pago directo de los tres recibos ante la CEA con comprobante. </w:t>
      </w:r>
    </w:p>
    <w:p>
      <w:pPr>
        <w:pStyle w:val="Heading1"/>
        <w:bidi w:val="0"/>
        <w:jc w:val="left"/>
        <w:rPr/>
      </w:pPr>
      <w:r>
        <w:rPr/>
        <w:t>4. Documentación, accesos y trámites</w:t>
      </w:r>
    </w:p>
    <w:p>
      <w:pPr>
        <w:pStyle w:val="BodyText"/>
        <w:numPr>
          <w:ilvl w:val="0"/>
          <w:numId w:val="4"/>
        </w:numPr>
        <w:tabs>
          <w:tab w:val="clear" w:pos="1134"/>
          <w:tab w:val="left" w:pos="709" w:leader="none"/>
        </w:tabs>
        <w:bidi w:val="0"/>
        <w:spacing w:before="0" w:after="0"/>
        <w:ind w:hanging="283" w:left="709"/>
        <w:jc w:val="left"/>
        <w:rPr/>
      </w:pPr>
      <w:r>
        <w:rPr/>
        <w:t xml:space="preserve">Reglamento, actas de asamblea, protocolizaciones, contratos y garantías del condominio que obren en su poder. </w:t>
      </w:r>
    </w:p>
    <w:p>
      <w:pPr>
        <w:pStyle w:val="BodyText"/>
        <w:numPr>
          <w:ilvl w:val="0"/>
          <w:numId w:val="4"/>
        </w:numPr>
        <w:tabs>
          <w:tab w:val="clear" w:pos="1134"/>
          <w:tab w:val="left" w:pos="709" w:leader="none"/>
        </w:tabs>
        <w:bidi w:val="0"/>
        <w:spacing w:before="0" w:after="0"/>
        <w:ind w:hanging="283" w:left="709"/>
        <w:jc w:val="left"/>
        <w:rPr/>
      </w:pPr>
      <w:r>
        <w:rPr/>
        <w:t xml:space="preserve">Datos de los servicios (CEA, CFE y otros): números de servicio, titulares, fechas de pago y último recibo pagado. </w:t>
      </w:r>
    </w:p>
    <w:p>
      <w:pPr>
        <w:pStyle w:val="BodyText"/>
        <w:numPr>
          <w:ilvl w:val="0"/>
          <w:numId w:val="4"/>
        </w:numPr>
        <w:tabs>
          <w:tab w:val="clear" w:pos="1134"/>
          <w:tab w:val="left" w:pos="709" w:leader="none"/>
        </w:tabs>
        <w:bidi w:val="0"/>
        <w:spacing w:before="0" w:after="0"/>
        <w:ind w:hanging="283" w:left="709"/>
        <w:jc w:val="left"/>
        <w:rPr/>
      </w:pPr>
      <w:r>
        <w:rPr/>
        <w:t xml:space="preserve">Llaves, controles, claves y accesos: cámaras, portón, puerta del edificio y los demás que tenga. </w:t>
      </w:r>
    </w:p>
    <w:p>
      <w:pPr>
        <w:pStyle w:val="BodyText"/>
        <w:numPr>
          <w:ilvl w:val="0"/>
          <w:numId w:val="4"/>
        </w:numPr>
        <w:tabs>
          <w:tab w:val="clear" w:pos="1134"/>
          <w:tab w:val="left" w:pos="709" w:leader="none"/>
        </w:tabs>
        <w:bidi w:val="0"/>
        <w:spacing w:before="0" w:after="0"/>
        <w:ind w:hanging="283" w:left="709"/>
        <w:jc w:val="left"/>
        <w:rPr/>
      </w:pPr>
      <w:r>
        <w:rPr/>
        <w:t xml:space="preserve">Lecturas de los medidores de agua por departamento que haya tomado de junio a septiembre. </w:t>
      </w:r>
    </w:p>
    <w:p>
      <w:pPr>
        <w:pStyle w:val="BodyText"/>
        <w:numPr>
          <w:ilvl w:val="0"/>
          <w:numId w:val="4"/>
        </w:numPr>
        <w:tabs>
          <w:tab w:val="clear" w:pos="1134"/>
          <w:tab w:val="left" w:pos="709" w:leader="none"/>
        </w:tabs>
        <w:bidi w:val="0"/>
        <w:ind w:hanging="283" w:left="709"/>
        <w:jc w:val="left"/>
        <w:rPr/>
      </w:pPr>
      <w:r>
        <w:rPr/>
        <w:t xml:space="preserve">Estado del trámite de protocolización de la mesa directiva y de la apertura de la cuenta bancaria, con los documentos y recibos de notaría que existan. </w:t>
      </w:r>
    </w:p>
    <w:p>
      <w:pPr>
        <w:pStyle w:val="BodyText"/>
        <w:bidi w:val="0"/>
        <w:ind w:hanging="0" w:left="0" w:right="0"/>
        <w:jc w:val="left"/>
        <w:rPr/>
      </w:pPr>
      <w:r>
        <w:rPr/>
        <w:t xml:space="preserve">Le proponemos realizar la entrega en una reunión en el condominio el </w:t>
      </w:r>
      <w:r>
        <w:rPr>
          <w:shd w:fill="FFF3CD" w:val="clear"/>
        </w:rPr>
        <w:t>___ de octubre a las ___ horas</w:t>
      </w:r>
      <w:r>
        <w:rPr/>
        <w:t xml:space="preserve">, o bien por mensajería y transferencia dentro del mismo plazo. Para cualquier aclaración puede comunicarse con </w:t>
      </w:r>
      <w:r>
        <w:rPr>
          <w:shd w:fill="FFF3CD" w:val="clear"/>
        </w:rPr>
        <w:t>(nombre y teléfono de contacto de la mesa directiva)</w:t>
      </w:r>
      <w:r>
        <w:rPr/>
        <w:t>.</w:t>
      </w:r>
    </w:p>
    <w:p>
      <w:pPr>
        <w:pStyle w:val="BodyText"/>
        <w:bidi w:val="0"/>
        <w:jc w:val="left"/>
        <w:rPr/>
      </w:pPr>
      <w:r>
        <w:rPr/>
        <w:t>Le informamos que la asamblea resolvió que, de no recibir lo anterior en el plazo señalado, la mesa directiva queda autorizada para ejercer, en representación del condominio, las acciones legales que correspondan para la recuperación de los recursos y la documentación. Confiamos en que no será necesario.</w:t>
      </w:r>
    </w:p>
    <w:p>
      <w:pPr>
        <w:pStyle w:val="BodyText"/>
        <w:bidi w:val="0"/>
        <w:jc w:val="left"/>
        <w:rPr/>
      </w:pPr>
      <w:r>
        <w:rPr/>
        <w:t>Atentamente</w:t>
      </w:r>
    </w:p>
    <w:p>
      <w:pPr>
        <w:pStyle w:val="BodyText"/>
        <w:bidi w:val="0"/>
        <w:spacing w:before="720" w:after="283"/>
        <w:ind w:hanging="0" w:left="0" w:right="0"/>
        <w:jc w:val="left"/>
        <w:rPr/>
      </w:pPr>
      <w:r>
        <w:rPr/>
        <w:t>______________________________</w:t>
        <w:br/>
        <w:t>Mesa directiva del Condominio Misiones</w:t>
        <w:br/>
      </w:r>
      <w:r>
        <w:rPr>
          <w:shd w:fill="FFF3CD" w:val="clear"/>
        </w:rPr>
        <w:t>Nombre, departamento y firma de cada integrante</w:t>
      </w:r>
    </w:p>
    <w:p>
      <w:pPr>
        <w:pStyle w:val="BodyText"/>
        <w:bidi w:val="0"/>
        <w:jc w:val="left"/>
        <w:rPr/>
      </w:pPr>
      <w:r>
        <w:rPr/>
        <w:t>c.c.p. Propietarios del Condominio Misiones.</w:t>
        <w:br/>
        <w:t>Recibido por: ______________________ Fecha: ____________ Firma: ____________</w:t>
      </w:r>
    </w:p>
    <w:p>
      <w:pPr>
        <w:pStyle w:val="Cuerpodetextonota"/>
        <w:bidi w:val="0"/>
        <w:spacing w:before="600" w:after="283"/>
        <w:jc w:val="left"/>
        <w:rPr/>
      </w:pPr>
      <w:r>
        <w:rPr/>
        <w:t>Borrador para revisión de la mesa directiva. Los espacios sombreados se completan después de la asamblea del 13 de octubre: fecha de envío, plazo, fecha límite, contacto y firmantes. Conviene entregarlo por un medio que deje constancia de la fecha de recepción (acuse firmado, mensajería con acuse o correo electrónico con confirmación) y conservar copia. Las cifras provienen de la tabla contable de la administración al 30 de junio de 2026 y del portal de la CEA consultado el 9 de octubre de 2026.</w:t>
      </w:r>
    </w:p>
    <w:sectPr>
      <w:type w:val="nextPage"/>
      <w:pgSz w:w="12240" w:h="15840"/>
      <w:pgMar w:left="1134" w:right="567" w:gutter="0" w:header="0" w:top="567" w:footer="0" w:bottom="567"/>
      <w:pgNumType w:fmt="decimal"/>
      <w:formProt w:val="false"/>
      <w:textDirection w:val="lrTb"/>
      <w:docGrid w:type="default" w:linePitch="600" w:charSpace="36864"/>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altName w:val="Helvetica"/>
    <w:charset w:val="01"/>
    <w:family w:val="auto"/>
    <w:pitch w:val="default"/>
  </w:font>
  <w:font w:name="Noto Sans">
    <w:charset w:val="01"/>
    <w:family w:val="auto"/>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2">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3">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4">
    <w:lvl w:ilvl="0">
      <w:start w:val="1"/>
      <w:numFmt w:val="decimal"/>
      <w:lvlText w:val="%1."/>
      <w:lvlJc w:val="left"/>
      <w:pPr>
        <w:tabs>
          <w:tab w:val="num" w:pos="709"/>
        </w:tabs>
        <w:ind w:left="709" w:hanging="283"/>
      </w:pPr>
      <w:rPr/>
    </w:lvl>
    <w:lvl w:ilvl="1">
      <w:start w:val="1"/>
      <w:numFmt w:val="decimal"/>
      <w:lvlText w:val="%2."/>
      <w:lvlJc w:val="left"/>
      <w:pPr>
        <w:tabs>
          <w:tab w:val="num" w:pos="1418"/>
        </w:tabs>
        <w:ind w:left="1418" w:hanging="283"/>
      </w:pPr>
      <w:rPr/>
    </w:lvl>
    <w:lvl w:ilvl="2">
      <w:start w:val="1"/>
      <w:numFmt w:val="decimal"/>
      <w:lvlText w:val="%3."/>
      <w:lvlJc w:val="left"/>
      <w:pPr>
        <w:tabs>
          <w:tab w:val="num" w:pos="2127"/>
        </w:tabs>
        <w:ind w:left="2127" w:hanging="283"/>
      </w:pPr>
      <w:rPr/>
    </w:lvl>
    <w:lvl w:ilvl="3">
      <w:start w:val="1"/>
      <w:numFmt w:val="decimal"/>
      <w:lvlText w:val="%4."/>
      <w:lvlJc w:val="left"/>
      <w:pPr>
        <w:tabs>
          <w:tab w:val="num" w:pos="2836"/>
        </w:tabs>
        <w:ind w:left="2836" w:hanging="283"/>
      </w:pPr>
      <w:rPr/>
    </w:lvl>
    <w:lvl w:ilvl="4">
      <w:start w:val="1"/>
      <w:numFmt w:val="decimal"/>
      <w:lvlText w:val="%5."/>
      <w:lvlJc w:val="left"/>
      <w:pPr>
        <w:tabs>
          <w:tab w:val="num" w:pos="3545"/>
        </w:tabs>
        <w:ind w:left="3545" w:hanging="283"/>
      </w:pPr>
      <w:rPr/>
    </w:lvl>
    <w:lvl w:ilvl="5">
      <w:start w:val="1"/>
      <w:numFmt w:val="decimal"/>
      <w:lvlText w:val="%6."/>
      <w:lvlJc w:val="left"/>
      <w:pPr>
        <w:tabs>
          <w:tab w:val="num" w:pos="4254"/>
        </w:tabs>
        <w:ind w:left="4254" w:hanging="283"/>
      </w:pPr>
      <w:rPr/>
    </w:lvl>
    <w:lvl w:ilvl="6">
      <w:start w:val="1"/>
      <w:numFmt w:val="decimal"/>
      <w:lvlText w:val="%7."/>
      <w:lvlJc w:val="left"/>
      <w:pPr>
        <w:tabs>
          <w:tab w:val="num" w:pos="4963"/>
        </w:tabs>
        <w:ind w:left="4963" w:hanging="283"/>
      </w:pPr>
      <w:rPr/>
    </w:lvl>
    <w:lvl w:ilvl="7">
      <w:start w:val="1"/>
      <w:numFmt w:val="decimal"/>
      <w:lvlText w:val="%8."/>
      <w:lvlJc w:val="left"/>
      <w:pPr>
        <w:tabs>
          <w:tab w:val="num" w:pos="5672"/>
        </w:tabs>
        <w:ind w:left="5672" w:hanging="283"/>
      </w:pPr>
      <w:rPr/>
    </w:lvl>
    <w:lvl w:ilvl="8">
      <w:start w:val="1"/>
      <w:numFmt w:val="decimal"/>
      <w:lvlText w:val="%9."/>
      <w:lvlJc w:val="left"/>
      <w:pPr>
        <w:tabs>
          <w:tab w:val="num" w:pos="6381"/>
        </w:tabs>
        <w:ind w:left="6381" w:hanging="283"/>
      </w:pPr>
      <w:rPr/>
    </w:lvl>
  </w:abstractNum>
  <w:abstractNum w:abstractNumId="5">
    <w:lvl w:ilvl="0">
      <w:start w:val="1"/>
      <w:numFmt w:val="none"/>
      <w:suff w:val="nothing"/>
      <w:lvlText w:val="%1"/>
      <w:lvlJc w:val="left"/>
      <w:pPr>
        <w:tabs>
          <w:tab w:val="num" w:pos="0"/>
        </w:tabs>
        <w:ind w:left="0" w:hanging="0"/>
      </w:pPr>
    </w:lvl>
    <w:lvl w:ilvl="1">
      <w:start w:val="1"/>
      <w:numFmt w:val="none"/>
      <w:suff w:val="nothing"/>
      <w:lvlText w:val="%2"/>
      <w:lvlJc w:val="left"/>
      <w:pPr>
        <w:tabs>
          <w:tab w:val="num" w:pos="0"/>
        </w:tabs>
        <w:ind w:left="0" w:hanging="0"/>
      </w:pPr>
    </w:lvl>
    <w:lvl w:ilvl="2">
      <w:start w:val="1"/>
      <w:numFmt w:val="none"/>
      <w:suff w:val="nothing"/>
      <w:lvlText w:val="%3"/>
      <w:lvlJc w:val="left"/>
      <w:pPr>
        <w:tabs>
          <w:tab w:val="num" w:pos="0"/>
        </w:tabs>
        <w:ind w:left="0" w:hanging="0"/>
      </w:pPr>
    </w:lvl>
    <w:lvl w:ilvl="3">
      <w:start w:val="1"/>
      <w:numFmt w:val="none"/>
      <w:suff w:val="nothing"/>
      <w:lvlText w:val="%4"/>
      <w:lvlJc w:val="left"/>
      <w:pPr>
        <w:tabs>
          <w:tab w:val="num" w:pos="0"/>
        </w:tabs>
        <w:ind w:left="0" w:hanging="0"/>
      </w:pPr>
    </w:lvl>
    <w:lvl w:ilvl="4">
      <w:start w:val="1"/>
      <w:numFmt w:val="none"/>
      <w:suff w:val="nothing"/>
      <w:lvlText w:val="%5"/>
      <w:lvlJc w:val="left"/>
      <w:pPr>
        <w:tabs>
          <w:tab w:val="num" w:pos="0"/>
        </w:tabs>
        <w:ind w:left="0" w:hanging="0"/>
      </w:pPr>
    </w:lvl>
    <w:lvl w:ilvl="5">
      <w:start w:val="1"/>
      <w:numFmt w:val="none"/>
      <w:suff w:val="nothing"/>
      <w:lvlText w:val="%6"/>
      <w:lvlJc w:val="left"/>
      <w:pPr>
        <w:tabs>
          <w:tab w:val="num" w:pos="0"/>
        </w:tabs>
        <w:ind w:left="0" w:hanging="0"/>
      </w:pPr>
    </w:lvl>
    <w:lvl w:ilvl="6">
      <w:start w:val="1"/>
      <w:numFmt w:val="none"/>
      <w:suff w:val="nothing"/>
      <w:lvlText w:val="%7"/>
      <w:lvlJc w:val="left"/>
      <w:pPr>
        <w:tabs>
          <w:tab w:val="num" w:pos="0"/>
        </w:tabs>
        <w:ind w:left="0" w:hanging="0"/>
      </w:pPr>
    </w:lvl>
    <w:lvl w:ilvl="7">
      <w:start w:val="1"/>
      <w:numFmt w:val="none"/>
      <w:suff w:val="nothing"/>
      <w:lvlText w:val="%8"/>
      <w:lvlJc w:val="left"/>
      <w:pPr>
        <w:tabs>
          <w:tab w:val="num" w:pos="0"/>
        </w:tabs>
        <w:ind w:left="0" w:hanging="0"/>
      </w:pPr>
    </w:lvl>
    <w:lvl w:ilvl="8">
      <w:start w:val="1"/>
      <w:numFmt w:val="none"/>
      <w:suff w:val="nothing"/>
      <w:lvlText w:val="%9"/>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view w:val="web"/>
  <w:zoom w:percent="100"/>
  <w:defaultTabStop w:val="1134"/>
  <w:autoHyphenation w:val="true"/>
  <w:compat>
    <w:compatSetting w:name="compatibilityMode" w:uri="http://schemas.microsoft.com/office/word" w:val="12"/>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FreeSans"/>
        <w:sz w:val="24"/>
        <w:szCs w:val="24"/>
        <w:lang w:val="es-MX" w:eastAsia="zh-CN" w:bidi="hi-IN"/>
      </w:rPr>
    </w:rPrDefault>
    <w:pPrDefault>
      <w:pPr>
        <w:suppressAutoHyphens w:val="true"/>
      </w:pPr>
    </w:pPrDefault>
  </w:docDefaults>
  <w:style w:type="paragraph" w:styleId="Normal">
    <w:name w:val="Normal"/>
    <w:qFormat/>
    <w:pPr>
      <w:widowControl w:val="false"/>
      <w:bidi w:val="0"/>
      <w:spacing w:lineRule="auto" w:line="348"/>
    </w:pPr>
    <w:rPr>
      <w:rFonts w:ascii="Arial;Helvetica;sans-serif" w:hAnsi="Arial;Helvetica;sans-serif" w:eastAsia="Arial;Helvetica;sans-serif" w:cs="Arial;Helvetica;sans-serif"/>
      <w:color w:val="111111"/>
      <w:sz w:val="22"/>
      <w:szCs w:val="22"/>
      <w:lang w:val="es-MX" w:eastAsia="zh-CN" w:bidi="hi-IN"/>
    </w:rPr>
  </w:style>
  <w:style w:type="paragraph" w:styleId="Heading1">
    <w:name w:val="Heading 1"/>
    <w:basedOn w:val="Ttulo"/>
    <w:next w:val="BodyText"/>
    <w:qFormat/>
    <w:pPr>
      <w:spacing w:before="360" w:after="160"/>
      <w:ind w:left="360" w:right="360"/>
    </w:pPr>
    <w:rPr>
      <w:rFonts w:ascii="Noto Sans" w:hAnsi="Noto Sans"/>
      <w:b/>
      <w:bCs/>
      <w:sz w:val="24"/>
      <w:szCs w:val="24"/>
    </w:rPr>
  </w:style>
  <w:style w:type="character" w:styleId="Caracteresdenotafinal">
    <w:name w:val="Caracteres de nota final"/>
    <w:qFormat/>
    <w:rPr/>
  </w:style>
  <w:style w:type="character" w:styleId="Caracteresdenotaalpie">
    <w:name w:val="Caracteres de nota al pie"/>
    <w:qFormat/>
    <w:rPr/>
  </w:style>
  <w:style w:type="character" w:styleId="Hyperlink">
    <w:name w:val="Hyperlink"/>
    <w:rPr>
      <w:color w:val="000080"/>
      <w:u w:val="single"/>
    </w:rPr>
  </w:style>
  <w:style w:type="character" w:styleId="Strong">
    <w:name w:val="Strong"/>
    <w:qFormat/>
    <w:rPr>
      <w:b/>
      <w:bCs/>
    </w:rPr>
  </w:style>
  <w:style w:type="character" w:styleId="Smbolosdenumeracin">
    <w:name w:val="Símbolos de numeración"/>
    <w:qFormat/>
    <w:rPr/>
  </w:style>
  <w:style w:type="paragraph" w:styleId="Lneahorizontal">
    <w:name w:val="Línea horizontal"/>
    <w:basedOn w:val="Normal"/>
    <w:next w:val="BodyText"/>
    <w:qFormat/>
    <w:pPr>
      <w:pBdr>
        <w:bottom w:val="double" w:sz="2" w:space="0" w:color="808080"/>
      </w:pBdr>
      <w:spacing w:before="0" w:after="283"/>
    </w:pPr>
    <w:rPr>
      <w:sz w:val="12"/>
    </w:rPr>
  </w:style>
  <w:style w:type="paragraph" w:styleId="EnvelopeReturn">
    <w:name w:val="Envelope Return"/>
    <w:basedOn w:val="Normal"/>
    <w:pPr/>
    <w:rPr>
      <w:i/>
    </w:rPr>
  </w:style>
  <w:style w:type="paragraph" w:styleId="Contenidodelatabla">
    <w:name w:val="Contenido de la tabla"/>
    <w:basedOn w:val="BodyText"/>
    <w:qFormat/>
    <w:pPr/>
    <w:rPr/>
  </w:style>
  <w:style w:type="paragraph" w:styleId="Footer">
    <w:name w:val="Footer"/>
    <w:basedOn w:val="Normal"/>
    <w:pPr>
      <w:suppressLineNumbers/>
      <w:tabs>
        <w:tab w:val="clear" w:pos="1134"/>
        <w:tab w:val="center" w:pos="4818" w:leader="none"/>
        <w:tab w:val="right" w:pos="9637" w:leader="none"/>
      </w:tabs>
    </w:pPr>
    <w:rPr/>
  </w:style>
  <w:style w:type="paragraph" w:styleId="Header">
    <w:name w:val="Header"/>
    <w:basedOn w:val="Normal"/>
    <w:pPr>
      <w:suppressLineNumbers/>
      <w:tabs>
        <w:tab w:val="clear" w:pos="1134"/>
        <w:tab w:val="center" w:pos="4818" w:leader="none"/>
        <w:tab w:val="right" w:pos="9637" w:leader="none"/>
      </w:tabs>
    </w:pPr>
    <w:rPr/>
  </w:style>
  <w:style w:type="paragraph" w:styleId="Cabeceraypie">
    <w:name w:val="Cabecera y pie"/>
    <w:basedOn w:val="Normal"/>
    <w:qFormat/>
    <w:pPr>
      <w:suppressLineNumbers/>
      <w:tabs>
        <w:tab w:val="clear" w:pos="1134"/>
        <w:tab w:val="center" w:pos="4986" w:leader="none"/>
        <w:tab w:val="right" w:pos="9972" w:leader="none"/>
      </w:tabs>
    </w:pPr>
    <w:rPr/>
  </w:style>
  <w:style w:type="paragraph" w:styleId="ndice">
    <w:name w:val="Índice"/>
    <w:basedOn w:val="Normal"/>
    <w:qFormat/>
    <w:pPr>
      <w:suppressLineNumbers/>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List">
    <w:name w:val="List"/>
    <w:basedOn w:val="BodyText"/>
    <w:pPr/>
    <w:rPr>
      <w:rFonts w:cs="FreeSans"/>
    </w:rPr>
  </w:style>
  <w:style w:type="paragraph" w:styleId="BodyText">
    <w:name w:val="Body Text"/>
    <w:basedOn w:val="Normal"/>
    <w:pPr>
      <w:spacing w:before="0" w:after="283"/>
    </w:pPr>
    <w:rPr/>
  </w:style>
  <w:style w:type="paragraph" w:styleId="Ttulo">
    <w:name w:val="Título"/>
    <w:basedOn w:val="Normal"/>
    <w:next w:val="BodyText"/>
    <w:qFormat/>
    <w:pPr>
      <w:keepNext w:val="true"/>
      <w:spacing w:before="240" w:after="283"/>
    </w:pPr>
    <w:rPr>
      <w:rFonts w:ascii="Liberation Sans" w:hAnsi="Liberation Sans"/>
      <w:sz w:val="28"/>
      <w:szCs w:val="28"/>
    </w:rPr>
  </w:style>
  <w:style w:type="paragraph" w:styleId="Cuerpodetextokicker">
    <w:name w:val="Cuerpo de texto.kicker"/>
    <w:basedOn w:val="BodyText"/>
    <w:qFormat/>
    <w:pPr/>
    <w:rPr>
      <w:sz w:val="18"/>
      <w:szCs w:val="18"/>
    </w:rPr>
  </w:style>
  <w:style w:type="paragraph" w:styleId="Cuerpodetextometa">
    <w:name w:val="Cuerpo de texto.meta"/>
    <w:basedOn w:val="BodyText"/>
    <w:qFormat/>
    <w:pPr>
      <w:spacing w:before="280" w:after="280"/>
      <w:ind w:left="280" w:right="280"/>
    </w:pPr>
    <w:rPr/>
  </w:style>
  <w:style w:type="paragraph" w:styleId="Cuerpodetextoasunto">
    <w:name w:val="Cuerpo de texto.asunto"/>
    <w:basedOn w:val="BodyText"/>
    <w:qFormat/>
    <w:pPr/>
    <w:rPr>
      <w:b/>
      <w:bCs/>
    </w:rPr>
  </w:style>
  <w:style w:type="paragraph" w:styleId="Cuerpodetextonota">
    <w:name w:val="Cuerpo de texto.nota"/>
    <w:basedOn w:val="BodyText"/>
    <w:qFormat/>
    <w:pPr>
      <w:pBdr>
        <w:top w:val="single" w:sz="2" w:space="6" w:color="BBBBBB"/>
      </w:pBdr>
      <w:spacing w:before="600" w:after="283"/>
    </w:pPr>
    <w:rPr>
      <w:color w:val="555555"/>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es-MX</dc:language>
  <cp:lastModifiedBy/>
  <cp:revision>0</cp:revision>
  <dc:subject/>
  <dc:title>Requerimiento de entrega-recepción y rendición de cuentas</dc:title>
</cp:coreProperties>
</file>

<file path=docProps/custom.xml><?xml version="1.0" encoding="utf-8"?>
<Properties xmlns="http://schemas.openxmlformats.org/officeDocument/2006/custom-properties" xmlns:vt="http://schemas.openxmlformats.org/officeDocument/2006/docPropsVTypes"/>
</file>