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Calibri" w:hAnsi="Calibri"/>
          <w:b/>
          <w:color w:val="1B365D"/>
          <w:sz w:val="30"/>
        </w:rPr>
        <w:t>ESTUDO DE VALIDAÇÃO DO RSACV2:</w:t>
        <w:br/>
        <w:t>AVALIAÇÃO COMPARATIVA CEGA ENTRE TRIAGEM E EXTRAÇÃO ASSISTIDA POR COMPUTADOR E MÉTODO MANUAL EM REVISÃO DE ESCOPO</w:t>
      </w:r>
    </w:p>
    <w:p>
      <w:pPr>
        <w:spacing w:after="240"/>
        <w:jc w:val="center"/>
      </w:pPr>
      <w:r>
        <w:rPr>
          <w:i/>
          <w:color w:val="444444"/>
          <w:sz w:val="22"/>
        </w:rPr>
        <w:t>Aplicação Experimental no Protocolo: 'Impactos da Segurança Pública na Operacionalização do Turismo Náutico em Fronteiras Fluviais'</w:t>
      </w:r>
    </w:p>
    <w:p>
      <w:pPr>
        <w:spacing w:after="320"/>
        <w:jc w:val="center"/>
      </w:pPr>
      <w:r>
        <w:rPr>
          <w:b/>
        </w:rPr>
        <w:t>[Nome dos Pesquisadores / Grupo de Pesquisa RSACV2]</w:t>
        <w:br/>
      </w:r>
      <w:r>
        <w:rPr>
          <w:color w:val="666666"/>
          <w:sz w:val="19"/>
        </w:rPr>
        <w:t>Programa de Pós-Graduação em Desenvolvimento Regional e Políticas Públicas</w:t>
        <w:br/>
        <w:t>Contato: [email@instituicao.br]</w:t>
      </w:r>
    </w:p>
    <w:tbl>
      <w:tblPr>
        <w:tblW w:type="auto" w:w="0"/>
        <w:jc w:val="center"/>
        <w:tblLook w:firstColumn="1" w:firstRow="1" w:lastColumn="0" w:lastRow="0" w:noHBand="0" w:noVBand="1" w:val="04A0"/>
      </w:tblPr>
      <w:tblGrid>
        <w:gridCol w:w="9403"/>
      </w:tblGrid>
      <w:tr>
        <w:tc>
          <w:tcPr>
            <w:tcW w:type="dxa" w:w="9403"/>
            <w:shd w:fill="F7F9FB"/>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80"/>
            </w:pPr>
            <w:r>
              <w:rPr>
                <w:b/>
                <w:color w:val="1B365D"/>
                <w:sz w:val="21"/>
              </w:rPr>
              <w:t>RESUMO ESTRUTURADO</w:t>
              <w:br/>
            </w:r>
            <w:r>
              <w:rPr>
                <w:sz w:val="19"/>
              </w:rPr>
              <w:t>Contexto: A execução de Revisões Sistemáticas e de Escopo (Scoping Reviews) impõe intensa sobrecarga cognitiva e tempo-intensiva, particularmente nas etapas de triagem por elegibilidade e extração estruturada de evidências. A ferramenta RSACV2 propõe a assistência computacional inteligente para acelerar tais etapas mantendo estrito rigor metodológico. Objetivo: Validar a acurácia, reprodutibilidade e percepção de qualidade do sistema RSACV2 frente ao método manual não assistido na aplicação do protocolo de revisão de escopo 'Impactos da Segurança Pública na Operacionalização do Turismo Náutico em Fronteiras Fluviais'. Método: Estudo experimental pareado cego. Dois braços independentes (Braço Assistido RSACV2 vs. Braço Manual) executam o protocolo idêntico nas bases BDTD e SciELO, com 5 pares de descritores por idioma (PT, EN, ES), 3 critérios de inclusão (CI1-CI3), 3 de exclusão (CE1-CE3) e 5 questões de extração (QE1-QE5). Um trio de revisores independentes avalia os resultados em 6 dimensões cegas: (1) igualdade na coleta de estudos e ordem de aparição, (2) concordância nas marcações de triagem e justificativas, (3) preferência técnica em divergências, (4) discernimento da assistência (Teste de Turing perceptual), (5) concordância na extração de dados e (6) síntese qualitativa global. Resultados Esperados: Demonstrar equivalência na abrangência da busca, superioridade de consistência nas justificativas de triagem e alto grau de completude nas respostas de extração pelo RSACV2, consolidando sua eficácia no apoio à pesquisa em Desenvolvimento Regional e Segurança Territorial.</w:t>
              <w:br/>
              <w:br/>
              <w:t>Palavras-chave: Revisão de Escopo; RSACV2; Turismo Náutico; Fronteiras Fluviais; Segurança Pública; Avaliação Cega Inter-Avaliadores; Validação Metodológica.</w:t>
            </w:r>
          </w:p>
        </w:tc>
      </w:tr>
    </w:tbl>
    <w:p>
      <w:pPr>
        <w:spacing w:after="120"/>
      </w:pPr>
    </w:p>
    <w:p>
      <w:pPr>
        <w:pStyle w:val="Heading1"/>
        <w:keepNext/>
        <w:spacing w:before="280" w:after="80"/>
      </w:pPr>
      <w:r>
        <w:rPr>
          <w:rFonts w:ascii="Calibri" w:hAnsi="Calibri"/>
          <w:b/>
          <w:color w:val="1B365D"/>
          <w:sz w:val="27"/>
        </w:rPr>
        <w:t>1. INTRODUÇÃO</w:t>
      </w:r>
    </w:p>
    <w:p>
      <w:r>
        <w:t>A complexidade de conduzir revisões bibliográficas sistemáticas e de escopo (Scoping Reviews) no campo das Ciências Sociais Aplicadas e do Desenvolvimento Regional decorre da transversalidade temática e da necessidade de integrar literatura periódica indexada (SciELO) com a rica produção de teses e dissertações nacionais (BDTD / Ibict). Regiões de fronteira fluvial e hidrovias transfronteiriças possuem expressivo potencial para o turismo náutico e ecoturismo, mas enfrentam severos desafios de segurança pública, crimes transnacionais e déficits de governança institucional.</w:t>
      </w:r>
    </w:p>
    <w:p>
      <w:r>
        <w:t>Para responder a essas demandas com celeridade e rigor, o sistema RSACV2 foi concebido como um ambiente computacional integrado de coleta, triagem automatizada ancorada e extração orientada por IA. Este artigo relata a validação empírica do sistema mediante um desenho metodológico de avaliação cega inter-avaliadores, tendo como objeto de prova o protocolo: 'Impactos da Segurança Pública na Operacionalização do Turismo Náutico em Fronteiras Fluviais'.</w:t>
      </w:r>
    </w:p>
    <w:p>
      <w:pPr>
        <w:pStyle w:val="Heading2"/>
        <w:keepNext/>
        <w:spacing w:before="280" w:after="80"/>
      </w:pPr>
      <w:r>
        <w:rPr>
          <w:rFonts w:ascii="Calibri" w:hAnsi="Calibri"/>
          <w:b/>
          <w:color w:val="2B547E"/>
          <w:sz w:val="23"/>
        </w:rPr>
        <w:t>1.1 Perguntas de Pesquisa (Research Questions)</w:t>
      </w:r>
    </w:p>
    <w:p>
      <w:r>
        <w:t>A validação é balizada por seis Questões de Pesquisa centrais:</w:t>
      </w:r>
    </w:p>
    <w:p>
      <w:pPr>
        <w:spacing w:after="60"/>
        <w:ind w:left="360"/>
      </w:pPr>
      <w:r>
        <w:rPr>
          <w:b/>
          <w:color w:val="1B365D"/>
        </w:rPr>
        <w:t xml:space="preserve">• RQ1 (Coleta e Busca): </w:t>
      </w:r>
      <w:r>
        <w:t>Usando o mesmo protocolo de busca, em uma mesma base, os trabalhos encontrados pelo RSACV2 e pelo método manual são rigorosamente os mesmos em presença e ordem de aparição?</w:t>
      </w:r>
    </w:p>
    <w:p>
      <w:pPr>
        <w:spacing w:after="60"/>
        <w:ind w:left="360"/>
      </w:pPr>
      <w:r>
        <w:rPr>
          <w:b/>
          <w:color w:val="1B365D"/>
        </w:rPr>
        <w:t xml:space="preserve">• RQ2 (Concordância na Triagem): </w:t>
      </w:r>
      <w:r>
        <w:t>Em uma mesma lista de critérios de inclusão e exclusão, as marcações de triagem serão as mesmas entre os métodos? E a fundamentação das justificativas?</w:t>
      </w:r>
    </w:p>
    <w:p>
      <w:pPr>
        <w:spacing w:after="60"/>
        <w:ind w:left="360"/>
      </w:pPr>
      <w:r>
        <w:rPr>
          <w:b/>
          <w:color w:val="1B365D"/>
        </w:rPr>
        <w:t xml:space="preserve">• RQ3 (Preferência em Divergências): </w:t>
      </w:r>
      <w:r>
        <w:t>Em caso de divergências de marcações e justificativas entre o método assistido e o manual, qual é preferida por um trio de revisores independentes em uma análise cega?</w:t>
      </w:r>
    </w:p>
    <w:p>
      <w:pPr>
        <w:spacing w:after="60"/>
        <w:ind w:left="360"/>
      </w:pPr>
      <w:r>
        <w:rPr>
          <w:b/>
          <w:color w:val="1B365D"/>
        </w:rPr>
        <w:t xml:space="preserve">• RQ4 (Discernibilidade / Teste de Turing): </w:t>
      </w:r>
      <w:r>
        <w:t>Os revisores serão capazes de diferenciar qual trabalho foi executado de forma assistida pelo RSACV2? Sob qual grau de certeza e quais justificativas?</w:t>
      </w:r>
    </w:p>
    <w:p>
      <w:pPr>
        <w:spacing w:after="60"/>
        <w:ind w:left="360"/>
      </w:pPr>
      <w:r>
        <w:rPr>
          <w:b/>
          <w:color w:val="1B365D"/>
        </w:rPr>
        <w:t xml:space="preserve">• RQ5 (Qualidade na Extração de Informações): </w:t>
      </w:r>
      <w:r>
        <w:t>Como se comparam as extrações de dados nos dois métodos sob avaliação cega por um trio de revisores independentes, considerando fidelidade e profundidade?</w:t>
      </w:r>
    </w:p>
    <w:p>
      <w:pPr>
        <w:spacing w:after="60"/>
        <w:ind w:left="360"/>
      </w:pPr>
      <w:r>
        <w:rPr>
          <w:b/>
          <w:color w:val="1B365D"/>
        </w:rPr>
        <w:t xml:space="preserve">• RQ6 (Síntese Qualitativa Global): </w:t>
      </w:r>
      <w:r>
        <w:t>Quais observações, padrões de similaridade e diferenças estruturais os revisores declaram sobre o trabalho realizado com e sem assistência computacional?</w:t>
      </w:r>
    </w:p>
    <w:tbl>
      <w:tblPr>
        <w:tblW w:type="auto" w:w="0"/>
        <w:jc w:val="center"/>
        <w:tblLook w:firstColumn="1" w:firstRow="1" w:lastColumn="0" w:lastRow="0" w:noHBand="0" w:noVBand="1" w:val="04A0"/>
      </w:tblPr>
      <w:tblGrid>
        <w:gridCol w:w="9403"/>
      </w:tblGrid>
      <w:tr>
        <w:tc>
          <w:tcPr>
            <w:tcW w:type="dxa" w:w="9403"/>
            <w:shd w:fill="F0F4F8"/>
            <w:tcMar>
              <w:top w:w="140" w:type="dxa"/>
              <w:bottom w:w="140" w:type="dxa"/>
              <w:left w:w="200" w:type="dxa"/>
              <w:right w:w="200" w:type="dxa"/>
            </w:tcMar>
            <w:tcBorders>
              <w:left w:val="single" w:sz="24" w:space="0" w:color="1B365D"/>
              <w:top w:val="none"/>
              <w:right w:val="none"/>
              <w:bottom w:val="none"/>
            </w:tcBorders>
          </w:tcPr>
          <w:p>
            <w:pPr>
              <w:spacing w:before="40" w:after="40"/>
            </w:pPr>
            <w:r>
              <w:rPr>
                <w:rFonts w:ascii="Calibri" w:hAnsi="Calibri"/>
                <w:b/>
                <w:color w:val="1B365D"/>
                <w:sz w:val="19"/>
              </w:rPr>
              <w:t>[DIRETRIZ DE CEGAMENTO EXPERIMENTAL]</w:t>
              <w:br/>
            </w:r>
            <w:r>
              <w:rPr>
                <w:rFonts w:ascii="Calibri" w:hAnsi="Calibri"/>
                <w:i/>
                <w:color w:val="333333"/>
                <w:sz w:val="19"/>
              </w:rPr>
              <w:t>O protocolo de validação ancora-se no princípio do duplo-cegamento: os pesquisadores executam o protocolo sem contato cruzado e o trio de revisores recebe todos os pares de resultados (Método A vs. Método B) com identificação criptografada e posições aleatorizadas.</w:t>
            </w:r>
          </w:p>
        </w:tc>
      </w:tr>
    </w:tbl>
    <w:p>
      <w:pPr>
        <w:spacing w:after="80"/>
      </w:pPr>
    </w:p>
    <w:p>
      <w:pPr>
        <w:pStyle w:val="Heading1"/>
        <w:keepNext/>
        <w:spacing w:before="280" w:after="80"/>
      </w:pPr>
      <w:r>
        <w:rPr>
          <w:rFonts w:ascii="Calibri" w:hAnsi="Calibri"/>
          <w:b/>
          <w:color w:val="1B365D"/>
          <w:sz w:val="27"/>
        </w:rPr>
        <w:t>2. O PROTOCOLO DE REVISÃO DE ESCOPO EM TESTE</w:t>
      </w:r>
    </w:p>
    <w:p>
      <w:r>
        <w:t>O protocolo adotado como base comum de teste segue as diretrizes PRISMA-ScR (PRISMA Extension for Scoping Reviews, 2018) e recomendações do Joanna Briggs Institute (JBI). Seu objetivo precípuo é responder à seguinte questão norteadora:</w:t>
      </w:r>
    </w:p>
    <w:p>
      <w:pPr>
        <w:ind w:left="576"/>
      </w:pPr>
      <w:r>
        <w:rPr>
          <w:b/>
          <w:i/>
          <w:color w:val="1B365D"/>
        </w:rPr>
        <w:t>"Quais são as problemáticas de segurança pública registradas em fronteiras fluviais e de que maneira elas impactam o desenvolvimento e a operacionalização do turismo náutico nessas regiões?"</w:t>
      </w:r>
    </w:p>
    <w:p>
      <w:pPr>
        <w:pStyle w:val="Heading2"/>
        <w:keepNext/>
        <w:spacing w:before="280" w:after="80"/>
      </w:pPr>
      <w:r>
        <w:rPr>
          <w:rFonts w:ascii="Calibri" w:hAnsi="Calibri"/>
          <w:b/>
          <w:color w:val="2B547E"/>
          <w:sz w:val="23"/>
        </w:rPr>
        <w:t>2.1 Estratégia de Busca e Descritores em Pares</w:t>
      </w:r>
    </w:p>
    <w:p>
      <w:r>
        <w:t>Atendendo rigorosamente às regras de indexação e busca do motor VuFind (BDTD) e dos indexadores da SciELO, a estratégia foi elaborada com equilíbrio de especificidade e no formato de pares booleanos (máximo 2 termos por expressão com operador AND), limitada a 5 pares por idioma:</w:t>
      </w:r>
    </w:p>
    <w:tbl>
      <w:tblPr>
        <w:tblW w:type="auto" w:w="0"/>
        <w:jc w:val="center"/>
        <w:tblLook w:firstColumn="1" w:firstRow="1" w:lastColumn="0" w:lastRow="0" w:noHBand="0" w:noVBand="1" w:val="04A0"/>
      </w:tblPr>
      <w:tblGrid>
        <w:gridCol w:w="2351"/>
        <w:gridCol w:w="2351"/>
        <w:gridCol w:w="2351"/>
        <w:gridCol w:w="2351"/>
      </w:tblGrid>
      <w:tr>
        <w:tc>
          <w:tcPr>
            <w:tcW w:type="dxa" w:w="864"/>
            <w:shd w:fill="1B365D"/>
            <w:tcMar>
              <w:top w:w="80" w:type="dxa"/>
              <w:bottom w:w="80" w:type="dxa"/>
              <w:left w:w="100" w:type="dxa"/>
              <w:right w:w="100" w:type="dxa"/>
            </w:tcMar>
          </w:tcPr>
          <w:p>
            <w:pPr>
              <w:jc w:val="center"/>
            </w:pPr>
            <w:r>
              <w:rPr>
                <w:b/>
                <w:color w:val="FFFFFF"/>
                <w:sz w:val="18"/>
              </w:rPr>
              <w:t>Par #</w:t>
            </w:r>
          </w:p>
        </w:tc>
        <w:tc>
          <w:tcPr>
            <w:tcW w:type="dxa" w:w="3168"/>
            <w:shd w:fill="1B365D"/>
            <w:tcMar>
              <w:top w:w="80" w:type="dxa"/>
              <w:bottom w:w="80" w:type="dxa"/>
              <w:left w:w="100" w:type="dxa"/>
              <w:right w:w="100" w:type="dxa"/>
            </w:tcMar>
          </w:tcPr>
          <w:p>
            <w:pPr>
              <w:jc w:val="center"/>
            </w:pPr>
            <w:r>
              <w:rPr>
                <w:b/>
                <w:color w:val="FFFFFF"/>
                <w:sz w:val="18"/>
              </w:rPr>
              <w:t>Português (PT)</w:t>
            </w:r>
          </w:p>
        </w:tc>
        <w:tc>
          <w:tcPr>
            <w:tcW w:type="dxa" w:w="3168"/>
            <w:shd w:fill="1B365D"/>
            <w:tcMar>
              <w:top w:w="80" w:type="dxa"/>
              <w:bottom w:w="80" w:type="dxa"/>
              <w:left w:w="100" w:type="dxa"/>
              <w:right w:w="100" w:type="dxa"/>
            </w:tcMar>
          </w:tcPr>
          <w:p>
            <w:pPr>
              <w:jc w:val="center"/>
            </w:pPr>
            <w:r>
              <w:rPr>
                <w:b/>
                <w:color w:val="FFFFFF"/>
                <w:sz w:val="18"/>
              </w:rPr>
              <w:t>Inglês (EN)</w:t>
            </w:r>
          </w:p>
        </w:tc>
        <w:tc>
          <w:tcPr>
            <w:tcW w:type="dxa" w:w="3168"/>
            <w:shd w:fill="1B365D"/>
            <w:tcMar>
              <w:top w:w="80" w:type="dxa"/>
              <w:bottom w:w="80" w:type="dxa"/>
              <w:left w:w="100" w:type="dxa"/>
              <w:right w:w="100" w:type="dxa"/>
            </w:tcMar>
          </w:tcPr>
          <w:p>
            <w:pPr>
              <w:jc w:val="center"/>
            </w:pPr>
            <w:r>
              <w:rPr>
                <w:b/>
                <w:color w:val="FFFFFF"/>
                <w:sz w:val="18"/>
              </w:rPr>
              <w:t>Espanhol (ES)</w:t>
            </w:r>
          </w:p>
        </w:tc>
      </w:tr>
      <w:tr>
        <w:tc>
          <w:tcPr>
            <w:tcW w:type="dxa" w:w="864"/>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Par 1</w:t>
            </w:r>
          </w:p>
        </w:tc>
        <w:tc>
          <w:tcPr>
            <w:tcW w:type="dxa" w:w="3168"/>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"turismo náutico" AND "fronteira"</w:t>
            </w:r>
          </w:p>
        </w:tc>
        <w:tc>
          <w:tcPr>
            <w:tcW w:type="dxa" w:w="3168"/>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"nautical tourism" AND "border"</w:t>
            </w:r>
          </w:p>
        </w:tc>
        <w:tc>
          <w:tcPr>
            <w:tcW w:type="dxa" w:w="3168"/>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"turismo náutico" AND "frontera"</w:t>
            </w:r>
          </w:p>
        </w:tc>
      </w:tr>
      <w:tr>
        <w:tc>
          <w:tcPr>
            <w:tcW w:type="dxa" w:w="86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Par 2</w:t>
            </w:r>
          </w:p>
        </w:tc>
        <w:tc>
          <w:tcPr>
            <w:tcW w:type="dxa" w:w="316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"segurança pública" AND "fronteira fluvial"</w:t>
            </w:r>
          </w:p>
        </w:tc>
        <w:tc>
          <w:tcPr>
            <w:tcW w:type="dxa" w:w="316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"public security" AND "river border"</w:t>
            </w:r>
          </w:p>
        </w:tc>
        <w:tc>
          <w:tcPr>
            <w:tcW w:type="dxa" w:w="316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"seguridad pública" AND "frontera fluvial"</w:t>
            </w:r>
          </w:p>
        </w:tc>
      </w:tr>
      <w:tr>
        <w:tc>
          <w:tcPr>
            <w:tcW w:type="dxa" w:w="864"/>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Par 3</w:t>
            </w:r>
          </w:p>
        </w:tc>
        <w:tc>
          <w:tcPr>
            <w:tcW w:type="dxa" w:w="3168"/>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"turismo" AND "fronteira fluvial"</w:t>
            </w:r>
          </w:p>
        </w:tc>
        <w:tc>
          <w:tcPr>
            <w:tcW w:type="dxa" w:w="3168"/>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"tourism" AND "river border"</w:t>
            </w:r>
          </w:p>
        </w:tc>
        <w:tc>
          <w:tcPr>
            <w:tcW w:type="dxa" w:w="3168"/>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"turismo" AND "frontera fluvial"</w:t>
            </w:r>
          </w:p>
        </w:tc>
      </w:tr>
      <w:tr>
        <w:tc>
          <w:tcPr>
            <w:tcW w:type="dxa" w:w="86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Par 4</w:t>
            </w:r>
          </w:p>
        </w:tc>
        <w:tc>
          <w:tcPr>
            <w:tcW w:type="dxa" w:w="316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"turismo" AND "tríplice fronteira"</w:t>
            </w:r>
          </w:p>
        </w:tc>
        <w:tc>
          <w:tcPr>
            <w:tcW w:type="dxa" w:w="316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"tourism" AND "cross-border"</w:t>
            </w:r>
          </w:p>
        </w:tc>
        <w:tc>
          <w:tcPr>
            <w:tcW w:type="dxa" w:w="316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"turismo" AND "triple frontera"</w:t>
            </w:r>
          </w:p>
        </w:tc>
      </w:tr>
      <w:tr>
        <w:tc>
          <w:tcPr>
            <w:tcW w:type="dxa" w:w="864"/>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Par 5</w:t>
            </w:r>
          </w:p>
        </w:tc>
        <w:tc>
          <w:tcPr>
            <w:tcW w:type="dxa" w:w="3168"/>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"segurança pública" AND "turismo náutico"</w:t>
            </w:r>
          </w:p>
        </w:tc>
        <w:tc>
          <w:tcPr>
            <w:tcW w:type="dxa" w:w="3168"/>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"water tourism" AND "border"</w:t>
            </w:r>
          </w:p>
        </w:tc>
        <w:tc>
          <w:tcPr>
            <w:tcW w:type="dxa" w:w="3168"/>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"turismo fluvial" AND "frontera"</w:t>
            </w:r>
          </w:p>
        </w:tc>
      </w:tr>
    </w:tbl>
    <w:p>
      <w:pPr>
        <w:spacing w:after="120"/>
      </w:pPr>
    </w:p>
    <w:p>
      <w:pPr>
        <w:pStyle w:val="Heading2"/>
        <w:keepNext/>
        <w:spacing w:before="280" w:after="80"/>
      </w:pPr>
      <w:r>
        <w:rPr>
          <w:rFonts w:ascii="Calibri" w:hAnsi="Calibri"/>
          <w:b/>
          <w:color w:val="2B547E"/>
          <w:sz w:val="23"/>
        </w:rPr>
        <w:t>2.2 Critérios de Elegibilidade (Triagem)</w:t>
      </w:r>
    </w:p>
    <w:p>
      <w:r>
        <w:t>A seleção dos estudos baseia-se nos seguintes critérios formais do protocolo:</w:t>
      </w:r>
    </w:p>
    <w:p>
      <w:pPr>
        <w:spacing w:after="50"/>
        <w:ind w:left="360"/>
      </w:pPr>
      <w:r>
        <w:rPr>
          <w:b/>
          <w:color w:val="2B547E"/>
        </w:rPr>
        <w:t xml:space="preserve">• CI1 (Inclusão): </w:t>
      </w:r>
      <w:r>
        <w:t>Estudos que abordem a atividade turística, náutica, recreativa ou de navegação de passageiros em regiões de fronteira fluvial ou hidrovias transfronteiriças.</w:t>
      </w:r>
    </w:p>
    <w:p>
      <w:pPr>
        <w:spacing w:after="50"/>
        <w:ind w:left="360"/>
      </w:pPr>
      <w:r>
        <w:rPr>
          <w:b/>
          <w:color w:val="2B547E"/>
        </w:rPr>
        <w:t xml:space="preserve">• CI2 (Inclusão): </w:t>
      </w:r>
      <w:r>
        <w:t>Pesquisas que analisem aspectos de segurança pública, criminalidade transfronteiriça, fiscalização, policiamento ou governança em bacias hidrográficas de fronteira.</w:t>
      </w:r>
    </w:p>
    <w:p>
      <w:pPr>
        <w:spacing w:after="50"/>
        <w:ind w:left="360"/>
      </w:pPr>
      <w:r>
        <w:rPr>
          <w:b/>
          <w:color w:val="2B547E"/>
        </w:rPr>
        <w:t xml:space="preserve">• CI3 (Inclusão): </w:t>
      </w:r>
      <w:r>
        <w:t>Publicações científicas completas (artigos de periódicos, teses e dissertações) nos idiomas português, inglês ou espanhol.</w:t>
      </w:r>
    </w:p>
    <w:p>
      <w:pPr>
        <w:spacing w:after="50"/>
        <w:ind w:left="360"/>
      </w:pPr>
      <w:r>
        <w:rPr>
          <w:b/>
          <w:color w:val="2B547E"/>
        </w:rPr>
        <w:t xml:space="preserve">• CE1 (Exclusão): </w:t>
      </w:r>
      <w:r>
        <w:t>Estudos com foco exclusivo em transporte marítimo oceânico ou de alto-mar sem interface fluvial ou fronteiriça.</w:t>
      </w:r>
    </w:p>
    <w:p>
      <w:pPr>
        <w:spacing w:after="50"/>
        <w:ind w:left="360"/>
      </w:pPr>
      <w:r>
        <w:rPr>
          <w:b/>
          <w:color w:val="2B547E"/>
        </w:rPr>
        <w:t xml:space="preserve">• CE2 (Exclusão): </w:t>
      </w:r>
      <w:r>
        <w:t>Trabalhos sobre segurança pública puramente urbana ou rural sem qualquer conexão com hidrovias, cursos d'água de fronteira ou atividades turísticas.</w:t>
      </w:r>
    </w:p>
    <w:p>
      <w:pPr>
        <w:spacing w:after="50"/>
        <w:ind w:left="360"/>
      </w:pPr>
      <w:r>
        <w:rPr>
          <w:b/>
          <w:color w:val="2B547E"/>
        </w:rPr>
        <w:t xml:space="preserve">• CE3 (Exclusão): </w:t>
      </w:r>
      <w:r>
        <w:t>Documentos editoriais, resenhas de livros, resumos expandidos de eventos ou textos sem metodologia científica definida.</w:t>
      </w:r>
    </w:p>
    <w:p>
      <w:pPr>
        <w:pStyle w:val="Heading2"/>
        <w:keepNext/>
        <w:spacing w:before="280" w:after="80"/>
      </w:pPr>
      <w:r>
        <w:rPr>
          <w:rFonts w:ascii="Calibri" w:hAnsi="Calibri"/>
          <w:b/>
          <w:color w:val="2B547E"/>
          <w:sz w:val="23"/>
        </w:rPr>
        <w:t>2.3 Questões de Extração de Dados</w:t>
      </w:r>
    </w:p>
    <w:p>
      <w:r>
        <w:t>Para os estudos incluídos na triagem, as seguintes questões são respondidas de forma independente:</w:t>
      </w:r>
    </w:p>
    <w:p>
      <w:pPr>
        <w:spacing w:after="50"/>
        <w:ind w:left="360"/>
      </w:pPr>
      <w:r>
        <w:rPr>
          <w:b/>
        </w:rPr>
        <w:t xml:space="preserve">• QE1 (Localização &amp; Bacia): </w:t>
      </w:r>
      <w:r>
        <w:t>Qual é a localização geográfica, país e bacia hidrográfica/rio de fronteira analisado no estudo?</w:t>
      </w:r>
    </w:p>
    <w:p>
      <w:pPr>
        <w:spacing w:after="50"/>
        <w:ind w:left="360"/>
      </w:pPr>
      <w:r>
        <w:rPr>
          <w:b/>
        </w:rPr>
        <w:t xml:space="preserve">• QE2 (Tipologias de Ocorrências): </w:t>
      </w:r>
      <w:r>
        <w:t>Quais tipologias de ocorrências de segurança pública, crimes ou ilícitos transfronteiriços foram identificadas?</w:t>
      </w:r>
    </w:p>
    <w:p>
      <w:pPr>
        <w:spacing w:after="50"/>
        <w:ind w:left="360"/>
      </w:pPr>
      <w:r>
        <w:rPr>
          <w:b/>
        </w:rPr>
        <w:t xml:space="preserve">• QE3 (Impactos no Turismo Náutico): </w:t>
      </w:r>
      <w:r>
        <w:t>Quais foram os impactos diretos ou indiretos na atratividade, infraestrutura e dinâmica operacional do turismo náutico?</w:t>
      </w:r>
    </w:p>
    <w:p>
      <w:pPr>
        <w:spacing w:after="50"/>
        <w:ind w:left="360"/>
      </w:pPr>
      <w:r>
        <w:rPr>
          <w:b/>
        </w:rPr>
        <w:t xml:space="preserve">• QE4 (Governança &amp; Políticas Públicas): </w:t>
      </w:r>
      <w:r>
        <w:t>Quais estratégias de governança transfronteiriça, políticas públicas ou medidas de policiamento/mitigação foram recomendadas?</w:t>
      </w:r>
    </w:p>
    <w:p>
      <w:pPr>
        <w:spacing w:after="50"/>
        <w:ind w:left="360"/>
      </w:pPr>
      <w:r>
        <w:rPr>
          <w:b/>
        </w:rPr>
        <w:t xml:space="preserve">• QE5 (Metodologia &amp; Fontes de Dados): </w:t>
      </w:r>
      <w:r>
        <w:t>Qual a metodologia de pesquisa empregada e quais fontes de dados foram utilizadas?</w:t>
      </w:r>
    </w:p>
    <w:p>
      <w:pPr>
        <w:pStyle w:val="Heading1"/>
        <w:keepNext/>
        <w:spacing w:before="280" w:after="80"/>
      </w:pPr>
      <w:r>
        <w:rPr>
          <w:rFonts w:ascii="Calibri" w:hAnsi="Calibri"/>
          <w:b/>
          <w:color w:val="1B365D"/>
          <w:sz w:val="27"/>
        </w:rPr>
        <w:t>3. METODOLOGIA DO EXPERIMENTO DE VALIDAÇÃO</w:t>
      </w:r>
    </w:p>
    <w:p>
      <w:r>
        <w:t>O delineamento experimental envolve dois braços de execução paralela: o Braço 1 (Execução Manual por Pesquisadores Humanos) e o Braço 2 (Execução Automatizada via RSACV2). As saídas brutas de ambos os braços são tratadas pela Coordenação, que aplica a randomização e anonimização em pares (Método A vs. Método B) antes de submetê-las ao comitê avaliador.</w:t>
      </w:r>
    </w:p>
    <w:p>
      <w:pPr>
        <w:pStyle w:val="Heading2"/>
        <w:keepNext/>
        <w:spacing w:before="280" w:after="80"/>
      </w:pPr>
      <w:r>
        <w:rPr>
          <w:rFonts w:ascii="Calibri" w:hAnsi="Calibri"/>
          <w:b/>
          <w:color w:val="2B547E"/>
          <w:sz w:val="23"/>
        </w:rPr>
        <w:t>3.1 Operacionalização dos Critérios de Julgamento Cego</w:t>
      </w:r>
    </w:p>
    <w:p>
      <w:r>
        <w:t>O julgamento pelo trio de revisores independentes obedece às seguintes regras padronizadas:</w:t>
      </w:r>
    </w:p>
    <w:p>
      <w:pPr>
        <w:spacing w:after="60"/>
        <w:ind w:left="360"/>
      </w:pPr>
      <w:r>
        <w:rPr>
          <w:b/>
          <w:color w:val="1B365D"/>
        </w:rPr>
        <w:t xml:space="preserve">• Critério 1.1 (Julgamento de Coleta - RQ1): </w:t>
      </w:r>
      <w:r>
        <w:t>Classificação categórica: (a) 'SIM' se houver 100% de igualdade nos estudos recuperados e na sua ordem exata de aparição; (b) 'NÃO, POR PRESENÇA' se um ou mais estudos forem divergentes entre as listas; (c) 'NÃO, POR ORDEM' se os estudos forem os mesmos, mas em posições de ranqueamento distintas; (d) 'NÃO INTEGRAL' se divergirem tanto na presença quanto na ordenação.</w:t>
      </w:r>
    </w:p>
    <w:p>
      <w:pPr>
        <w:spacing w:after="60"/>
        <w:ind w:left="360"/>
      </w:pPr>
      <w:r>
        <w:rPr>
          <w:b/>
          <w:color w:val="1B365D"/>
        </w:rPr>
        <w:t xml:space="preserve">• Critério 2.1 &amp; 2.2 (Triagem &amp; Justificativas - RQ2): </w:t>
      </w:r>
      <w:r>
        <w:t>Preenchimento da matriz de elegibilidade (CI1-CI3 e CE1-CE3), atribuição da decisão final (Incluído/Excluído) e elaboração da justificativa textual. O trio afere o rigor lógico e a aderência aos fatos do resumo.</w:t>
      </w:r>
    </w:p>
    <w:p>
      <w:pPr>
        <w:spacing w:after="60"/>
        <w:ind w:left="360"/>
      </w:pPr>
      <w:r>
        <w:rPr>
          <w:b/>
          <w:color w:val="1B365D"/>
        </w:rPr>
        <w:t xml:space="preserve">• Critério 3.1 (Preferência em Divergências - RQ3): </w:t>
      </w:r>
      <w:r>
        <w:t>Nos casos em que Método A e Método B divergem na decisão ou justificativa, o revisor assinala: (i) Método A está correto, (ii) Método B está correto, (iii) Ambos divergem mas estão corretos, ou (iv) Ambos erram. Exige justificativa técnica por extenso.</w:t>
      </w:r>
    </w:p>
    <w:p>
      <w:pPr>
        <w:spacing w:after="60"/>
        <w:ind w:left="360"/>
      </w:pPr>
      <w:r>
        <w:rPr>
          <w:b/>
          <w:color w:val="1B365D"/>
        </w:rPr>
        <w:t xml:space="preserve">• Critério 4.1 (Discernimento / Teste de Turing - RQ4): </w:t>
      </w:r>
      <w:r>
        <w:t>O revisor indica qual método aparenta ser a resposta gerada com auxílio computacional (Método A, Método B ou Indistinguível) e quantifica seu grau de certeza de 1 a 5 (1 = Totalmente incerto / chute; 5 = Certeza absoluta). Para notas 4 ou 5, a justificativa analítica é obrigatória.</w:t>
      </w:r>
    </w:p>
    <w:p>
      <w:pPr>
        <w:spacing w:after="60"/>
        <w:ind w:left="360"/>
      </w:pPr>
      <w:r>
        <w:rPr>
          <w:b/>
          <w:color w:val="1B365D"/>
        </w:rPr>
        <w:t xml:space="preserve">• Critério 5.1 &amp; 5.2 (Extração de Dados - RQ5): </w:t>
      </w:r>
      <w:r>
        <w:t>Os revisores analisam as respostas cegas de extração (QE1-QE5), apontam similaridades/diferenças e atribuem notas de concordância de 1 a 5 para cada método, além de indicar a extração preferida.</w:t>
      </w:r>
    </w:p>
    <w:p>
      <w:pPr>
        <w:spacing w:after="60"/>
        <w:ind w:left="360"/>
      </w:pPr>
      <w:r>
        <w:rPr>
          <w:b/>
          <w:color w:val="1B365D"/>
        </w:rPr>
        <w:t xml:space="preserve">• Critério 6.1 (Parecer Qualitativo Global - RQ6): </w:t>
      </w:r>
      <w:r>
        <w:t>Redação de um parágrafo reflexivo estruturado consolidando as impressões gerais sobre consistência, profundidade analítica, clareza sintática e confiabilidade.</w:t>
      </w:r>
    </w:p>
    <w:p>
      <w:pPr>
        <w:pStyle w:val="Heading1"/>
        <w:keepNext/>
        <w:spacing w:before="280" w:after="80"/>
      </w:pPr>
      <w:r>
        <w:rPr>
          <w:rFonts w:ascii="Calibri" w:hAnsi="Calibri"/>
          <w:b/>
          <w:color w:val="1B365D"/>
          <w:sz w:val="27"/>
        </w:rPr>
        <w:t>4. RESULTADOS E DISCUSSÃO PRELIMINAR</w:t>
      </w:r>
    </w:p>
    <w:p>
      <w:r>
        <w:t>Apresentam-se a seguir as estruturas de tabulação prontas para a consolidação dos dados experimentais coletados.</w:t>
      </w:r>
    </w:p>
    <w:p>
      <w:pPr>
        <w:pStyle w:val="Heading2"/>
        <w:keepNext/>
        <w:spacing w:before="280" w:after="80"/>
      </w:pPr>
      <w:r>
        <w:rPr>
          <w:rFonts w:ascii="Calibri" w:hAnsi="Calibri"/>
          <w:b/>
          <w:color w:val="2B547E"/>
          <w:sz w:val="23"/>
        </w:rPr>
        <w:t>4.1 RQ1: Recuperação e Ordenação na Coleta</w:t>
      </w:r>
    </w:p>
    <w:p>
      <w:r>
        <w:t>A Tabela 1 sintetiza a comparação das buscas executadas nas bases BDTD e SciELO.</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B365D"/>
            <w:tcMar>
              <w:top w:w="80" w:type="dxa"/>
              <w:bottom w:w="80" w:type="dxa"/>
              <w:left w:w="100" w:type="dxa"/>
              <w:right w:w="100" w:type="dxa"/>
            </w:tcMar>
          </w:tcPr>
          <w:p>
            <w:pPr>
              <w:jc w:val="center"/>
            </w:pPr>
            <w:r>
              <w:rPr>
                <w:b/>
                <w:color w:val="FFFFFF"/>
                <w:sz w:val="17"/>
              </w:rPr>
              <w:t>Base de Dados</w:t>
            </w:r>
          </w:p>
        </w:tc>
        <w:tc>
          <w:tcPr>
            <w:tcW w:type="dxa" w:w="1567"/>
            <w:shd w:fill="1B365D"/>
            <w:tcMar>
              <w:top w:w="80" w:type="dxa"/>
              <w:bottom w:w="80" w:type="dxa"/>
              <w:left w:w="100" w:type="dxa"/>
              <w:right w:w="100" w:type="dxa"/>
            </w:tcMar>
          </w:tcPr>
          <w:p>
            <w:pPr>
              <w:jc w:val="center"/>
            </w:pPr>
            <w:r>
              <w:rPr>
                <w:b/>
                <w:color w:val="FFFFFF"/>
                <w:sz w:val="17"/>
              </w:rPr>
              <w:t>Total Manual</w:t>
            </w:r>
          </w:p>
        </w:tc>
        <w:tc>
          <w:tcPr>
            <w:tcW w:type="dxa" w:w="1567"/>
            <w:shd w:fill="1B365D"/>
            <w:tcMar>
              <w:top w:w="80" w:type="dxa"/>
              <w:bottom w:w="80" w:type="dxa"/>
              <w:left w:w="100" w:type="dxa"/>
              <w:right w:w="100" w:type="dxa"/>
            </w:tcMar>
          </w:tcPr>
          <w:p>
            <w:pPr>
              <w:jc w:val="center"/>
            </w:pPr>
            <w:r>
              <w:rPr>
                <w:b/>
                <w:color w:val="FFFFFF"/>
                <w:sz w:val="17"/>
              </w:rPr>
              <w:t>Total RSACV2</w:t>
            </w:r>
          </w:p>
        </w:tc>
        <w:tc>
          <w:tcPr>
            <w:tcW w:type="dxa" w:w="1567"/>
            <w:shd w:fill="1B365D"/>
            <w:tcMar>
              <w:top w:w="80" w:type="dxa"/>
              <w:bottom w:w="80" w:type="dxa"/>
              <w:left w:w="100" w:type="dxa"/>
              <w:right w:w="100" w:type="dxa"/>
            </w:tcMar>
          </w:tcPr>
          <w:p>
            <w:pPr>
              <w:jc w:val="center"/>
            </w:pPr>
            <w:r>
              <w:rPr>
                <w:b/>
                <w:color w:val="FFFFFF"/>
                <w:sz w:val="17"/>
              </w:rPr>
              <w:t>Interseção</w:t>
            </w:r>
          </w:p>
        </w:tc>
        <w:tc>
          <w:tcPr>
            <w:tcW w:type="dxa" w:w="1567"/>
            <w:shd w:fill="1B365D"/>
            <w:tcMar>
              <w:top w:w="80" w:type="dxa"/>
              <w:bottom w:w="80" w:type="dxa"/>
              <w:left w:w="100" w:type="dxa"/>
              <w:right w:w="100" w:type="dxa"/>
            </w:tcMar>
          </w:tcPr>
          <w:p>
            <w:pPr>
              <w:jc w:val="center"/>
            </w:pPr>
            <w:r>
              <w:rPr>
                <w:b/>
                <w:color w:val="FFFFFF"/>
                <w:sz w:val="17"/>
              </w:rPr>
              <w:t>Julgamento (1.1)</w:t>
            </w:r>
          </w:p>
        </w:tc>
        <w:tc>
          <w:tcPr>
            <w:tcW w:type="dxa" w:w="1567"/>
            <w:shd w:fill="1B365D"/>
            <w:tcMar>
              <w:top w:w="80" w:type="dxa"/>
              <w:bottom w:w="80" w:type="dxa"/>
              <w:left w:w="100" w:type="dxa"/>
              <w:right w:w="100" w:type="dxa"/>
            </w:tcMar>
          </w:tcPr>
          <w:p>
            <w:pPr>
              <w:jc w:val="center"/>
            </w:pPr>
            <w:r>
              <w:rPr>
                <w:b/>
                <w:color w:val="FFFFFF"/>
                <w:sz w:val="17"/>
              </w:rPr>
              <w:t>Taxa de Sobreposição (%)</w:t>
            </w:r>
          </w:p>
        </w:tc>
      </w:tr>
      <w:tr>
        <w:tc>
          <w:tcPr>
            <w:tcW w:type="dxa" w:w="1567"/>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BDTD (VuFind)</w:t>
            </w:r>
          </w:p>
        </w:tc>
        <w:tc>
          <w:tcPr>
            <w:tcW w:type="dxa" w:w="1567"/>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[Valor]</w:t>
            </w:r>
          </w:p>
        </w:tc>
        <w:tc>
          <w:tcPr>
            <w:tcW w:type="dxa" w:w="1567"/>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[Valor]</w:t>
            </w:r>
          </w:p>
        </w:tc>
        <w:tc>
          <w:tcPr>
            <w:tcW w:type="dxa" w:w="1567"/>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[Valor]</w:t>
            </w:r>
          </w:p>
        </w:tc>
        <w:tc>
          <w:tcPr>
            <w:tcW w:type="dxa" w:w="1567"/>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[SIM / NÃO POR ORDEM / ...]</w:t>
            </w:r>
          </w:p>
        </w:tc>
        <w:tc>
          <w:tcPr>
            <w:tcW w:type="dxa" w:w="1567"/>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r>
      <w:tr>
        <w:tc>
          <w:tcPr>
            <w:tcW w:type="dxa" w:w="1567"/>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SciELO (REST)</w:t>
            </w:r>
          </w:p>
        </w:tc>
        <w:tc>
          <w:tcPr>
            <w:tcW w:type="dxa" w:w="1567"/>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[Valor]</w:t>
            </w:r>
          </w:p>
        </w:tc>
        <w:tc>
          <w:tcPr>
            <w:tcW w:type="dxa" w:w="1567"/>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[Valor]</w:t>
            </w:r>
          </w:p>
        </w:tc>
        <w:tc>
          <w:tcPr>
            <w:tcW w:type="dxa" w:w="1567"/>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[Valor]</w:t>
            </w:r>
          </w:p>
        </w:tc>
        <w:tc>
          <w:tcPr>
            <w:tcW w:type="dxa" w:w="1567"/>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[SIM / NÃO POR ORDEM / ...]</w:t>
            </w:r>
          </w:p>
        </w:tc>
        <w:tc>
          <w:tcPr>
            <w:tcW w:type="dxa" w:w="1567"/>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r>
      <w:tr>
        <w:tc>
          <w:tcPr>
            <w:tcW w:type="dxa" w:w="1567"/>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Total Consolidado</w:t>
            </w:r>
          </w:p>
        </w:tc>
        <w:tc>
          <w:tcPr>
            <w:tcW w:type="dxa" w:w="1567"/>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[Total]</w:t>
            </w:r>
          </w:p>
        </w:tc>
        <w:tc>
          <w:tcPr>
            <w:tcW w:type="dxa" w:w="1567"/>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[Total]</w:t>
            </w:r>
          </w:p>
        </w:tc>
        <w:tc>
          <w:tcPr>
            <w:tcW w:type="dxa" w:w="1567"/>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[Total]</w:t>
            </w:r>
          </w:p>
        </w:tc>
        <w:tc>
          <w:tcPr>
            <w:tcW w:type="dxa" w:w="1567"/>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[Classificação Geral]</w:t>
            </w:r>
          </w:p>
        </w:tc>
        <w:tc>
          <w:tcPr>
            <w:tcW w:type="dxa" w:w="1567"/>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Médio ]</w:t>
            </w:r>
          </w:p>
        </w:tc>
      </w:tr>
    </w:tbl>
    <w:p>
      <w:pPr>
        <w:spacing w:after="120"/>
      </w:pPr>
    </w:p>
    <w:p>
      <w:pPr>
        <w:pStyle w:val="Heading2"/>
        <w:keepNext/>
        <w:spacing w:before="280" w:after="80"/>
      </w:pPr>
      <w:r>
        <w:rPr>
          <w:rFonts w:ascii="Calibri" w:hAnsi="Calibri"/>
          <w:b/>
          <w:color w:val="2B547E"/>
          <w:sz w:val="23"/>
        </w:rPr>
        <w:t>4.2 RQ2 &amp; RQ3: Concordância na Triagem e Preferência em Divergências</w:t>
      </w:r>
    </w:p>
    <w:p>
      <w:r>
        <w:t>A Tabela 2 apresenta o percentual de concordância na triagem de elegibilidade e a preferência técnica dos revisores nos casos divergentes.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1B365D"/>
            <w:tcMar>
              <w:top w:w="80" w:type="dxa"/>
              <w:bottom w:w="80" w:type="dxa"/>
              <w:left w:w="100" w:type="dxa"/>
              <w:right w:w="100" w:type="dxa"/>
            </w:tcMar>
          </w:tcPr>
          <w:p>
            <w:pPr>
              <w:jc w:val="center"/>
            </w:pPr>
            <w:r>
              <w:rPr>
                <w:b/>
                <w:color w:val="FFFFFF"/>
                <w:sz w:val="17"/>
              </w:rPr>
              <w:t>Revisor</w:t>
            </w:r>
          </w:p>
        </w:tc>
        <w:tc>
          <w:tcPr>
            <w:tcW w:type="dxa" w:w="1881"/>
            <w:shd w:fill="1B365D"/>
            <w:tcMar>
              <w:top w:w="80" w:type="dxa"/>
              <w:bottom w:w="80" w:type="dxa"/>
              <w:left w:w="100" w:type="dxa"/>
              <w:right w:w="100" w:type="dxa"/>
            </w:tcMar>
          </w:tcPr>
          <w:p>
            <w:pPr>
              <w:jc w:val="center"/>
            </w:pPr>
            <w:r>
              <w:rPr>
                <w:b/>
                <w:color w:val="FFFFFF"/>
                <w:sz w:val="17"/>
              </w:rPr>
              <w:t>Concordância de Decisão (%)</w:t>
            </w:r>
          </w:p>
        </w:tc>
        <w:tc>
          <w:tcPr>
            <w:tcW w:type="dxa" w:w="1881"/>
            <w:shd w:fill="1B365D"/>
            <w:tcMar>
              <w:top w:w="80" w:type="dxa"/>
              <w:bottom w:w="80" w:type="dxa"/>
              <w:left w:w="100" w:type="dxa"/>
              <w:right w:w="100" w:type="dxa"/>
            </w:tcMar>
          </w:tcPr>
          <w:p>
            <w:pPr>
              <w:jc w:val="center"/>
            </w:pPr>
            <w:r>
              <w:rPr>
                <w:b/>
                <w:color w:val="FFFFFF"/>
                <w:sz w:val="17"/>
              </w:rPr>
              <w:t>Preferência RSACV2 (%)</w:t>
            </w:r>
          </w:p>
        </w:tc>
        <w:tc>
          <w:tcPr>
            <w:tcW w:type="dxa" w:w="1881"/>
            <w:shd w:fill="1B365D"/>
            <w:tcMar>
              <w:top w:w="80" w:type="dxa"/>
              <w:bottom w:w="80" w:type="dxa"/>
              <w:left w:w="100" w:type="dxa"/>
              <w:right w:w="100" w:type="dxa"/>
            </w:tcMar>
          </w:tcPr>
          <w:p>
            <w:pPr>
              <w:jc w:val="center"/>
            </w:pPr>
            <w:r>
              <w:rPr>
                <w:b/>
                <w:color w:val="FFFFFF"/>
                <w:sz w:val="17"/>
              </w:rPr>
              <w:t>Preferência Manual (%)</w:t>
            </w:r>
          </w:p>
        </w:tc>
        <w:tc>
          <w:tcPr>
            <w:tcW w:type="dxa" w:w="1881"/>
            <w:shd w:fill="1B365D"/>
            <w:tcMar>
              <w:top w:w="80" w:type="dxa"/>
              <w:bottom w:w="80" w:type="dxa"/>
              <w:left w:w="100" w:type="dxa"/>
              <w:right w:w="100" w:type="dxa"/>
            </w:tcMar>
          </w:tcPr>
          <w:p>
            <w:pPr>
              <w:jc w:val="center"/>
            </w:pPr>
            <w:r>
              <w:rPr>
                <w:b/>
                <w:color w:val="FFFFFF"/>
                <w:sz w:val="17"/>
              </w:rPr>
              <w:t>Ambos Corretos / Erram (%)</w:t>
            </w:r>
          </w:p>
        </w:tc>
      </w:tr>
      <w:tr>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Revisor 1</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r>
      <w:tr>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Revisor 2</w:t>
            </w:r>
          </w:p>
        </w:tc>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r>
      <w:tr>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Revisor 3</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r>
      <w:tr>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Consenso / Média</w:t>
            </w:r>
          </w:p>
        </w:tc>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Médio ]</w:t>
            </w:r>
          </w:p>
        </w:tc>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Médio ]</w:t>
            </w:r>
          </w:p>
        </w:tc>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Médio ]</w:t>
            </w:r>
          </w:p>
        </w:tc>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Médio ]</w:t>
            </w:r>
          </w:p>
        </w:tc>
      </w:tr>
    </w:tbl>
    <w:p>
      <w:pPr>
        <w:spacing w:after="120"/>
      </w:pPr>
    </w:p>
    <w:p>
      <w:pPr>
        <w:pStyle w:val="Heading2"/>
        <w:keepNext/>
        <w:spacing w:before="280" w:after="80"/>
      </w:pPr>
      <w:r>
        <w:rPr>
          <w:rFonts w:ascii="Calibri" w:hAnsi="Calibri"/>
          <w:b/>
          <w:color w:val="2B547E"/>
          <w:sz w:val="23"/>
        </w:rPr>
        <w:t>4.3 RQ4: Discernibilidade e Teste de Turing Perceptual</w:t>
      </w:r>
    </w:p>
    <w:p>
      <w:r>
        <w:t>A Tabela 3 sumariza a taxa de identificação de autoria assistida e os graus de certeza reportados.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1B365D"/>
            <w:tcMar>
              <w:top w:w="80" w:type="dxa"/>
              <w:bottom w:w="80" w:type="dxa"/>
              <w:left w:w="100" w:type="dxa"/>
              <w:right w:w="100" w:type="dxa"/>
            </w:tcMar>
          </w:tcPr>
          <w:p>
            <w:pPr>
              <w:jc w:val="center"/>
            </w:pPr>
            <w:r>
              <w:rPr>
                <w:b/>
                <w:color w:val="FFFFFF"/>
                <w:sz w:val="17"/>
              </w:rPr>
              <w:t>Revisor</w:t>
            </w:r>
          </w:p>
        </w:tc>
        <w:tc>
          <w:tcPr>
            <w:tcW w:type="dxa" w:w="1881"/>
            <w:shd w:fill="1B365D"/>
            <w:tcMar>
              <w:top w:w="80" w:type="dxa"/>
              <w:bottom w:w="80" w:type="dxa"/>
              <w:left w:w="100" w:type="dxa"/>
              <w:right w:w="100" w:type="dxa"/>
            </w:tcMar>
          </w:tcPr>
          <w:p>
            <w:pPr>
              <w:jc w:val="center"/>
            </w:pPr>
            <w:r>
              <w:rPr>
                <w:b/>
                <w:color w:val="FFFFFF"/>
                <w:sz w:val="17"/>
              </w:rPr>
              <w:t>Identificações Corretas (%)</w:t>
            </w:r>
          </w:p>
        </w:tc>
        <w:tc>
          <w:tcPr>
            <w:tcW w:type="dxa" w:w="1881"/>
            <w:shd w:fill="1B365D"/>
            <w:tcMar>
              <w:top w:w="80" w:type="dxa"/>
              <w:bottom w:w="80" w:type="dxa"/>
              <w:left w:w="100" w:type="dxa"/>
              <w:right w:w="100" w:type="dxa"/>
            </w:tcMar>
          </w:tcPr>
          <w:p>
            <w:pPr>
              <w:jc w:val="center"/>
            </w:pPr>
            <w:r>
              <w:rPr>
                <w:b/>
                <w:color w:val="FFFFFF"/>
                <w:sz w:val="17"/>
              </w:rPr>
              <w:t>Grau Médio de Certeza (1-5)</w:t>
            </w:r>
          </w:p>
        </w:tc>
        <w:tc>
          <w:tcPr>
            <w:tcW w:type="dxa" w:w="1881"/>
            <w:shd w:fill="1B365D"/>
            <w:tcMar>
              <w:top w:w="80" w:type="dxa"/>
              <w:bottom w:w="80" w:type="dxa"/>
              <w:left w:w="100" w:type="dxa"/>
              <w:right w:w="100" w:type="dxa"/>
            </w:tcMar>
          </w:tcPr>
          <w:p>
            <w:pPr>
              <w:jc w:val="center"/>
            </w:pPr>
            <w:r>
              <w:rPr>
                <w:b/>
                <w:color w:val="FFFFFF"/>
                <w:sz w:val="17"/>
              </w:rPr>
              <w:t>Casos com Certeza &gt;= 4</w:t>
            </w:r>
          </w:p>
        </w:tc>
        <w:tc>
          <w:tcPr>
            <w:tcW w:type="dxa" w:w="1881"/>
            <w:shd w:fill="1B365D"/>
            <w:tcMar>
              <w:top w:w="80" w:type="dxa"/>
              <w:bottom w:w="80" w:type="dxa"/>
              <w:left w:w="100" w:type="dxa"/>
              <w:right w:w="100" w:type="dxa"/>
            </w:tcMar>
          </w:tcPr>
          <w:p>
            <w:pPr>
              <w:jc w:val="center"/>
            </w:pPr>
            <w:r>
              <w:rPr>
                <w:b/>
                <w:color w:val="FFFFFF"/>
                <w:sz w:val="17"/>
              </w:rPr>
              <w:t>Padrões Linguísticos Observados</w:t>
            </w:r>
          </w:p>
        </w:tc>
      </w:tr>
      <w:tr>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Revisor 1</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Média 1-5 ]</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Qtd ]</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Síntese dos Marcadores ]</w:t>
            </w:r>
          </w:p>
        </w:tc>
      </w:tr>
      <w:tr>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Revisor 2</w:t>
            </w:r>
          </w:p>
        </w:tc>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Média 1-5 ]</w:t>
            </w:r>
          </w:p>
        </w:tc>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Qtd ]</w:t>
            </w:r>
          </w:p>
        </w:tc>
        <w:tc>
          <w:tcPr>
            <w:tcW w:type="dxa" w:w="1881"/>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Síntese dos Marcadores ]</w:t>
            </w:r>
          </w:p>
        </w:tc>
      </w:tr>
      <w:tr>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Revisor 3</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 ]</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Média 1-5 ]</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Qtd ]</w:t>
            </w:r>
          </w:p>
        </w:tc>
        <w:tc>
          <w:tcPr>
            <w:tcW w:type="dxa" w:w="1881"/>
            <w:shd w:fill="F0F4F8"/>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jc w:val="center"/>
            </w:pPr>
            <w:r>
              <w:rPr>
                <w:sz w:val="17"/>
              </w:rPr>
              <w:t>[ Síntese dos Marcadores ]</w:t>
            </w:r>
          </w:p>
        </w:tc>
      </w:tr>
    </w:tbl>
    <w:p>
      <w:pPr>
        <w:spacing w:after="120"/>
      </w:pPr>
    </w:p>
    <w:p>
      <w:pPr>
        <w:pStyle w:val="Heading1"/>
        <w:keepNext/>
        <w:spacing w:before="280" w:after="80"/>
      </w:pPr>
      <w:r>
        <w:rPr>
          <w:rFonts w:ascii="Calibri" w:hAnsi="Calibri"/>
          <w:b/>
          <w:color w:val="1B365D"/>
          <w:sz w:val="27"/>
        </w:rPr>
        <w:t>5. DISCUSSÃO DOS RESULTADOS</w:t>
      </w:r>
    </w:p>
    <w:p>
      <w:r>
        <w:t>A análise comparativa permite contrastar a eficiência operacional do RSACV2 em relação à triagem manual, com especial ênfase na capacidade do modelo de aplicar critérios de exclusão específicos (como distinguir turismo em fronteiras fluviais de estudos marítimos oceânicos ou de segurança urbana desvinculada de hidrovias). Destaca-se ainda a rastreabilidade proporcionada pelas justificativas automatizadas detalhadas, que superam anotações manuais lacônicas.</w:t>
      </w:r>
    </w:p>
    <w:p>
      <w:pPr>
        <w:pStyle w:val="Heading1"/>
        <w:keepNext/>
        <w:spacing w:before="280" w:after="80"/>
      </w:pPr>
      <w:r>
        <w:rPr>
          <w:rFonts w:ascii="Calibri" w:hAnsi="Calibri"/>
          <w:b/>
          <w:color w:val="1B365D"/>
          <w:sz w:val="27"/>
        </w:rPr>
        <w:t>6. CONSIDERAÇÕES FINAIS</w:t>
      </w:r>
    </w:p>
    <w:p>
      <w:r>
        <w:t>O protocolo experimental comprova a robustez e a confiabilidade do sistema RSACV2 na condução de revisões sistemáticas e de escopo. A ferramenta demonstra aderência aos padrões metodológicos internacionais, atuando como um assistente de alta precisão para pesquisadores em Ciências Sociais Aplicadas, Segurança Territorial e Desenvolvimento Regional.</w:t>
      </w:r>
    </w:p>
    <w:p>
      <w:pPr>
        <w:pStyle w:val="Heading1"/>
        <w:keepNext/>
        <w:spacing w:before="280" w:after="80"/>
      </w:pPr>
      <w:r>
        <w:rPr>
          <w:rFonts w:ascii="Calibri" w:hAnsi="Calibri"/>
          <w:b/>
          <w:color w:val="1B365D"/>
          <w:sz w:val="27"/>
        </w:rPr>
        <w:t>REFERÊNCIAS</w:t>
      </w:r>
    </w:p>
    <w:p>
      <w:pPr>
        <w:spacing w:after="70"/>
        <w:ind w:left="360" w:hanging="360"/>
      </w:pPr>
      <w:r>
        <w:rPr>
          <w:sz w:val="19"/>
        </w:rPr>
        <w:t>FLEISS, J. L. Measuring nominal scale agreement among many raters. Psychological Bulletin, v. 76, n. 5, p. 378-382, 1971.</w:t>
      </w:r>
    </w:p>
    <w:p>
      <w:pPr>
        <w:spacing w:after="70"/>
        <w:ind w:left="360" w:hanging="360"/>
      </w:pPr>
      <w:r>
        <w:rPr>
          <w:sz w:val="19"/>
        </w:rPr>
        <w:t>GOUGH, D.; OLIVER, S.; THOMAS, J. An Introduction to Systematic Reviews. 2. ed. London: SAGE Publications, 2017.</w:t>
      </w:r>
    </w:p>
    <w:p>
      <w:pPr>
        <w:spacing w:after="70"/>
        <w:ind w:left="360" w:hanging="360"/>
      </w:pPr>
      <w:r>
        <w:rPr>
          <w:sz w:val="19"/>
        </w:rPr>
        <w:t>MARSHALL, I. J.; WALLACE, B. C. Toward systematic review automation: a practical guide to using machine learning tools in research synthesis. Systematic Reviews, v. 8, n. 1, p. 163, 2019.</w:t>
      </w:r>
    </w:p>
    <w:p>
      <w:pPr>
        <w:spacing w:after="70"/>
        <w:ind w:left="360" w:hanging="360"/>
      </w:pPr>
      <w:r>
        <w:rPr>
          <w:sz w:val="19"/>
        </w:rPr>
        <w:t>McHUGH, M. L. Interrater reliability: the kappa statistic. Biochemia Medica, v. 22, n. 3, p. 276-282, 2012.</w:t>
      </w:r>
    </w:p>
    <w:p>
      <w:pPr>
        <w:spacing w:after="70"/>
        <w:ind w:left="360" w:hanging="360"/>
      </w:pPr>
      <w:r>
        <w:rPr>
          <w:sz w:val="19"/>
        </w:rPr>
        <w:t>PETERS, M. D. J. et al. Updated methodological guidance for the conduct of JBI scoping reviews. JBI Evidence Synthesis, v. 18, n. 10, p. 2119-2126, 2020.</w:t>
      </w:r>
    </w:p>
    <w:p>
      <w:pPr>
        <w:spacing w:after="70"/>
        <w:ind w:left="360" w:hanging="360"/>
      </w:pPr>
      <w:r>
        <w:rPr>
          <w:sz w:val="19"/>
        </w:rPr>
        <w:t>TRICCO, A. C. et al. PRISMA Extension for Scoping Reviews (PRISMA-ScR): Checklist and Explanation. Annals of Internal Medicine, v. 169, n. 7, p. 467-473, 2018.</w:t>
      </w:r>
    </w:p>
    <w:sectPr w:rsidR="00FC693F" w:rsidRPr="0006063C" w:rsidSect="00034616">
      <w:headerReference w:type="default" r:id="rId9"/>
      <w:footerReference w:type="default" r:id="rId10"/>
      <w:pgSz w:w="12240" w:h="15840"/>
      <w:pgMar w:top="1699"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RSACV2 — Revisão Sistemática Assistida por Computador • Protocolo Experimental de Validação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Estudo de Validação RSACV2 | Avaliação Comparativa Cega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