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555555"/>
          <w:sz w:val="20"/>
        </w:rPr>
        <w:t>PROGRAMA DE PÓS-GRADUAÇÃO EM DESENVOLVIMENTO REGIONAL / CIÊNCIAS SOCIAIS APLICADAS</w:t>
        <w:br/>
        <w:t>GRUPO DE PESQUISA EM METODOLOGIA E TECNOLOGIAS DE REVISÃO SISTEMÁTICA</w:t>
      </w:r>
    </w:p>
    <w:p>
      <w:pPr>
        <w:spacing w:before="280" w:after="120"/>
        <w:jc w:val="center"/>
      </w:pPr>
      <w:r>
        <w:rPr>
          <w:rFonts w:ascii="Calibri" w:hAnsi="Calibri"/>
          <w:b/>
          <w:color w:val="1B365D"/>
          <w:sz w:val="32"/>
        </w:rPr>
        <w:t>PROJETO DE PESQUISA &amp; CONVITE PARA COAUTORIA CIENTÍFICA</w:t>
      </w:r>
    </w:p>
    <w:p>
      <w:pPr>
        <w:spacing w:after="280"/>
        <w:jc w:val="center"/>
      </w:pPr>
      <w:r>
        <w:rPr>
          <w:i/>
          <w:color w:val="2B547E"/>
          <w:sz w:val="23"/>
        </w:rPr>
        <w:t>Validação Experimental Pareada Cega da Ferramenta RSACV2 em Revisão de Escopo: Avaliação de Acurácia, Reprodutibilidade e Qualidade Metodológica</w:t>
      </w:r>
    </w:p>
    <w:tbl>
      <w:tblPr>
        <w:tblW w:type="auto" w:w="0"/>
        <w:jc w:val="center"/>
        <w:tblLook w:firstColumn="1" w:firstRow="1" w:lastColumn="0" w:lastRow="0" w:noHBand="0" w:noVBand="1" w:val="04A0"/>
      </w:tblPr>
      <w:tblGrid>
        <w:gridCol w:w="4701"/>
        <w:gridCol w:w="4701"/>
      </w:tblGrid>
      <w:tr>
        <w:tc>
          <w:tcPr>
            <w:tcW w:type="dxa" w:w="360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B365D"/>
                <w:sz w:val="19"/>
              </w:rPr>
              <w:t>Pesquisador Proponente / Coordenador:</w:t>
            </w:r>
          </w:p>
        </w:tc>
        <w:tc>
          <w:tcPr>
            <w:tcW w:type="dxa" w:w="64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9"/>
              </w:rPr>
              <w:t>[Seu Nome Completo] — [Titulação / Vínculo Institucional]</w:t>
            </w:r>
          </w:p>
        </w:tc>
      </w:tr>
      <w:tr>
        <w:tc>
          <w:tcPr>
            <w:tcW w:type="dxa" w:w="360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B365D"/>
                <w:sz w:val="19"/>
              </w:rPr>
              <w:t>Linha de Pesquisa:</w:t>
            </w:r>
          </w:p>
        </w:tc>
        <w:tc>
          <w:tcPr>
            <w:tcW w:type="dxa" w:w="64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9"/>
              </w:rPr>
              <w:t>Desenvolvimento Regional, Políticas Públicas e Métodos de Síntese de Evidências</w:t>
            </w:r>
          </w:p>
        </w:tc>
      </w:tr>
      <w:tr>
        <w:tc>
          <w:tcPr>
            <w:tcW w:type="dxa" w:w="360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B365D"/>
                <w:sz w:val="19"/>
              </w:rPr>
              <w:t>Protocolo Experimental em Teste:</w:t>
            </w:r>
          </w:p>
        </w:tc>
        <w:tc>
          <w:tcPr>
            <w:tcW w:type="dxa" w:w="64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9"/>
              </w:rPr>
              <w:t>'Impactos da Segurança Pública na Operacionalização do Turismo Náutico em Fronteiras Fluviais' (PRISMA-ScR)</w:t>
            </w:r>
          </w:p>
        </w:tc>
      </w:tr>
      <w:tr>
        <w:tc>
          <w:tcPr>
            <w:tcW w:type="dxa" w:w="360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B365D"/>
                <w:sz w:val="19"/>
              </w:rPr>
              <w:t>Previsão de Execução e Escrita:</w:t>
            </w:r>
          </w:p>
        </w:tc>
        <w:tc>
          <w:tcPr>
            <w:tcW w:type="dxa" w:w="64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9"/>
              </w:rPr>
              <w:t>[Mês Inicial / 2026] a [Mês Final / 2026] (Duração: ~8 semanas)</w:t>
            </w:r>
          </w:p>
        </w:tc>
      </w:tr>
      <w:tr>
        <w:tc>
          <w:tcPr>
            <w:tcW w:type="dxa" w:w="360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color w:val="1B365D"/>
                <w:sz w:val="19"/>
              </w:rPr>
              <w:t>Periódicos Alvo para Submissão:</w:t>
            </w:r>
          </w:p>
        </w:tc>
        <w:tc>
          <w:tcPr>
            <w:tcW w:type="dxa" w:w="64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sz w:val="19"/>
              </w:rPr>
              <w:t>Revistas Qualis A1/A2 em Desenvolvimento Regional, Administração Pública ou Ciência da Informação</w:t>
            </w:r>
          </w:p>
        </w:tc>
      </w:tr>
    </w:tbl>
    <w:p>
      <w:pPr>
        <w:spacing w:after="160"/>
      </w:pPr>
    </w:p>
    <w:tbl>
      <w:tblPr>
        <w:tblW w:type="auto" w:w="0"/>
        <w:jc w:val="center"/>
        <w:tblLook w:firstColumn="1" w:firstRow="1" w:lastColumn="0" w:lastRow="0" w:noHBand="0" w:noVBand="1" w:val="04A0"/>
      </w:tblPr>
      <w:tblGrid>
        <w:gridCol w:w="9403"/>
      </w:tblGrid>
      <w:tr>
        <w:tc>
          <w:tcPr>
            <w:tcW w:type="dxa" w:w="9403"/>
            <w:shd w:fill="FEF3C7"/>
            <w:tcMar>
              <w:top w:w="140" w:type="dxa"/>
              <w:bottom w:w="140" w:type="dxa"/>
              <w:left w:w="180" w:type="dxa"/>
              <w:right w:w="180" w:type="dxa"/>
            </w:tcMar>
            <w:tcBorders>
              <w:top w:val="single" w:sz="8" w:space="0" w:color="D97706"/>
              <w:bottom w:val="single" w:sz="8" w:space="0" w:color="D97706"/>
              <w:left w:val="single" w:sz="8" w:space="0" w:color="D97706"/>
              <w:right w:val="single" w:sz="8" w:space="0" w:color="D97706"/>
            </w:tcBorders>
          </w:tcPr>
          <w:p>
            <w:pPr>
              <w:spacing w:before="40" w:after="40"/>
            </w:pPr>
            <w:r>
              <w:rPr>
                <w:b/>
                <w:color w:val="92400E"/>
                <w:sz w:val="22"/>
              </w:rPr>
              <w:t>CARTA DE CONVITE AOS COLEGAS PESQUISADORES</w:t>
              <w:br/>
            </w:r>
            <w:r>
              <w:rPr>
                <w:sz w:val="19"/>
              </w:rPr>
              <w:t>Prezados(as) Colegas e Pesquisadores(as),</w:t>
              <w:br/>
              <w:br/>
              <w:t>Gostaria de convidá-los formalmente para integrar a equipe de coautoria e comitê de validação do projeto experimental que visa testar e validar a ferramenta RSACV2 (Revisão Sistemática Assistida por Computador). Este estudo possui um desenho metodológico inédito de avaliação cega pareada (duplo-cegamento com trio de revisores independentes), gerando dados empíricos robustos para publicação de alto impacto na área de Ciências Sociais Aplicadas e Desenvolvimento Regional.</w:t>
              <w:br/>
              <w:br/>
              <w:t>A participação está estruturada em papéis bem definidos (pesquisador executor ou revisor independente cego, além da coautoria na escrita do artigo), com previsão de esforço enxuto, instrumental totalmente pronto em planilhas padronizadas e esqueleto do artigo já estruturado. Abaixo apresento a justificativa, as perguntas de pesquisa, o protocolo em comum e o cronograma de trabalho.</w:t>
            </w:r>
          </w:p>
        </w:tc>
      </w:tr>
    </w:tbl>
    <w:p>
      <w:pPr>
        <w:spacing w:after="160"/>
      </w:pPr>
    </w:p>
    <w:p>
      <w:pPr>
        <w:pStyle w:val="Heading1"/>
        <w:keepNext/>
        <w:spacing w:before="280" w:after="80"/>
      </w:pPr>
      <w:r>
        <w:rPr>
          <w:rFonts w:ascii="Calibri" w:hAnsi="Calibri"/>
          <w:b/>
          <w:color w:val="1B365D"/>
          <w:sz w:val="27"/>
        </w:rPr>
        <w:t>1. RESUMO EXECUTIVO DA PROPOSTA</w:t>
      </w:r>
    </w:p>
    <w:p>
      <w:r>
        <w:t>A condução de revisões sistemáticas e revisões de escopo (Scoping Reviews) é hoje uma das metodologias mais valorizadas na pesquisa acadêmica contemporânea. No entanto, as etapas de triagem de centenas de resumos e extração de dados demandam centenas de horas de trabalho humano, frequentemente sujeitas a fadiga e vieses de interpretação.</w:t>
      </w:r>
    </w:p>
    <w:p>
      <w:r>
        <w:t>A ferramenta RSACV2 foi desenvolvida para automatizar e assistir essas etapas com ancoragem estrita, transparência em justificativas e respeito às limitações de motores de busca nacionais e internacionais (BDTD e SciELO). Para que seu uso seja cientificamente legitimado perante a comunidade acadêmica e bancas avaliadoras, propomos a realização de um estudo experimental controlado que compare, de forma rigorosa e cega, os resultados gerados pela ferramenta versus o método manual humano.</w:t>
      </w:r>
    </w:p>
    <w:p>
      <w:pPr>
        <w:pStyle w:val="Heading1"/>
        <w:keepNext/>
        <w:spacing w:before="280" w:after="80"/>
      </w:pPr>
      <w:r>
        <w:rPr>
          <w:rFonts w:ascii="Calibri" w:hAnsi="Calibri"/>
          <w:b/>
          <w:color w:val="1B365D"/>
          <w:sz w:val="27"/>
        </w:rPr>
        <w:t>2. JUSTIFICATIVA E RELEVÂNCIA DO ESTUDO</w:t>
      </w:r>
    </w:p>
    <w:p>
      <w:r>
        <w:t>A literatura recente sobre automação de síntese de evidências (BARKER et al., 2024; MARSHALL; WALLACE, 2019) aponta que a validação de novas ferramentas exige experimentos de concordância inter-avaliadores (Inter-rater reliability) com índices formais (Kappa de Cohen e Fleiss). Entretanto, a quase totalidade dos benchmarks existentes concentra-se em áreas biomédicas/clínicas.</w:t>
      </w:r>
    </w:p>
    <w:p>
      <w:r>
        <w:t>Este projeto diferencia-se por aplicar a validação no domínio de Ciências Sociais Aplicadas e Desenvolvimento Regional, utilizando como objeto de prova o protocolo: 'Impactos da Segurança Pública na Operacionalização do Turismo Náutico em Fronteiras Fluviais'.</w:t>
      </w:r>
    </w:p>
    <w:p>
      <w:pPr>
        <w:pStyle w:val="Heading1"/>
        <w:keepNext/>
        <w:spacing w:before="280" w:after="80"/>
      </w:pPr>
      <w:r>
        <w:rPr>
          <w:rFonts w:ascii="Calibri" w:hAnsi="Calibri"/>
          <w:b/>
          <w:color w:val="1B365D"/>
          <w:sz w:val="27"/>
        </w:rPr>
        <w:t>3. OBJETIVOS E QUESTÕES DE PESQUISA (RESEARCH QUESTIONS)</w:t>
      </w:r>
    </w:p>
    <w:p>
      <w:r>
        <w:t>O projeto responderá a seis perguntas de pesquisa fundamentais:</w:t>
      </w:r>
    </w:p>
    <w:p>
      <w:pPr>
        <w:spacing w:after="60"/>
        <w:ind w:left="360"/>
      </w:pPr>
      <w:r>
        <w:rPr>
          <w:b/>
          <w:color w:val="1B365D"/>
        </w:rPr>
        <w:t xml:space="preserve">• RQ1 (Coleta e Recuperação): </w:t>
      </w:r>
      <w:r>
        <w:t>Usando o mesmo protocolo de busca, em uma mesma base, os trabalhos encontrados pelo RSACV2 e pelo método manual são os mesmos em presença e ordem de aparição? (Critério 1.1: SIM, NÃO POR PRESENÇA, NÃO POR ORDEM, NÃO INTEGRAL)</w:t>
      </w:r>
    </w:p>
    <w:p>
      <w:pPr>
        <w:spacing w:after="60"/>
        <w:ind w:left="360"/>
      </w:pPr>
      <w:r>
        <w:rPr>
          <w:b/>
          <w:color w:val="1B365D"/>
        </w:rPr>
        <w:t xml:space="preserve">• RQ2 (Concordância na Triagem): </w:t>
      </w:r>
      <w:r>
        <w:t>Em uma mesma lista de critérios de inclusão (CI1-CI3) e exclusão (CE1-CE3), as decisões de triagem serão as mesmas? E a qualidade da fundamentação das justificativas?</w:t>
      </w:r>
    </w:p>
    <w:p>
      <w:pPr>
        <w:spacing w:after="60"/>
        <w:ind w:left="360"/>
      </w:pPr>
      <w:r>
        <w:rPr>
          <w:b/>
          <w:color w:val="1B365D"/>
        </w:rPr>
        <w:t xml:space="preserve">• RQ3 (Preferência em Divergências): </w:t>
      </w:r>
      <w:r>
        <w:t>Em caso de divergências de marcações e justificativas, qual alternativa é preferida por um trio de revisores independentes em uma análise cega?</w:t>
      </w:r>
    </w:p>
    <w:p>
      <w:pPr>
        <w:spacing w:after="60"/>
        <w:ind w:left="360"/>
      </w:pPr>
      <w:r>
        <w:rPr>
          <w:b/>
          <w:color w:val="1B365D"/>
        </w:rPr>
        <w:t xml:space="preserve">• RQ4 (Discernibilidade / Teste de Turing): </w:t>
      </w:r>
      <w:r>
        <w:t>Os revisores independentes serão capazes de diferenciar qual resposta foi gerada com auxílio da ferramenta? Sob qual grau de certeza (escala 1 a 5) e quais justificativas?</w:t>
      </w:r>
    </w:p>
    <w:p>
      <w:pPr>
        <w:spacing w:after="60"/>
        <w:ind w:left="360"/>
      </w:pPr>
      <w:r>
        <w:rPr>
          <w:b/>
          <w:color w:val="1B365D"/>
        </w:rPr>
        <w:t xml:space="preserve">• RQ5 (Qualidade na Extração de Dados): </w:t>
      </w:r>
      <w:r>
        <w:t>Como se comparam as extrações de dados (QE1 a QE5) nos dois métodos sob avaliação cega em termos de profundidade, completude e concisão?</w:t>
      </w:r>
    </w:p>
    <w:p>
      <w:pPr>
        <w:spacing w:after="60"/>
        <w:ind w:left="360"/>
      </w:pPr>
      <w:r>
        <w:rPr>
          <w:b/>
          <w:color w:val="1B365D"/>
        </w:rPr>
        <w:t xml:space="preserve">• RQ6 (Síntese Qualitativa Global): </w:t>
      </w:r>
      <w:r>
        <w:t>Quais observações e padrões de similaridade/diferença os revisores declaram sobre a confiabilidade e robustez do trabalho assistido?</w:t>
      </w:r>
    </w:p>
    <w:p>
      <w:pPr>
        <w:pStyle w:val="Heading1"/>
        <w:keepNext/>
        <w:spacing w:before="280" w:after="80"/>
      </w:pPr>
      <w:r>
        <w:rPr>
          <w:rFonts w:ascii="Calibri" w:hAnsi="Calibri"/>
          <w:b/>
          <w:color w:val="1B365D"/>
          <w:sz w:val="27"/>
        </w:rPr>
        <w:t>4. O PROTOCOLO OBJETO DE TESTE (TURISMO NÁUTICO EM FRONTEIRAS FLUVIAIS)</w:t>
      </w:r>
    </w:p>
    <w:p>
      <w:r>
        <w:t>O protocolo adotado em comum para todos os participantes está registrado no sistema RSACV2 (PRISMA-ScR) e aborda as problemáticas de segurança pública, criminalidade transfronteiriça e fiscalização em hidrovias e bacias de fronteira (Amazônica, Bacia do Prata, etc.) e seus impactos na atividade turística náutica.</w:t>
      </w:r>
    </w:p>
    <w:tbl>
      <w:tblPr>
        <w:tblW w:type="auto" w:w="0"/>
        <w:jc w:val="center"/>
        <w:tblLook w:firstColumn="1" w:firstRow="1" w:lastColumn="0" w:lastRow="0" w:noHBand="0" w:noVBand="1" w:val="04A0"/>
      </w:tblPr>
      <w:tblGrid>
        <w:gridCol w:w="4701"/>
        <w:gridCol w:w="4701"/>
      </w:tblGrid>
      <w:tr>
        <w:tc>
          <w:tcPr>
            <w:tcW w:type="dxa" w:w="360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color w:val="1B365D"/>
                <w:sz w:val="18"/>
              </w:rPr>
              <w:t>Bases e Filtros:</w:t>
            </w:r>
          </w:p>
        </w:tc>
        <w:tc>
          <w:tcPr>
            <w:tcW w:type="dxa" w:w="648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8"/>
              </w:rPr>
              <w:t>BDTD (Teses e Dissertações) e SciELO (Artigos de Periódicos); Idiomas: PT, EN, ES.</w:t>
            </w:r>
          </w:p>
        </w:tc>
      </w:tr>
      <w:tr>
        <w:tc>
          <w:tcPr>
            <w:tcW w:type="dxa" w:w="360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color w:val="1B365D"/>
                <w:sz w:val="18"/>
              </w:rPr>
              <w:t>Descritores de Busca (Pares):</w:t>
            </w:r>
          </w:p>
        </w:tc>
        <w:tc>
          <w:tcPr>
            <w:tcW w:type="dxa" w:w="648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8"/>
              </w:rPr>
              <w:t>5 pares em PT, 5 em EN e 5 em ES (ex: 'turismo náutico' AND 'fronteira'; 'segurança pública' AND 'fronteira fluvial'; 'turismo' AND 'tríplice fronteira').</w:t>
            </w:r>
          </w:p>
        </w:tc>
      </w:tr>
      <w:tr>
        <w:tc>
          <w:tcPr>
            <w:tcW w:type="dxa" w:w="360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color w:val="1B365D"/>
                <w:sz w:val="18"/>
              </w:rPr>
              <w:t>Critérios de Inclusão (CI):</w:t>
            </w:r>
          </w:p>
        </w:tc>
        <w:tc>
          <w:tcPr>
            <w:tcW w:type="dxa" w:w="648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8"/>
              </w:rPr>
              <w:t>CI1 (Turismo/Navegação Fluvial em Fronteira); CI2 (Segurança Pública/Governança de Bacia); CI3 (Artigo, Tese ou Dissertação completa).</w:t>
            </w:r>
          </w:p>
        </w:tc>
      </w:tr>
      <w:tr>
        <w:tc>
          <w:tcPr>
            <w:tcW w:type="dxa" w:w="360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color w:val="1B365D"/>
                <w:sz w:val="18"/>
              </w:rPr>
              <w:t>Critérios de Exclusão (CE):</w:t>
            </w:r>
          </w:p>
        </w:tc>
        <w:tc>
          <w:tcPr>
            <w:tcW w:type="dxa" w:w="648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8"/>
              </w:rPr>
              <w:t>CE1 (Transporte Marítimo Oceânico de Alto-Mar); CE2 (Segurança Urbana/Rural Desvinculada de Hidrovias); CE3 (Editorial/Resumo sem método).</w:t>
            </w:r>
          </w:p>
        </w:tc>
      </w:tr>
      <w:tr>
        <w:tc>
          <w:tcPr>
            <w:tcW w:type="dxa" w:w="360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color w:val="1B365D"/>
                <w:sz w:val="18"/>
              </w:rPr>
              <w:t>Questões de Extração (QE):</w:t>
            </w:r>
          </w:p>
        </w:tc>
        <w:tc>
          <w:tcPr>
            <w:tcW w:type="dxa" w:w="648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8"/>
              </w:rPr>
              <w:t>QE1 (Localização &amp; Bacia); QE2 (Tipologia de Crimes/Ilícitos); QE3 (Impactos no Turismo Náutico); QE4 (Governança e Políticas Recomendadas); QE5 (Metodologia).</w:t>
            </w:r>
          </w:p>
        </w:tc>
      </w:tr>
    </w:tbl>
    <w:p>
      <w:pPr>
        <w:spacing w:after="120"/>
      </w:pPr>
    </w:p>
    <w:p>
      <w:pPr>
        <w:pStyle w:val="Heading1"/>
        <w:keepNext/>
        <w:spacing w:before="280" w:after="80"/>
      </w:pPr>
      <w:r>
        <w:rPr>
          <w:rFonts w:ascii="Calibri" w:hAnsi="Calibri"/>
          <w:b/>
          <w:color w:val="1B365D"/>
          <w:sz w:val="27"/>
        </w:rPr>
        <w:t>5. ESTRUTURA DA EQUIPE, PAPÉIS E ATRIBUIÇÕES</w:t>
      </w:r>
    </w:p>
    <w:p>
      <w:r>
        <w:t>Para garantir o cegamento metodológico e a viabilidade operacional, o trabalho será dividido em 3 núcleos cooperativos:</w:t>
      </w:r>
    </w:p>
    <w:p>
      <w:pPr>
        <w:spacing w:after="80"/>
        <w:ind w:left="360"/>
      </w:pPr>
      <w:r>
        <w:rPr>
          <w:b/>
          <w:color w:val="2B547E"/>
        </w:rPr>
        <w:t>• Núcleo 1: Coordenação Geral e Cegamento (1 a 2 pesquisadores):</w:t>
        <w:br/>
        <w:t xml:space="preserve">  </w:t>
      </w:r>
      <w:r>
        <w:t>Responsável pela gestão do cronograma, exportação dos dados brutos do RSACV2, anonimização e aleatorização dos formulários (Método A vs. Método B), guarda do gabarito criptografado e compilação dos testes estatísticos de concordância.</w:t>
      </w:r>
    </w:p>
    <w:p>
      <w:pPr>
        <w:spacing w:after="80"/>
        <w:ind w:left="360"/>
      </w:pPr>
      <w:r>
        <w:rPr>
          <w:b/>
          <w:color w:val="2B547E"/>
        </w:rPr>
        <w:t>• Núcleo 2: Pesquisadores Executores do Braço Manual (1 a 2 pesquisadores):</w:t>
        <w:br/>
        <w:t xml:space="preserve">  </w:t>
      </w:r>
      <w:r>
        <w:t>Responsáveis por realizar a busca independente nas bases, efetuar a triagem na planilha padronizada e preencher as 5 questões de extração para a amostra de artigos incluídos, sem conhecimento das respostas geradas pelo RSACV2.</w:t>
      </w:r>
    </w:p>
    <w:p>
      <w:pPr>
        <w:spacing w:after="80"/>
        <w:ind w:left="360"/>
      </w:pPr>
      <w:r>
        <w:rPr>
          <w:b/>
          <w:color w:val="2B547E"/>
        </w:rPr>
        <w:t>• Núcleo 3: Comitê de Avaliadores Independentes / Trio Cego (3 pesquisadores):</w:t>
        <w:br/>
        <w:t xml:space="preserve">  </w:t>
      </w:r>
      <w:r>
        <w:t>Responsáveis por receber a planilha cega codificada, comparar os Métodos A e B, julgar a coleta (1.1), indicar preferências nas divergências (3.1), realizar o teste de percepção/Turing (4.1), avaliar a extração (5.1/5.2) e redigir o parecer qualitativo (6.1).</w:t>
      </w:r>
    </w:p>
    <w:p>
      <w:pPr>
        <w:spacing w:after="80"/>
        <w:ind w:left="360"/>
      </w:pPr>
      <w:r>
        <w:rPr>
          <w:b/>
          <w:color w:val="2B547E"/>
        </w:rPr>
        <w:t>• Todos os Integrantes: Redação Científica e Coautoria:</w:t>
        <w:br/>
        <w:t xml:space="preserve">  </w:t>
      </w:r>
      <w:r>
        <w:t>Participação na contextualização teórica, discussão dos resultados, revisão crítica e aprovação final do manuscrito para submissão.</w:t>
      </w:r>
    </w:p>
    <w:p>
      <w:pPr>
        <w:pStyle w:val="Heading1"/>
        <w:keepNext/>
        <w:spacing w:before="280" w:after="80"/>
      </w:pPr>
      <w:r>
        <w:rPr>
          <w:rFonts w:ascii="Calibri" w:hAnsi="Calibri"/>
          <w:b/>
          <w:color w:val="1B365D"/>
          <w:sz w:val="27"/>
        </w:rPr>
        <w:t>6. CRONOGRAMA DE EXECUÇÃO (8 SEMANAS)</w:t>
      </w:r>
    </w:p>
    <w:tbl>
      <w:tblPr>
        <w:tblW w:type="auto" w:w="0"/>
        <w:jc w:val="center"/>
        <w:tblLook w:firstColumn="1" w:firstRow="1" w:lastColumn="0" w:lastRow="0" w:noHBand="0" w:noVBand="1" w:val="04A0"/>
      </w:tblPr>
      <w:tblGrid>
        <w:gridCol w:w="3134"/>
        <w:gridCol w:w="3134"/>
        <w:gridCol w:w="3134"/>
      </w:tblGrid>
      <w:tr>
        <w:tc>
          <w:tcPr>
            <w:tcW w:type="dxa" w:w="2160"/>
            <w:shd w:fill="1B365D"/>
            <w:tcMar>
              <w:top w:w="80" w:type="dxa"/>
              <w:bottom w:w="80" w:type="dxa"/>
              <w:left w:w="100" w:type="dxa"/>
              <w:right w:w="100" w:type="dxa"/>
            </w:tcMar>
          </w:tcPr>
          <w:p>
            <w:pPr>
              <w:jc w:val="center"/>
            </w:pPr>
            <w:r>
              <w:rPr>
                <w:b/>
                <w:color w:val="FFFFFF"/>
                <w:sz w:val="18"/>
              </w:rPr>
              <w:t>Semana(s)</w:t>
            </w:r>
          </w:p>
        </w:tc>
        <w:tc>
          <w:tcPr>
            <w:tcW w:type="dxa" w:w="4608"/>
            <w:shd w:fill="1B365D"/>
            <w:tcMar>
              <w:top w:w="80" w:type="dxa"/>
              <w:bottom w:w="80" w:type="dxa"/>
              <w:left w:w="100" w:type="dxa"/>
              <w:right w:w="100" w:type="dxa"/>
            </w:tcMar>
          </w:tcPr>
          <w:p>
            <w:pPr>
              <w:jc w:val="center"/>
            </w:pPr>
            <w:r>
              <w:rPr>
                <w:b/>
                <w:color w:val="FFFFFF"/>
                <w:sz w:val="18"/>
              </w:rPr>
              <w:t>Atividade / Etapa</w:t>
            </w:r>
          </w:p>
        </w:tc>
        <w:tc>
          <w:tcPr>
            <w:tcW w:type="dxa" w:w="3312"/>
            <w:shd w:fill="1B365D"/>
            <w:tcMar>
              <w:top w:w="80" w:type="dxa"/>
              <w:bottom w:w="80" w:type="dxa"/>
              <w:left w:w="100" w:type="dxa"/>
              <w:right w:w="100" w:type="dxa"/>
            </w:tcMar>
          </w:tcPr>
          <w:p>
            <w:pPr>
              <w:jc w:val="center"/>
            </w:pPr>
            <w:r>
              <w:rPr>
                <w:b/>
                <w:color w:val="FFFFFF"/>
                <w:sz w:val="18"/>
              </w:rPr>
              <w:t>Entregável / Meta</w:t>
            </w:r>
          </w:p>
        </w:tc>
      </w:tr>
      <w:tr>
        <w:tc>
          <w:tcPr>
            <w:tcW w:type="dxa" w:w="216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Semanas 1-2</w:t>
            </w:r>
          </w:p>
        </w:tc>
        <w:tc>
          <w:tcPr>
            <w:tcW w:type="dxa" w:w="460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Alinhamento da equipe, distribuição dos formulários e execução da coleta/triagem manual e assistida</w:t>
            </w:r>
          </w:p>
        </w:tc>
        <w:tc>
          <w:tcPr>
            <w:tcW w:type="dxa" w:w="3312"/>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Planilhas dos pesquisadores preenchidas</w:t>
            </w:r>
          </w:p>
        </w:tc>
      </w:tr>
      <w:tr>
        <w:tc>
          <w:tcPr>
            <w:tcW w:type="dxa" w:w="216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Semana 3</w:t>
            </w:r>
          </w:p>
        </w:tc>
        <w:tc>
          <w:tcPr>
            <w:tcW w:type="dxa" w:w="460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Anonimização, codificação (Método A vs. B) e envio ao Trio de Avaliadores</w:t>
            </w:r>
          </w:p>
        </w:tc>
        <w:tc>
          <w:tcPr>
            <w:tcW w:type="dxa" w:w="331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Planilha cega distribuída aos revisores</w:t>
            </w:r>
          </w:p>
        </w:tc>
      </w:tr>
      <w:tr>
        <w:tc>
          <w:tcPr>
            <w:tcW w:type="dxa" w:w="216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Semanas 4-5</w:t>
            </w:r>
          </w:p>
        </w:tc>
        <w:tc>
          <w:tcPr>
            <w:tcW w:type="dxa" w:w="460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Avaliação cega independente pelo Trio de Revisores (RQ1 a RQ6)</w:t>
            </w:r>
          </w:p>
        </w:tc>
        <w:tc>
          <w:tcPr>
            <w:tcW w:type="dxa" w:w="3312"/>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Formulários dos revisores preenchidos</w:t>
            </w:r>
          </w:p>
        </w:tc>
      </w:tr>
      <w:tr>
        <w:tc>
          <w:tcPr>
            <w:tcW w:type="dxa" w:w="216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Semana 6</w:t>
            </w:r>
          </w:p>
        </w:tc>
        <w:tc>
          <w:tcPr>
            <w:tcW w:type="dxa" w:w="460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Abertura do gabarito, compilação estatística (Kappa de Cohen/Fleiss, Teste de Turing, Likert)</w:t>
            </w:r>
          </w:p>
        </w:tc>
        <w:tc>
          <w:tcPr>
            <w:tcW w:type="dxa" w:w="3312"/>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Tabelas de resultados consolidadas</w:t>
            </w:r>
          </w:p>
        </w:tc>
      </w:tr>
      <w:tr>
        <w:tc>
          <w:tcPr>
            <w:tcW w:type="dxa" w:w="2160"/>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Semanas 7-8</w:t>
            </w:r>
          </w:p>
        </w:tc>
        <w:tc>
          <w:tcPr>
            <w:tcW w:type="dxa" w:w="460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Redação conjunta das seções de Discussão/Conclusão, revisão final e submissão do artigo</w:t>
            </w:r>
          </w:p>
        </w:tc>
        <w:tc>
          <w:tcPr>
            <w:tcW w:type="dxa" w:w="3312"/>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Manuscrito finalizado e submetido</w:t>
            </w:r>
          </w:p>
        </w:tc>
      </w:tr>
    </w:tbl>
    <w:p>
      <w:pPr>
        <w:spacing w:after="120"/>
      </w:pPr>
    </w:p>
    <w:p>
      <w:pPr>
        <w:pStyle w:val="Heading1"/>
        <w:keepNext/>
        <w:spacing w:before="280" w:after="80"/>
      </w:pPr>
      <w:r>
        <w:rPr>
          <w:rFonts w:ascii="Calibri" w:hAnsi="Calibri"/>
          <w:b/>
          <w:color w:val="1B365D"/>
          <w:sz w:val="27"/>
        </w:rPr>
        <w:t>7. CRITÉRIOS DE COAUTORIA E INTEGRIDADE CIENTÍFICA</w:t>
      </w:r>
    </w:p>
    <w:p>
      <w:r>
        <w:t>A coautoria será regida estritamente pelas diretrizes éticas internacionais do Committee on Publication Ethics (COPE) e do International Committee of Medical Journal Editors (ICMJE). Todos os participantes que desempenharem as atividades de execução, avaliação ou redação terão sua coautoria formalmente assegurada no manuscrito final.</w:t>
      </w:r>
    </w:p>
    <w:p>
      <w:pPr>
        <w:pStyle w:val="Heading1"/>
        <w:keepNext/>
        <w:spacing w:before="280" w:after="80"/>
      </w:pPr>
      <w:r>
        <w:rPr>
          <w:rFonts w:ascii="Calibri" w:hAnsi="Calibri"/>
          <w:b/>
          <w:color w:val="1B365D"/>
          <w:sz w:val="27"/>
        </w:rPr>
        <w:t>8. FICHA DE ADESÃO / INDICAÇÃO DE INTERESSE</w:t>
      </w:r>
    </w:p>
    <w:p>
      <w:r>
        <w:t>Favor preencher os dados abaixo para formalização da equipe de pesquisa:</w:t>
      </w:r>
    </w:p>
    <w:tbl>
      <w:tblPr>
        <w:tblW w:type="auto" w:w="0"/>
        <w:jc w:val="center"/>
        <w:tblLook w:firstColumn="1" w:firstRow="1" w:lastColumn="0" w:lastRow="0" w:noHBand="0" w:noVBand="1" w:val="04A0"/>
      </w:tblPr>
      <w:tblGrid>
        <w:gridCol w:w="4701"/>
        <w:gridCol w:w="4701"/>
      </w:tblGrid>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Nome Completo:</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r>
          </w:p>
        </w:tc>
      </w:tr>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E-mail e Telefone / WhatsApp:</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r>
          </w:p>
        </w:tc>
      </w:tr>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Instituição / Programa de Pós-Graduação:</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r>
          </w:p>
        </w:tc>
      </w:tr>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Titulação / Área de Atuação:</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r>
          </w:p>
        </w:tc>
      </w:tr>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Papel de Preferência:</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t>( ) Pesquisador Executor Manual   ( ) Revisor Cego Independente   ( ) Redator/Analista</w:t>
            </w:r>
          </w:p>
        </w:tc>
      </w:tr>
      <w:tr>
        <w:tc>
          <w:tcPr>
            <w:tcW w:type="dxa" w:w="3600"/>
            <w:shd w:fill="F0F4F8"/>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b/>
                <w:color w:val="1B365D"/>
                <w:sz w:val="18"/>
              </w:rPr>
              <w:t>Assinatura / Concordância:</w:t>
            </w:r>
          </w:p>
        </w:tc>
        <w:tc>
          <w:tcPr>
            <w:tcW w:type="dxa" w:w="6480"/>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sz w:val="18"/>
              </w:rPr>
              <w:t>Data: ____/____/2026   Assinatura: ___________________________</w:t>
            </w:r>
          </w:p>
        </w:tc>
      </w:tr>
    </w:tbl>
    <w:sectPr w:rsidR="00FC693F" w:rsidRPr="0006063C" w:rsidSect="00034616">
      <w:headerReference w:type="default" r:id="rId9"/>
      <w:footerReference w:type="default" r:id="rId10"/>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RSACV2 — Estudo Experimental de Validação • Proposta de Parceria e Coautoria Científica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Projeto de Pesquisa &amp; Proposta de Coautoria | RSACV2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