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acaf33ed13c434bae980e38250e195ce211c972"/>
    <w:p>
      <w:pPr>
        <w:pStyle w:val="Heading1"/>
      </w:pPr>
      <w:r>
        <w:t xml:space="preserve">Plano de Negócios — Consultoria e Treinamento em IA Aplicada à Produção Documental</w:t>
      </w:r>
    </w:p>
    <w:p>
      <w:pPr>
        <w:pStyle w:val="FirstParagraph"/>
      </w:pPr>
      <w:r>
        <w:rPr>
          <w:b/>
          <w:bCs/>
        </w:rPr>
        <w:t xml:space="preserve">Versão:</w:t>
      </w:r>
      <w:r>
        <w:t xml:space="preserve"> </w:t>
      </w:r>
      <w:r>
        <w:t xml:space="preserve">0.1 (rascunho inicial)</w:t>
      </w:r>
    </w:p>
    <w:bookmarkStart w:id="16" w:name="introdução"/>
    <w:p>
      <w:pPr>
        <w:pStyle w:val="Heading2"/>
      </w:pPr>
      <w:r>
        <w:t xml:space="preserve">1. Introdução</w:t>
      </w:r>
    </w:p>
    <w:bookmarkStart w:id="9" w:name="o-problema"/>
    <w:p>
      <w:pPr>
        <w:pStyle w:val="Heading3"/>
      </w:pPr>
      <w:r>
        <w:t xml:space="preserve">1.1 O problema</w:t>
      </w:r>
    </w:p>
    <w:p>
      <w:pPr>
        <w:pStyle w:val="FirstParagraph"/>
      </w:pPr>
      <w:r>
        <w:t xml:space="preserve">A produção de documentos técnicos e formais consome uma parcela desproporcional do tempo de profissionais qualificados. Em órgãos públicos, isso se manifesta de forma aguda: a elaboração de um Estudo Técnico Preliminar, de um parecer ou de um termo de referência pode ocupar dias de trabalho de servidores que teriam impacto muito maior em atividades de análise e decisão. O mesmo padrão se repete em escritórios de advocacia, consultorias, departamentos jurídicos e áreas técnicas de empresas — muda o tipo de documento, não a natureza do gargalo.</w:t>
      </w:r>
    </w:p>
    <w:p>
      <w:pPr>
        <w:pStyle w:val="BodyText"/>
      </w:pPr>
      <w:r>
        <w:t xml:space="preserve">Ferramentas de IA generativa já resolvem boa parte desse problema tecnicamente. O que não está resolvido é a distância entre a existência da ferramenta e o uso produtivo dela dentro de um fluxo de trabalho real. Poucos profissionais fora da área de tecnologia sabem como estruturar prompts para documentos extensos e formais, como revisar com segurança o que a IA produziu sem reler tudo a cada iteração, como preservar a formatação institucional exigida, ou como fazer isso sem comprometer informação sensível.</w:t>
      </w:r>
    </w:p>
    <w:bookmarkEnd w:id="9"/>
    <w:bookmarkStart w:id="10" w:name="a-oportunidade"/>
    <w:p>
      <w:pPr>
        <w:pStyle w:val="Heading3"/>
      </w:pPr>
      <w:r>
        <w:t xml:space="preserve">1.2 A oportunidade</w:t>
      </w:r>
    </w:p>
    <w:p>
      <w:pPr>
        <w:pStyle w:val="FirstParagraph"/>
      </w:pPr>
      <w:r>
        <w:t xml:space="preserve">O mercado de consultoria em IA tende a se concentrar em dois extremos: grandes integradores atendendo grandes organizações, e conteúdo genérico de baixo custo (</w:t>
      </w:r>
      <w:r>
        <w:t xml:space="preserve">“como usar o ChatGPT”</w:t>
      </w:r>
      <w:r>
        <w:t xml:space="preserve">) que não se traduz em mudança de rotina de trabalho. Existe um espaço intermediário mal atendido: profissionais e organizações de porte médio que precisam de aplicação prática, ajustada ao vocabulário e às exigências formais da própria área, com acompanhamento suficiente para que a mudança pegue.</w:t>
      </w:r>
    </w:p>
    <w:p>
      <w:pPr>
        <w:pStyle w:val="BodyText"/>
      </w:pPr>
      <w:r>
        <w:t xml:space="preserve">No setor público municipal, esse espaço é ainda mais evidente. Fornecedores de tecnologia para câmaras e prefeituras operam majoritariamente com plataformas legadas, concebidas antes da IA generativa e sem caminho claro de incorporação. Ao mesmo tempo, a maioria dos profissionais de tecnologia capazes de entregar essa aplicação não conhece o funcionamento de órgãos públicos — não domina o vocabulário, os ritos de contratação, as exigências legais de formalização documental, nem a lógica de decisão desses ambientes. Essa dupla lacuna define uma janela de atuação.</w:t>
      </w:r>
    </w:p>
    <w:bookmarkEnd w:id="10"/>
    <w:bookmarkStart w:id="11" w:name="a-proposta"/>
    <w:p>
      <w:pPr>
        <w:pStyle w:val="Heading3"/>
      </w:pPr>
      <w:r>
        <w:t xml:space="preserve">1.3 A proposta</w:t>
      </w:r>
    </w:p>
    <w:p>
      <w:pPr>
        <w:pStyle w:val="FirstParagraph"/>
      </w:pPr>
      <w:r>
        <w:t xml:space="preserve">O negócio se estrutura em um</w:t>
      </w:r>
      <w:r>
        <w:t xml:space="preserve"> </w:t>
      </w:r>
      <w:r>
        <w:rPr>
          <w:b/>
          <w:bCs/>
        </w:rPr>
        <w:t xml:space="preserve">núcleo metodológico comum</w:t>
      </w:r>
      <w:r>
        <w:t xml:space="preserve"> </w:t>
      </w:r>
      <w:r>
        <w:t xml:space="preserve">— o conjunto de técnicas de uso de IA para produção, revisão e formatação de documentos formais — aplicado em</w:t>
      </w:r>
      <w:r>
        <w:t xml:space="preserve"> </w:t>
      </w:r>
      <w:r>
        <w:rPr>
          <w:b/>
          <w:bCs/>
        </w:rPr>
        <w:t xml:space="preserve">ramos verticais</w:t>
      </w:r>
      <w:r>
        <w:t xml:space="preserve"> </w:t>
      </w:r>
      <w:r>
        <w:t xml:space="preserve">distintos, cada um com vocabulário, exemplos e exigências próprias.</w:t>
      </w:r>
    </w:p>
    <w:p>
      <w:pPr>
        <w:pStyle w:val="BodyText"/>
      </w:pPr>
      <w:r>
        <w:t xml:space="preserve">O núcleo comum cobre:</w:t>
      </w:r>
    </w:p>
    <w:p>
      <w:pPr>
        <w:pStyle w:val="Compact"/>
        <w:numPr>
          <w:ilvl w:val="0"/>
          <w:numId w:val="1001"/>
        </w:numPr>
      </w:pPr>
      <w:r>
        <w:t xml:space="preserve">Estruturação de prompts para documentos extensos e formais</w:t>
      </w:r>
    </w:p>
    <w:p>
      <w:pPr>
        <w:pStyle w:val="Compact"/>
        <w:numPr>
          <w:ilvl w:val="0"/>
          <w:numId w:val="1001"/>
        </w:numPr>
      </w:pPr>
      <w:r>
        <w:t xml:space="preserve">Revisão iterativa com comparação de versões (ver apenas o que mudou, sem reler o documento inteiro)</w:t>
      </w:r>
    </w:p>
    <w:p>
      <w:pPr>
        <w:pStyle w:val="Compact"/>
        <w:numPr>
          <w:ilvl w:val="0"/>
          <w:numId w:val="1001"/>
        </w:numPr>
      </w:pPr>
      <w:r>
        <w:t xml:space="preserve">Aplicação automatizada de formatação e identidade institucional ao resultado final</w:t>
      </w:r>
    </w:p>
    <w:p>
      <w:pPr>
        <w:pStyle w:val="Compact"/>
        <w:numPr>
          <w:ilvl w:val="0"/>
          <w:numId w:val="1001"/>
        </w:numPr>
      </w:pPr>
      <w:r>
        <w:t xml:space="preserve">Critérios de segurança da informação e limites do que deve ou não ser submetido a ferramentas de IA</w:t>
      </w:r>
    </w:p>
    <w:p>
      <w:pPr>
        <w:pStyle w:val="Compact"/>
        <w:numPr>
          <w:ilvl w:val="0"/>
          <w:numId w:val="1001"/>
        </w:numPr>
      </w:pPr>
      <w:r>
        <w:t xml:space="preserve">Governança prática: responsabilidade humana pela revisão e validação antes de qualquer publicação ou uso oficial</w:t>
      </w:r>
    </w:p>
    <w:p>
      <w:pPr>
        <w:pStyle w:val="FirstParagraph"/>
      </w:pPr>
      <w:r>
        <w:t xml:space="preserve">Os ramos verticais adaptam esse núcleo a contextos específicos — o primeiro deles, e foco inicial, é o setor público municipal (com ênfase em documentos de contratação e processo administrativo). Outras verticais previstas para desenvolvimento posterior incluem áreas jurídica, contábil e técnica do setor privado.</w:t>
      </w:r>
    </w:p>
    <w:bookmarkEnd w:id="11"/>
    <w:bookmarkStart w:id="13" w:name="modelo-de-entrega"/>
    <w:p>
      <w:pPr>
        <w:pStyle w:val="Heading3"/>
      </w:pPr>
      <w:r>
        <w:t xml:space="preserve">1.4 Modelo de entrega</w:t>
      </w:r>
    </w:p>
    <w:p>
      <w:pPr>
        <w:pStyle w:val="FirstParagraph"/>
      </w:pPr>
      <w:r>
        <w:t xml:space="preserve">O serviço é ofertado em duas modalidades, com relação deliberada entre elas:</w:t>
      </w:r>
    </w:p>
    <w:p>
      <w:pPr>
        <w:pStyle w:val="BodyText"/>
      </w:pPr>
      <w:r>
        <w:rPr>
          <w:b/>
          <w:bCs/>
        </w:rPr>
        <w:t xml:space="preserve">Consultoria para órgãos públicos (ticket maior, entrega presencial ou remota assistida)</w:t>
      </w:r>
      <w:r>
        <w:t xml:space="preserve"> </w:t>
      </w:r>
      <w:r>
        <w:t xml:space="preserve">Inclui diagnóstico do fluxo documental atual, implantação do método adaptado ao órgão, configuração das ferramentas, treinamento da equipe e orientação sobre o caminho de aquisição e gestão dos recursos de IA necessários. O treinamento está incluído no escopo.</w:t>
      </w:r>
    </w:p>
    <w:p>
      <w:pPr>
        <w:pStyle w:val="BodyText"/>
      </w:pPr>
      <w:r>
        <w:t xml:space="preserve">Ver</w:t>
      </w:r>
      <w:r>
        <w:t xml:space="preserve"> </w:t>
      </w:r>
      <w:hyperlink r:id="rId12">
        <w:r>
          <w:rPr>
            <w:rStyle w:val="Hyperlink"/>
          </w:rPr>
          <w:t xml:space="preserve">“Habilitação de IA para órgãos públicos”</w:t>
        </w:r>
      </w:hyperlink>
    </w:p>
    <w:p>
      <w:pPr>
        <w:pStyle w:val="BodyText"/>
      </w:pPr>
      <w:r>
        <w:rPr>
          <w:b/>
          <w:bCs/>
        </w:rPr>
        <w:t xml:space="preserve">Treinamento avulso (ticket menor, escalável)</w:t>
      </w:r>
      <w:r>
        <w:t xml:space="preserve"> </w:t>
      </w:r>
      <w:r>
        <w:t xml:space="preserve">O mesmo conteúdo de capacitação, ofertado de forma independente da consultoria, em formato online gravado. Distribuição via plataforma de infoprodutos (Hotmart) para o público geral, com canal de contato direto para órgãos públicos que necessitem de condições específicas de contratação e pagamento — situação comum em compras públicas, onde a aquisição não se ajusta ao fluxo padrão de cartão de crédito de plataformas de varejo digital.</w:t>
      </w:r>
    </w:p>
    <w:p>
      <w:pPr>
        <w:pStyle w:val="BodyText"/>
      </w:pPr>
      <w:r>
        <w:t xml:space="preserve">Ambas as modalidades serão divulgadas por meio de site próprio, que funcionará como ponto central de apresentação do método, captação de contatos qualificados para a consultoria e venda direta do treinamento.</w:t>
      </w:r>
    </w:p>
    <w:bookmarkEnd w:id="13"/>
    <w:bookmarkStart w:id="14" w:name="diferencial-competitivo"/>
    <w:p>
      <w:pPr>
        <w:pStyle w:val="Heading3"/>
      </w:pPr>
      <w:r>
        <w:t xml:space="preserve">1.5 Diferencial competitivo</w:t>
      </w:r>
    </w:p>
    <w:p>
      <w:pPr>
        <w:pStyle w:val="FirstParagraph"/>
      </w:pPr>
      <w:r>
        <w:t xml:space="preserve">A vantagem defensável não está na tecnologia utilizada — as ferramentas de IA são acessíveis a qualquer um e evoluem rapidamente por conta própria. O diferencial está em três elementos que não são replicáveis apenas com acesso às mesmas ferramentas:</w:t>
      </w:r>
    </w:p>
    <w:p>
      <w:pPr>
        <w:pStyle w:val="Compact"/>
        <w:numPr>
          <w:ilvl w:val="0"/>
          <w:numId w:val="1002"/>
        </w:numPr>
      </w:pPr>
      <w:r>
        <w:rPr>
          <w:b/>
          <w:bCs/>
        </w:rPr>
        <w:t xml:space="preserve">Conhecimento de domínio.</w:t>
      </w:r>
      <w:r>
        <w:t xml:space="preserve"> </w:t>
      </w:r>
      <w:r>
        <w:t xml:space="preserve">Compreensão real das exigências formais, do vocabulário e da lógica de funcionamento dos ambientes atendidos — em particular do setor público, onde a linguagem e os ritos são barreira de entrada para prestadores de fora.</w:t>
      </w:r>
    </w:p>
    <w:p>
      <w:pPr>
        <w:pStyle w:val="Compact"/>
        <w:numPr>
          <w:ilvl w:val="0"/>
          <w:numId w:val="1002"/>
        </w:numPr>
      </w:pPr>
      <w:r>
        <w:rPr>
          <w:b/>
          <w:bCs/>
        </w:rPr>
        <w:t xml:space="preserve">Método, não ferramenta.</w:t>
      </w:r>
      <w:r>
        <w:t xml:space="preserve"> </w:t>
      </w:r>
      <w:r>
        <w:t xml:space="preserve">O que se entrega é um fluxo de trabalho completo e testado, não a recomendação de um software. Isso sobrevive à substituição de qualquer ferramenta específica por outra melhor.</w:t>
      </w:r>
    </w:p>
    <w:p>
      <w:pPr>
        <w:pStyle w:val="Compact"/>
        <w:numPr>
          <w:ilvl w:val="0"/>
          <w:numId w:val="1002"/>
        </w:numPr>
      </w:pPr>
      <w:r>
        <w:rPr>
          <w:b/>
          <w:bCs/>
        </w:rPr>
        <w:t xml:space="preserve">Proximidade.</w:t>
      </w:r>
      <w:r>
        <w:t xml:space="preserve"> </w:t>
      </w:r>
      <w:r>
        <w:t xml:space="preserve">Atendimento presencial e relacional em um segmento que grandes fornecedores de tecnologia não atendem individualmente, por não compensar economicamente para eles.</w:t>
      </w:r>
    </w:p>
    <w:bookmarkEnd w:id="14"/>
    <w:bookmarkStart w:id="15" w:name="sobre-o-treinamento"/>
    <w:p>
      <w:pPr>
        <w:pStyle w:val="Heading3"/>
      </w:pPr>
      <w:r>
        <w:t xml:space="preserve">1.6 Sobre o treinamento</w:t>
      </w:r>
    </w:p>
    <w:bookmarkEnd w:id="15"/>
    <w:bookmarkEnd w:id="16"/>
    <w:bookmarkStart w:id="17" w:name="seções-a-desenvolver"/>
    <w:p>
      <w:pPr>
        <w:pStyle w:val="Heading2"/>
      </w:pPr>
      <w:r>
        <w:t xml:space="preserve">2. Seções a desenvolver</w:t>
      </w:r>
    </w:p>
    <w:p>
      <w:pPr>
        <w:pStyle w:val="Compact"/>
        <w:numPr>
          <w:ilvl w:val="0"/>
          <w:numId w:val="1003"/>
        </w:numPr>
      </w:pPr>
      <w:r>
        <w:t xml:space="preserve">Mercado e dimensionamento</w:t>
      </w:r>
    </w:p>
    <w:p>
      <w:pPr>
        <w:pStyle w:val="Compact"/>
        <w:numPr>
          <w:ilvl w:val="0"/>
          <w:numId w:val="1003"/>
        </w:numPr>
      </w:pPr>
      <w:r>
        <w:t xml:space="preserve">Precificação e modelo de receita</w:t>
      </w:r>
    </w:p>
    <w:p>
      <w:pPr>
        <w:pStyle w:val="Compact"/>
        <w:numPr>
          <w:ilvl w:val="0"/>
          <w:numId w:val="1003"/>
        </w:numPr>
      </w:pPr>
      <w:r>
        <w:t xml:space="preserve">Estratégia de aquisição de clientes</w:t>
      </w:r>
    </w:p>
    <w:p>
      <w:pPr>
        <w:pStyle w:val="Compact"/>
        <w:numPr>
          <w:ilvl w:val="0"/>
          <w:numId w:val="1003"/>
        </w:numPr>
      </w:pPr>
      <w:r>
        <w:t xml:space="preserve">Estrutura operacional e capacidade de atendimento</w:t>
      </w:r>
    </w:p>
    <w:p>
      <w:pPr>
        <w:pStyle w:val="Compact"/>
        <w:numPr>
          <w:ilvl w:val="0"/>
          <w:numId w:val="1003"/>
        </w:numPr>
      </w:pPr>
      <w:r>
        <w:t xml:space="preserve">Projeções financeiras</w:t>
      </w:r>
    </w:p>
    <w:p>
      <w:pPr>
        <w:pStyle w:val="Compact"/>
        <w:numPr>
          <w:ilvl w:val="0"/>
          <w:numId w:val="1003"/>
        </w:numPr>
      </w:pPr>
      <w:r>
        <w:t xml:space="preserve">Riscos e mitigação</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abilitacao-ia-orgaos-publicos.md" TargetMode="External" /></Relationships>
</file>

<file path=word/_rels/footnotes.xml.rels><?xml version="1.0" encoding="UTF-8"?><Relationships xmlns="http://schemas.openxmlformats.org/package/2006/relationships"><Relationship Type="http://schemas.openxmlformats.org/officeDocument/2006/relationships/hyperlink" Id="rId12" Target="habilitacao-ia-orgaos-publico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2026-08-30T17:02:33Z</dcterms:created>
  <dcterms:modified xsi:type="dcterms:W3CDTF">2026-08-30T17:02:33Z</dcterms:modified>
</cp:coreProperties>
</file>

<file path=docProps/custom.xml><?xml version="1.0" encoding="utf-8"?>
<Properties xmlns="http://schemas.openxmlformats.org/officeDocument/2006/custom-properties" xmlns:vt="http://schemas.openxmlformats.org/officeDocument/2006/docPropsVTypes"/>
</file>