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5505F2" w:rsidRPr="00F907AA" w14:paraId="459AC57A" w14:textId="77777777">
        <w:trPr>
          <w:jc w:val="center"/>
        </w:trPr>
        <w:tc>
          <w:tcPr>
            <w:tcW w:w="9638" w:type="dxa"/>
            <w:gridSpan w:val="2"/>
            <w:shd w:val="clear" w:color="auto" w:fill="2E5B3C"/>
          </w:tcPr>
          <w:p w14:paraId="7C14D0CA" w14:textId="16FC4AE7" w:rsidR="005505F2" w:rsidRPr="00F907AA" w:rsidRDefault="00000000">
            <w:pPr>
              <w:jc w:val="center"/>
            </w:pPr>
            <w:r w:rsidRPr="00F907AA">
              <w:rPr>
                <w:rFonts w:ascii="Calibri" w:hAnsi="Calibri" w:cs="Calibri"/>
                <w:b/>
                <w:color w:val="FFFFFF"/>
              </w:rPr>
              <w:t>IDENTIFICAÇÃO</w:t>
            </w:r>
            <w:r w:rsidR="00111EA9" w:rsidRPr="00F907AA">
              <w:rPr>
                <w:rFonts w:ascii="Calibri" w:hAnsi="Calibri" w:cs="Calibri"/>
                <w:b/>
                <w:color w:val="FFFFFF"/>
              </w:rPr>
              <w:t xml:space="preserve"> DO PROCESSO E VALORES</w:t>
            </w:r>
          </w:p>
        </w:tc>
      </w:tr>
      <w:tr w:rsidR="005505F2" w:rsidRPr="00F907AA" w14:paraId="769B3BEF" w14:textId="77777777">
        <w:trPr>
          <w:jc w:val="center"/>
        </w:trPr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5D96A8F8" w14:textId="77777777" w:rsidR="005505F2" w:rsidRPr="00F907AA" w:rsidRDefault="00000000">
            <w:r w:rsidRPr="00F907AA">
              <w:rPr>
                <w:rFonts w:ascii="Calibri" w:hAnsi="Calibri" w:cs="Calibri"/>
                <w:b/>
                <w:color w:val="333333"/>
              </w:rPr>
              <w:t>Processo nº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77DD0F27" w14:textId="77777777" w:rsidR="005505F2" w:rsidRPr="00F907AA" w:rsidRDefault="00000000">
            <w:r w:rsidRPr="00F907AA">
              <w:rPr>
                <w:rFonts w:ascii="Calibri" w:hAnsi="Calibri" w:cs="Calibri"/>
                <w:color w:val="333333"/>
              </w:rPr>
              <w:t>{{processo}}</w:t>
            </w:r>
          </w:p>
        </w:tc>
      </w:tr>
      <w:tr w:rsidR="005505F2" w:rsidRPr="00F907AA" w14:paraId="5445AC72" w14:textId="77777777">
        <w:trPr>
          <w:jc w:val="center"/>
        </w:trPr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C5727E6" w14:textId="77777777" w:rsidR="005505F2" w:rsidRPr="00F907AA" w:rsidRDefault="00000000">
            <w:r w:rsidRPr="00F907AA">
              <w:rPr>
                <w:rFonts w:ascii="Calibri" w:hAnsi="Calibri" w:cs="Calibri"/>
                <w:b/>
                <w:color w:val="333333"/>
              </w:rPr>
              <w:t>Assunto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6A287EE" w14:textId="77777777" w:rsidR="005505F2" w:rsidRPr="00F907AA" w:rsidRDefault="00000000">
            <w:r w:rsidRPr="00F907AA">
              <w:rPr>
                <w:rFonts w:ascii="Calibri" w:hAnsi="Calibri" w:cs="Calibri"/>
                <w:color w:val="333333"/>
              </w:rPr>
              <w:t>{{assunto}}</w:t>
            </w:r>
          </w:p>
        </w:tc>
      </w:tr>
      <w:tr w:rsidR="005505F2" w:rsidRPr="00F907AA" w14:paraId="0EEA0EFC" w14:textId="77777777">
        <w:trPr>
          <w:jc w:val="center"/>
        </w:trPr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0FF57C57" w14:textId="77777777" w:rsidR="005505F2" w:rsidRPr="00F907AA" w:rsidRDefault="00000000">
            <w:r w:rsidRPr="00F907AA">
              <w:rPr>
                <w:rFonts w:ascii="Calibri" w:hAnsi="Calibri" w:cs="Calibri"/>
                <w:b/>
                <w:color w:val="333333"/>
              </w:rPr>
              <w:t>Servidor(a)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57AFD0CC" w14:textId="77777777" w:rsidR="005505F2" w:rsidRPr="00F907AA" w:rsidRDefault="00000000">
            <w:r w:rsidRPr="00F907AA">
              <w:rPr>
                <w:rFonts w:ascii="Calibri" w:hAnsi="Calibri" w:cs="Calibri"/>
                <w:color w:val="333333"/>
              </w:rPr>
              <w:t>{{nome}}</w:t>
            </w:r>
          </w:p>
        </w:tc>
      </w:tr>
      <w:tr w:rsidR="005505F2" w:rsidRPr="00F907AA" w14:paraId="409592D9" w14:textId="77777777">
        <w:trPr>
          <w:jc w:val="center"/>
        </w:trPr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44D8A1A" w14:textId="77777777" w:rsidR="005505F2" w:rsidRPr="00F907AA" w:rsidRDefault="00000000">
            <w:r w:rsidRPr="00F907AA">
              <w:rPr>
                <w:rFonts w:ascii="Calibri" w:hAnsi="Calibri" w:cs="Calibri"/>
                <w:b/>
                <w:color w:val="333333"/>
              </w:rPr>
              <w:t>Órgão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DB7D5E5" w14:textId="77777777" w:rsidR="005505F2" w:rsidRPr="00F907AA" w:rsidRDefault="00000000">
            <w:r w:rsidRPr="00F907AA">
              <w:rPr>
                <w:rFonts w:ascii="Calibri" w:hAnsi="Calibri" w:cs="Calibri"/>
                <w:color w:val="333333"/>
              </w:rPr>
              <w:t>{{orgao}}</w:t>
            </w:r>
          </w:p>
        </w:tc>
      </w:tr>
      <w:tr w:rsidR="005505F2" w:rsidRPr="00F907AA" w14:paraId="41C48DFD" w14:textId="77777777">
        <w:trPr>
          <w:jc w:val="center"/>
        </w:trPr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452F74F6" w14:textId="77777777" w:rsidR="005505F2" w:rsidRPr="00F907AA" w:rsidRDefault="00000000">
            <w:r w:rsidRPr="00F907AA">
              <w:rPr>
                <w:rFonts w:ascii="Calibri" w:hAnsi="Calibri" w:cs="Calibri"/>
                <w:b/>
                <w:color w:val="333333"/>
              </w:rPr>
              <w:t>Valor da multa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48A6CAF2" w14:textId="77777777" w:rsidR="005505F2" w:rsidRPr="00F907AA" w:rsidRDefault="00000000">
            <w:r w:rsidRPr="00F907AA">
              <w:rPr>
                <w:rFonts w:ascii="Calibri" w:hAnsi="Calibri" w:cs="Calibri"/>
                <w:color w:val="333333"/>
              </w:rPr>
              <w:t>{{valor}}</w:t>
            </w:r>
          </w:p>
        </w:tc>
      </w:tr>
    </w:tbl>
    <w:p w14:paraId="23CD4A8A" w14:textId="77777777" w:rsidR="00111EA9" w:rsidRDefault="00111EA9" w:rsidP="00111EA9">
      <w:pPr>
        <w:tabs>
          <w:tab w:val="left" w:pos="1692"/>
        </w:tabs>
        <w:spacing w:line="360" w:lineRule="auto"/>
        <w:rPr>
          <w:b/>
          <w:bCs/>
          <w:sz w:val="28"/>
        </w:rPr>
      </w:pPr>
    </w:p>
    <w:p w14:paraId="6D8908E5" w14:textId="3B0AAE4B" w:rsidR="00F708E6" w:rsidRPr="00F907AA" w:rsidRDefault="00111EA9" w:rsidP="00111EA9">
      <w:pPr>
        <w:tabs>
          <w:tab w:val="left" w:pos="1692"/>
        </w:tabs>
        <w:spacing w:line="360" w:lineRule="auto"/>
        <w:ind w:left="851" w:hanging="851"/>
        <w:jc w:val="center"/>
        <w:rPr>
          <w:b/>
          <w:bCs/>
        </w:rPr>
      </w:pPr>
      <w:r w:rsidRPr="00F907AA">
        <w:rPr>
          <w:b/>
          <w:bCs/>
        </w:rPr>
        <w:t>INFORMAÇÃO INSTRUTIVA</w:t>
      </w:r>
    </w:p>
    <w:p w14:paraId="61920D07" w14:textId="77777777" w:rsidR="00111EA9" w:rsidRPr="00F907AA" w:rsidRDefault="00111EA9">
      <w:pPr>
        <w:spacing w:line="360" w:lineRule="auto"/>
        <w:ind w:firstLine="1701"/>
        <w:jc w:val="both"/>
        <w:rPr>
          <w:color w:val="333333"/>
        </w:rPr>
      </w:pPr>
    </w:p>
    <w:p w14:paraId="3D271A86" w14:textId="56504C75" w:rsidR="00F708E6" w:rsidRPr="00F907AA" w:rsidRDefault="00A36706">
      <w:pPr>
        <w:spacing w:line="360" w:lineRule="auto"/>
        <w:ind w:firstLine="1701"/>
        <w:jc w:val="both"/>
      </w:pPr>
      <w:r w:rsidRPr="00F907AA">
        <w:rPr>
          <w:color w:val="333333"/>
        </w:rPr>
        <w:t>Em</w:t>
      </w:r>
      <w:r w:rsidR="007B6DA6" w:rsidRPr="00F907AA">
        <w:rPr>
          <w:color w:val="333333"/>
        </w:rPr>
        <w:t xml:space="preserve"> cumprimento à determinação do Conselheiro R</w:t>
      </w:r>
      <w:r w:rsidRPr="00F907AA">
        <w:rPr>
          <w:color w:val="333333"/>
        </w:rPr>
        <w:t xml:space="preserve">elator deste processo, consoante as disposições do art. 118, inciso I, da Lei Complementar nº 464/2012 (Lei Orgânica do TCE-RN) e do art. 25, §§ 1º, inciso I, 3º e 4º, da Resolução nº 013/2015-TCE, remetam-se os respectivos autos à Diretoria de Expediente (DE) para </w:t>
      </w:r>
      <w:r w:rsidRPr="00F907AA">
        <w:rPr>
          <w:color w:val="333333"/>
          <w:u w:val="single"/>
        </w:rPr>
        <w:t>notificar</w:t>
      </w:r>
      <w:r w:rsidRPr="00F907AA">
        <w:rPr>
          <w:color w:val="333333"/>
        </w:rPr>
        <w:t xml:space="preserve"> o </w:t>
      </w:r>
      <w:r w:rsidRPr="00F907AA">
        <w:rPr>
          <w:bCs/>
          <w:color w:val="333333"/>
        </w:rPr>
        <w:t xml:space="preserve">órgão ao qual o(a) servidor(a) está vinculado(a), </w:t>
      </w:r>
      <w:r w:rsidRPr="00F907AA">
        <w:rPr>
          <w:color w:val="333333"/>
        </w:rPr>
        <w:t xml:space="preserve">com a finalidade de promover, no prazo de 30 (trinta) dias, o desconto integral ou parcelado do(s) </w:t>
      </w:r>
      <w:r w:rsidRPr="00F907AA">
        <w:rPr>
          <w:bCs/>
          <w:color w:val="333333"/>
        </w:rPr>
        <w:t xml:space="preserve">valor(es) da(s) multa(s) </w:t>
      </w:r>
      <w:r w:rsidRPr="00F907AA">
        <w:rPr>
          <w:color w:val="333333"/>
        </w:rPr>
        <w:t xml:space="preserve">nos vencimentos, subsídios, salários ou proventos do(a) servidor(a) pertencente ao seu quadro de pessoal, em conformidade com as informações supracitadas e observados os limites previstos na legislação aplicável à espécie, devendo comprovar o repasse do(s) valor(es) perante este Tribunal de Contas, no prazo de 15 (quinze) dias a contar da efetivação do referido desconto, sob pena de imposição de multa nos termos do art. 27 da Resolução nº 013/2015-TCE. </w:t>
      </w:r>
    </w:p>
    <w:p w14:paraId="20315EB9" w14:textId="77777777" w:rsidR="00F708E6" w:rsidRPr="00F907AA" w:rsidRDefault="00A36706">
      <w:pPr>
        <w:spacing w:line="360" w:lineRule="auto"/>
        <w:ind w:firstLine="1701"/>
        <w:jc w:val="both"/>
      </w:pPr>
      <w:r w:rsidRPr="00F907AA">
        <w:rPr>
          <w:color w:val="333333"/>
        </w:rPr>
        <w:t xml:space="preserve">O desconto tem por objetivo o pagamento da(s) multa(s) imputada(s) ao aludido(a) servidor(a), por esta Corte de Contas, e o repasse deve ser feito à </w:t>
      </w:r>
      <w:r w:rsidRPr="00F907AA">
        <w:rPr>
          <w:bCs/>
          <w:color w:val="333333"/>
        </w:rPr>
        <w:t xml:space="preserve">Conta Corrente: </w:t>
      </w:r>
      <w:r w:rsidR="0051323E" w:rsidRPr="00F907AA">
        <w:rPr>
          <w:bCs/>
          <w:color w:val="333333"/>
        </w:rPr>
        <w:t>7</w:t>
      </w:r>
      <w:r w:rsidRPr="00F907AA">
        <w:rPr>
          <w:bCs/>
          <w:color w:val="333333"/>
        </w:rPr>
        <w:t>00.000-6, Agência: 3795-8, Titular: TCE/RN FRAP OUTRAS FONTES – Banco do Brasil S/A.</w:t>
      </w:r>
    </w:p>
    <w:p w14:paraId="210BA318" w14:textId="77777777" w:rsidR="00F708E6" w:rsidRPr="00F907AA" w:rsidRDefault="00F708E6">
      <w:pPr>
        <w:spacing w:line="360" w:lineRule="auto"/>
        <w:jc w:val="both"/>
      </w:pPr>
    </w:p>
    <w:p w14:paraId="72856D6C" w14:textId="77777777" w:rsidR="00F708E6" w:rsidRDefault="00F708E6" w:rsidP="00111EA9">
      <w:pPr>
        <w:spacing w:line="360" w:lineRule="auto"/>
      </w:pPr>
    </w:p>
    <w:p w14:paraId="307D2911" w14:textId="77777777" w:rsidR="0055570E" w:rsidRPr="00F907AA" w:rsidRDefault="0055570E" w:rsidP="00111EA9">
      <w:pPr>
        <w:spacing w:line="360" w:lineRule="auto"/>
      </w:pPr>
    </w:p>
    <w:p w14:paraId="49118D19" w14:textId="5411D5FA" w:rsidR="0055570E" w:rsidRPr="0055570E" w:rsidRDefault="0055570E">
      <w:pPr>
        <w:jc w:val="center"/>
        <w:rPr>
          <w:bCs/>
          <w:i/>
          <w:iCs/>
          <w:color w:val="333333"/>
        </w:rPr>
      </w:pPr>
      <w:r w:rsidRPr="0055570E">
        <w:rPr>
          <w:bCs/>
          <w:i/>
          <w:iCs/>
          <w:color w:val="333333"/>
        </w:rPr>
        <w:t xml:space="preserve">[assinado </w:t>
      </w:r>
      <w:r>
        <w:rPr>
          <w:bCs/>
          <w:i/>
          <w:iCs/>
          <w:color w:val="333333"/>
        </w:rPr>
        <w:t>digitalmente</w:t>
      </w:r>
      <w:r w:rsidRPr="0055570E">
        <w:rPr>
          <w:bCs/>
          <w:i/>
          <w:iCs/>
          <w:color w:val="333333"/>
        </w:rPr>
        <w:t>]</w:t>
      </w:r>
      <w:r>
        <w:rPr>
          <w:bCs/>
          <w:i/>
          <w:iCs/>
          <w:color w:val="333333"/>
        </w:rPr>
        <w:br/>
      </w:r>
    </w:p>
    <w:p w14:paraId="03C3B662" w14:textId="4B4AAB24" w:rsidR="00F708E6" w:rsidRPr="00F907AA" w:rsidRDefault="007B6DA6">
      <w:pPr>
        <w:jc w:val="center"/>
        <w:rPr>
          <w:b/>
          <w:bCs/>
        </w:rPr>
      </w:pPr>
      <w:r w:rsidRPr="00F907AA">
        <w:rPr>
          <w:bCs/>
          <w:color w:val="333333"/>
        </w:rPr>
        <w:t>Eduardo Pereira Lima</w:t>
      </w:r>
      <w:r w:rsidR="0055570E">
        <w:rPr>
          <w:bCs/>
          <w:color w:val="333333"/>
        </w:rPr>
        <w:br/>
      </w:r>
    </w:p>
    <w:p w14:paraId="063881AE" w14:textId="77777777" w:rsidR="00F708E6" w:rsidRPr="00F907AA" w:rsidRDefault="007B6DA6">
      <w:pPr>
        <w:jc w:val="center"/>
      </w:pPr>
      <w:r w:rsidRPr="00F907AA">
        <w:rPr>
          <w:color w:val="333333"/>
        </w:rPr>
        <w:t>Coordenador de</w:t>
      </w:r>
      <w:r w:rsidR="00A36706" w:rsidRPr="00F907AA">
        <w:rPr>
          <w:color w:val="333333"/>
        </w:rPr>
        <w:t xml:space="preserve"> Controle de Decisões</w:t>
      </w:r>
    </w:p>
    <w:sectPr w:rsidR="00F708E6" w:rsidRPr="00F907AA" w:rsidSect="00F708E6">
      <w:headerReference w:type="default" r:id="rId6"/>
      <w:footerReference w:type="default" r:id="rId7"/>
      <w:pgSz w:w="11906" w:h="16838"/>
      <w:pgMar w:top="1134" w:right="1134" w:bottom="765" w:left="1134" w:header="0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4788F" w14:textId="77777777" w:rsidR="000F1C34" w:rsidRDefault="000F1C34" w:rsidP="00F708E6">
      <w:r>
        <w:separator/>
      </w:r>
    </w:p>
  </w:endnote>
  <w:endnote w:type="continuationSeparator" w:id="0">
    <w:p w14:paraId="4536A1D0" w14:textId="77777777" w:rsidR="000F1C34" w:rsidRDefault="000F1C34" w:rsidP="00F708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10017" w14:textId="77777777" w:rsidR="00F708E6" w:rsidRDefault="00F708E6">
    <w:pPr>
      <w:pStyle w:val="Rodap"/>
      <w:pBdr>
        <w:top w:val="single" w:sz="8" w:space="1" w:color="C8A84B"/>
      </w:pBdr>
      <w:jc w:val="center"/>
    </w:pPr>
    <w:r>
      <w:rPr>
        <w:rFonts w:ascii="Calibri" w:hAnsi="Calibri" w:cs="Calibri"/>
        <w:color w:val="666666"/>
        <w:sz w:val="16"/>
      </w:rPr>
      <w:t>Av. Presidente Getúlio Vargas, 690 – Ed. Dr. Múcio Vilar Ribeiro Dantas</w:t>
    </w:r>
    <w:r>
      <w:rPr>
        <w:rFonts w:ascii="Calibri" w:hAnsi="Calibri" w:cs="Calibri"/>
        <w:color w:val="666666"/>
        <w:sz w:val="16"/>
      </w:rPr>
      <w:br/>
      <w:t>CEP 59012-360 – Petrópolis, Natal/RN – www.tce.rn.gov.br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E713F" w14:textId="77777777" w:rsidR="000F1C34" w:rsidRDefault="000F1C34" w:rsidP="00F708E6">
      <w:r>
        <w:separator/>
      </w:r>
    </w:p>
  </w:footnote>
  <w:footnote w:type="continuationSeparator" w:id="0">
    <w:p w14:paraId="02E093CE" w14:textId="77777777" w:rsidR="000F1C34" w:rsidRDefault="000F1C34" w:rsidP="00F708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300AB" w14:textId="162F1974" w:rsidR="00111EA9" w:rsidRDefault="00000000">
    <w:pPr>
      <w:pStyle w:val="Cabealho"/>
    </w:pPr>
    <w:r>
      <w:rPr>
        <w:noProof/>
      </w:rPr>
      <w:pict w14:anchorId="4D86D0B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m 534816037" o:spid="_x0000_s1025" type="#_x0000_t75" style="position:absolute;margin-left:.15pt;margin-top:13.6pt;width:292.75pt;height:42.55pt;z-index:1;visibility:visible;mso-wrap-style:square;mso-wrap-distance-left:9pt;mso-wrap-distance-top:0;mso-wrap-distance-right:9pt;mso-wrap-distance-bottom:0;mso-position-horizontal-relative:text;mso-position-vertical-relative:text">
          <v:imagedata r:id="rId1" o:title="" croptop="-1334f" cropright="28148f" chromakey="white"/>
        </v:shape>
      </w:pict>
    </w:r>
  </w:p>
  <w:p w14:paraId="3E96475C" w14:textId="5D6210E5" w:rsidR="00111EA9" w:rsidRDefault="00111EA9">
    <w:pPr>
      <w:pStyle w:val="Cabealho"/>
    </w:pPr>
  </w:p>
  <w:p w14:paraId="46B07DC4" w14:textId="77777777" w:rsidR="00111EA9" w:rsidRDefault="00111EA9">
    <w:pPr>
      <w:pStyle w:val="Cabealho"/>
    </w:pPr>
  </w:p>
  <w:p w14:paraId="4BC5080A" w14:textId="77777777" w:rsidR="00111EA9" w:rsidRDefault="00111EA9">
    <w:pPr>
      <w:pStyle w:val="Cabealho"/>
    </w:pPr>
  </w:p>
  <w:p w14:paraId="638C3832" w14:textId="77777777" w:rsidR="00111EA9" w:rsidRDefault="00111EA9" w:rsidP="00111EA9">
    <w:pPr>
      <w:pStyle w:val="Cabealho"/>
      <w:tabs>
        <w:tab w:val="left" w:pos="426"/>
      </w:tabs>
      <w:rPr>
        <w:rFonts w:eastAsia="Calibri"/>
        <w:b/>
        <w:bCs/>
        <w:color w:val="808080"/>
        <w:szCs w:val="16"/>
        <w:lang w:eastAsia="en-US"/>
      </w:rPr>
    </w:pPr>
    <w:r>
      <w:rPr>
        <w:rFonts w:eastAsia="Calibri"/>
        <w:b/>
        <w:bCs/>
        <w:color w:val="808080"/>
        <w:szCs w:val="16"/>
        <w:lang w:eastAsia="en-US"/>
      </w:rPr>
      <w:t>Diretoria de Instrução Processual e Controle de Decisões – DIP</w:t>
    </w:r>
  </w:p>
  <w:p w14:paraId="1554AFEE" w14:textId="77777777" w:rsidR="00111EA9" w:rsidRPr="00BB24A0" w:rsidRDefault="00111EA9" w:rsidP="00111EA9">
    <w:pPr>
      <w:pStyle w:val="Cabealho"/>
      <w:tabs>
        <w:tab w:val="left" w:pos="426"/>
      </w:tabs>
      <w:rPr>
        <w:sz w:val="40"/>
      </w:rPr>
    </w:pPr>
    <w:r>
      <w:rPr>
        <w:rFonts w:eastAsia="Calibri"/>
        <w:b/>
        <w:bCs/>
        <w:color w:val="808080"/>
        <w:szCs w:val="16"/>
        <w:lang w:eastAsia="en-US"/>
      </w:rPr>
      <w:t>Coordenadoria de Controle de Decisões – CCD</w:t>
    </w:r>
  </w:p>
  <w:p w14:paraId="4880F09A" w14:textId="77777777" w:rsidR="00111EA9" w:rsidRDefault="00111EA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oNotTrackMoves/>
  <w:defaultTabStop w:val="708"/>
  <w:autoHyphenation/>
  <w:hyphenationZone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708E6"/>
    <w:rsid w:val="000F1C34"/>
    <w:rsid w:val="00111EA9"/>
    <w:rsid w:val="00230E01"/>
    <w:rsid w:val="003029CF"/>
    <w:rsid w:val="00370AA9"/>
    <w:rsid w:val="00474A13"/>
    <w:rsid w:val="0051323E"/>
    <w:rsid w:val="0053726B"/>
    <w:rsid w:val="005505F2"/>
    <w:rsid w:val="0055570E"/>
    <w:rsid w:val="00636BFF"/>
    <w:rsid w:val="007B6DA6"/>
    <w:rsid w:val="00A36706"/>
    <w:rsid w:val="00DC2EDB"/>
    <w:rsid w:val="00F4475C"/>
    <w:rsid w:val="00F708E6"/>
    <w:rsid w:val="00F907AA"/>
    <w:rsid w:val="00FC3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B7F733"/>
  <w15:docId w15:val="{C7A6F1AF-0EF9-43CF-8A1B-6964C024E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08E6"/>
    <w:pPr>
      <w:suppressAutoHyphens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har">
    <w:name w:val="Cabeçalho Char"/>
    <w:uiPriority w:val="99"/>
    <w:qFormat/>
    <w:rsid w:val="00F708E6"/>
    <w:rPr>
      <w:rFonts w:ascii="Times New Roman" w:eastAsia="Times New Roman" w:hAnsi="Times New Roman" w:cs="Times New Roman"/>
      <w:sz w:val="24"/>
      <w:szCs w:val="24"/>
    </w:rPr>
  </w:style>
  <w:style w:type="character" w:customStyle="1" w:styleId="RodapChar">
    <w:name w:val="Rodapé Char"/>
    <w:qFormat/>
    <w:rsid w:val="00F708E6"/>
    <w:rPr>
      <w:rFonts w:ascii="Times New Roman" w:eastAsia="Times New Roman" w:hAnsi="Times New Roman" w:cs="Times New Roman"/>
      <w:sz w:val="24"/>
      <w:szCs w:val="24"/>
    </w:rPr>
  </w:style>
  <w:style w:type="character" w:customStyle="1" w:styleId="TextodebaloChar">
    <w:name w:val="Texto de balão Char"/>
    <w:qFormat/>
    <w:rsid w:val="00F708E6"/>
    <w:rPr>
      <w:rFonts w:ascii="Tahoma" w:eastAsia="Times New Roman" w:hAnsi="Tahoma" w:cs="Tahoma"/>
      <w:sz w:val="16"/>
      <w:szCs w:val="16"/>
    </w:rPr>
  </w:style>
  <w:style w:type="paragraph" w:customStyle="1" w:styleId="Heading">
    <w:name w:val="Heading"/>
    <w:basedOn w:val="Normal"/>
    <w:next w:val="Corpodetexto"/>
    <w:qFormat/>
    <w:rsid w:val="00F708E6"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Corpodetexto">
    <w:name w:val="Body Text"/>
    <w:basedOn w:val="Normal"/>
    <w:rsid w:val="00F708E6"/>
    <w:pPr>
      <w:spacing w:after="140" w:line="276" w:lineRule="auto"/>
    </w:pPr>
  </w:style>
  <w:style w:type="paragraph" w:styleId="Lista">
    <w:name w:val="List"/>
    <w:basedOn w:val="Corpodetexto"/>
    <w:rsid w:val="00F708E6"/>
    <w:rPr>
      <w:rFonts w:cs="Noto Sans Devanagari"/>
    </w:rPr>
  </w:style>
  <w:style w:type="paragraph" w:styleId="Legenda">
    <w:name w:val="caption"/>
    <w:basedOn w:val="Normal"/>
    <w:qFormat/>
    <w:rsid w:val="00F708E6"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Normal"/>
    <w:qFormat/>
    <w:rsid w:val="00F708E6"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Normal"/>
    <w:qFormat/>
    <w:rsid w:val="00F708E6"/>
    <w:pPr>
      <w:suppressLineNumbers/>
      <w:tabs>
        <w:tab w:val="center" w:pos="4819"/>
        <w:tab w:val="right" w:pos="9638"/>
      </w:tabs>
    </w:pPr>
  </w:style>
  <w:style w:type="paragraph" w:styleId="Cabealho">
    <w:name w:val="header"/>
    <w:basedOn w:val="Normal"/>
    <w:uiPriority w:val="99"/>
    <w:rsid w:val="00F708E6"/>
  </w:style>
  <w:style w:type="paragraph" w:styleId="Rodap">
    <w:name w:val="footer"/>
    <w:basedOn w:val="Normal"/>
    <w:rsid w:val="00F708E6"/>
  </w:style>
  <w:style w:type="paragraph" w:styleId="Textodebalo">
    <w:name w:val="Balloon Text"/>
    <w:basedOn w:val="Normal"/>
    <w:qFormat/>
    <w:rsid w:val="00F708E6"/>
    <w:rPr>
      <w:rFonts w:ascii="Tahoma" w:hAnsi="Tahoma" w:cs="Tahoma"/>
      <w:sz w:val="16"/>
      <w:szCs w:val="16"/>
    </w:rPr>
  </w:style>
  <w:style w:type="paragraph" w:customStyle="1" w:styleId="FrameContents">
    <w:name w:val="Frame Contents"/>
    <w:basedOn w:val="Normal"/>
    <w:qFormat/>
    <w:rsid w:val="00F708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219</Words>
  <Characters>1247</Characters>
  <Application>Microsoft Office Word</Application>
  <DocSecurity>0</DocSecurity>
  <Lines>34</Lines>
  <Paragraphs>19</Paragraphs>
  <ScaleCrop>false</ScaleCrop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10839844468</dc:creator>
  <dc:description/>
  <cp:lastModifiedBy>Eduardo Pereira Lima</cp:lastModifiedBy>
  <cp:revision>12</cp:revision>
  <cp:lastPrinted>2025-02-05T08:37:00Z</cp:lastPrinted>
  <dcterms:created xsi:type="dcterms:W3CDTF">2025-03-11T11:44:00Z</dcterms:created>
  <dcterms:modified xsi:type="dcterms:W3CDTF">2026-08-07T14:08:00Z</dcterms:modified>
  <dc:language>en-US</dc:language>
</cp:coreProperties>
</file>