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08E6" w:rsidRDefault="00DC2EDB">
      <w:pPr>
        <w:pStyle w:val="Cabealho"/>
        <w:tabs>
          <w:tab w:val="left" w:pos="708"/>
        </w:tabs>
        <w:rPr>
          <w:sz w:val="28"/>
        </w:rPr>
      </w:pPr>
      <w:r w:rsidRPr="00DC2EDB">
        <w:pict>
          <v:rect id="_x0000_s1026" style="position:absolute;margin-left:35.7pt;margin-top:38.65pt;width:411.25pt;height:34.8pt;z-index:1;mso-wrap-distance-left:9.05pt;mso-wrap-distance-right:9.05pt">
            <v:fill opacity="0"/>
            <v:textbox inset="7.25pt,3.65pt,7.25pt,3.65pt">
              <w:txbxContent>
                <w:p w:rsidR="00F708E6" w:rsidRDefault="00A36706">
                  <w:pPr>
                    <w:rPr>
                      <w:rFonts w:ascii="Arial" w:hAnsi="Arial" w:cs="Arial"/>
                      <w:b/>
                      <w:color w:val="80808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color w:val="808080"/>
                      <w:sz w:val="20"/>
                      <w:szCs w:val="20"/>
                    </w:rPr>
                    <w:t>DIRETORIA DE INSTRUÇÃO PROCESSUAL E CONTROLE DE DECISÕES - DIP</w:t>
                  </w:r>
                </w:p>
                <w:p w:rsidR="00F708E6" w:rsidRDefault="00A36706">
                  <w:pPr>
                    <w:rPr>
                      <w:rFonts w:ascii="Arial" w:hAnsi="Arial" w:cs="Arial"/>
                      <w:b/>
                      <w:color w:val="80808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color w:val="808080"/>
                      <w:sz w:val="20"/>
                      <w:szCs w:val="20"/>
                    </w:rPr>
                    <w:t>Coordenadoria de Controle de Decisões - CCD</w:t>
                  </w:r>
                </w:p>
              </w:txbxContent>
            </v:textbox>
          </v:rect>
        </w:pict>
      </w:r>
      <w:r w:rsidRPr="00DC2EDB">
        <w:rPr>
          <w:noProof/>
          <w:sz w:val="28"/>
          <w:lang w:eastAsia="pt-B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m 1" o:spid="_x0000_i1025" type="#_x0000_t75" style="width:510.25pt;height:41.95pt;visibility:visible;mso-wrap-style:square">
            <v:imagedata r:id="rId6" o:title="" croptop="-45f" cropbottom="-45f" cropleft="-4f" cropright="-4f"/>
          </v:shape>
        </w:pict>
      </w:r>
    </w:p>
    <w:p w:rsidR="00F708E6" w:rsidRDefault="00F708E6">
      <w:pPr>
        <w:rPr>
          <w:sz w:val="28"/>
          <w:lang w:val="en-US" w:eastAsia="en-US"/>
        </w:rPr>
      </w:pPr>
    </w:p>
    <w:p w:rsidR="00F708E6" w:rsidRDefault="00F708E6">
      <w:pPr>
        <w:rPr>
          <w:sz w:val="28"/>
        </w:rPr>
      </w:pPr>
    </w:p>
    <w:p w:rsidR="00F708E6" w:rsidRDefault="00F708E6">
      <w:pPr>
        <w:spacing w:line="360" w:lineRule="auto"/>
        <w:rPr>
          <w:b/>
          <w:sz w:val="28"/>
          <w:szCs w:val="20"/>
        </w:rPr>
      </w:pPr>
    </w:p>
    <w:p w:rsidR="00F708E6" w:rsidRDefault="00A36706">
      <w:pPr>
        <w:spacing w:line="360" w:lineRule="auto"/>
      </w:pPr>
      <w:r>
        <w:rPr>
          <w:b/>
          <w:szCs w:val="20"/>
        </w:rPr>
        <w:t>Processo nº:</w:t>
      </w:r>
      <w:r>
        <w:rPr>
          <w:szCs w:val="20"/>
        </w:rPr>
        <w:t xml:space="preserve"> {{processo}}</w:t>
      </w:r>
    </w:p>
    <w:p w:rsidR="00F708E6" w:rsidRDefault="00A36706">
      <w:pPr>
        <w:spacing w:line="360" w:lineRule="auto"/>
        <w:ind w:left="1134" w:hanging="1134"/>
        <w:jc w:val="both"/>
        <w:rPr>
          <w:b/>
          <w:bCs/>
        </w:rPr>
      </w:pPr>
      <w:r>
        <w:rPr>
          <w:b/>
          <w:szCs w:val="20"/>
        </w:rPr>
        <w:t xml:space="preserve">Assunto: </w:t>
      </w:r>
      <w:r>
        <w:rPr>
          <w:color w:val="000000"/>
        </w:rPr>
        <w:t>{{assunto}}</w:t>
      </w:r>
    </w:p>
    <w:p w:rsidR="00F708E6" w:rsidRDefault="00A36706">
      <w:pPr>
        <w:spacing w:line="360" w:lineRule="auto"/>
        <w:ind w:left="1134" w:hanging="1134"/>
        <w:jc w:val="both"/>
      </w:pPr>
      <w:proofErr w:type="gramStart"/>
      <w:r>
        <w:rPr>
          <w:b/>
          <w:szCs w:val="20"/>
        </w:rPr>
        <w:t>Servidor(</w:t>
      </w:r>
      <w:proofErr w:type="gramEnd"/>
      <w:r>
        <w:rPr>
          <w:b/>
          <w:szCs w:val="20"/>
        </w:rPr>
        <w:t>a):</w:t>
      </w:r>
      <w:r>
        <w:rPr>
          <w:szCs w:val="20"/>
        </w:rPr>
        <w:t xml:space="preserve"> {{nome}}</w:t>
      </w:r>
    </w:p>
    <w:p w:rsidR="00F708E6" w:rsidRDefault="00A36706">
      <w:pPr>
        <w:spacing w:line="360" w:lineRule="auto"/>
        <w:ind w:left="851" w:hanging="851"/>
        <w:jc w:val="both"/>
        <w:rPr>
          <w:b/>
          <w:szCs w:val="20"/>
        </w:rPr>
      </w:pPr>
      <w:r>
        <w:rPr>
          <w:b/>
          <w:szCs w:val="20"/>
        </w:rPr>
        <w:t xml:space="preserve">Órgão: </w:t>
      </w:r>
      <w:r>
        <w:rPr>
          <w:szCs w:val="20"/>
        </w:rPr>
        <w:t>{{</w:t>
      </w:r>
      <w:proofErr w:type="spellStart"/>
      <w:r>
        <w:rPr>
          <w:szCs w:val="20"/>
        </w:rPr>
        <w:t>orgao</w:t>
      </w:r>
      <w:proofErr w:type="spellEnd"/>
      <w:r>
        <w:rPr>
          <w:szCs w:val="20"/>
        </w:rPr>
        <w:t>}}</w:t>
      </w:r>
    </w:p>
    <w:p w:rsidR="00F708E6" w:rsidRDefault="00A36706">
      <w:pPr>
        <w:spacing w:line="360" w:lineRule="auto"/>
        <w:ind w:left="1134" w:hanging="1134"/>
        <w:jc w:val="both"/>
      </w:pPr>
      <w:r>
        <w:rPr>
          <w:b/>
          <w:szCs w:val="20"/>
        </w:rPr>
        <w:t>Valor da multa:</w:t>
      </w:r>
      <w:r>
        <w:rPr>
          <w:szCs w:val="20"/>
        </w:rPr>
        <w:t xml:space="preserve"> {{valor}}</w:t>
      </w:r>
    </w:p>
    <w:p w:rsidR="00F708E6" w:rsidRDefault="00F708E6">
      <w:pPr>
        <w:spacing w:line="360" w:lineRule="auto"/>
        <w:ind w:left="851" w:hanging="851"/>
        <w:rPr>
          <w:sz w:val="28"/>
          <w:szCs w:val="20"/>
        </w:rPr>
      </w:pPr>
    </w:p>
    <w:p w:rsidR="00F708E6" w:rsidRDefault="00A36706">
      <w:pPr>
        <w:shd w:val="clear" w:color="auto" w:fill="D9D9D9"/>
        <w:spacing w:line="360" w:lineRule="auto"/>
        <w:ind w:left="851" w:hanging="851"/>
        <w:jc w:val="center"/>
        <w:rPr>
          <w:b/>
          <w:szCs w:val="20"/>
        </w:rPr>
      </w:pPr>
      <w:r>
        <w:rPr>
          <w:b/>
          <w:szCs w:val="20"/>
        </w:rPr>
        <w:t>DESPACHO</w:t>
      </w:r>
    </w:p>
    <w:p w:rsidR="00F708E6" w:rsidRDefault="00A36706">
      <w:pPr>
        <w:tabs>
          <w:tab w:val="left" w:pos="1692"/>
        </w:tabs>
        <w:spacing w:line="360" w:lineRule="auto"/>
        <w:ind w:left="851" w:hanging="851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</w:p>
    <w:p w:rsidR="00F708E6" w:rsidRDefault="00A36706">
      <w:pPr>
        <w:spacing w:line="360" w:lineRule="auto"/>
        <w:ind w:firstLine="1701"/>
        <w:jc w:val="both"/>
        <w:rPr>
          <w:szCs w:val="20"/>
        </w:rPr>
      </w:pPr>
      <w:r>
        <w:rPr>
          <w:szCs w:val="20"/>
        </w:rPr>
        <w:t>Em</w:t>
      </w:r>
      <w:r w:rsidR="007B6DA6">
        <w:rPr>
          <w:szCs w:val="20"/>
        </w:rPr>
        <w:t xml:space="preserve"> cumprimento à determinação do Conselheiro R</w:t>
      </w:r>
      <w:r>
        <w:rPr>
          <w:szCs w:val="20"/>
        </w:rPr>
        <w:t xml:space="preserve">elator deste processo, consoante as disposições do art. 118, inciso I, da Lei Complementar nº 464/2012 (Lei Orgânica do TCE-RN) e do art. 25, §§ 1º, inciso I, 3º e 4º, da Resolução nº 013/2015-TCE, remetam-se os respectivos autos à Diretoria de Expediente (DE) para </w:t>
      </w:r>
      <w:r>
        <w:rPr>
          <w:b/>
          <w:szCs w:val="20"/>
          <w:u w:val="single"/>
        </w:rPr>
        <w:t>notificar</w:t>
      </w:r>
      <w:r>
        <w:rPr>
          <w:szCs w:val="20"/>
        </w:rPr>
        <w:t xml:space="preserve"> o </w:t>
      </w:r>
      <w:r>
        <w:rPr>
          <w:bCs/>
          <w:szCs w:val="20"/>
        </w:rPr>
        <w:t>órgão</w:t>
      </w:r>
      <w:r>
        <w:rPr>
          <w:b/>
          <w:bCs/>
          <w:szCs w:val="20"/>
        </w:rPr>
        <w:t xml:space="preserve"> </w:t>
      </w:r>
      <w:r>
        <w:rPr>
          <w:bCs/>
          <w:szCs w:val="20"/>
        </w:rPr>
        <w:t xml:space="preserve">ao qual </w:t>
      </w:r>
      <w:proofErr w:type="gramStart"/>
      <w:r>
        <w:rPr>
          <w:bCs/>
          <w:szCs w:val="20"/>
        </w:rPr>
        <w:t>o(</w:t>
      </w:r>
      <w:proofErr w:type="gramEnd"/>
      <w:r>
        <w:rPr>
          <w:bCs/>
          <w:szCs w:val="20"/>
        </w:rPr>
        <w:t xml:space="preserve">a) servidor(a) está vinculado(a), </w:t>
      </w:r>
      <w:r>
        <w:rPr>
          <w:szCs w:val="20"/>
        </w:rPr>
        <w:t xml:space="preserve">com a finalidade de promover, no prazo de 30 (trinta) dias, o desconto integral ou parcelado do(s) </w:t>
      </w:r>
      <w:r>
        <w:rPr>
          <w:bCs/>
          <w:szCs w:val="20"/>
        </w:rPr>
        <w:t>valor(</w:t>
      </w:r>
      <w:proofErr w:type="spellStart"/>
      <w:r>
        <w:rPr>
          <w:bCs/>
          <w:szCs w:val="20"/>
        </w:rPr>
        <w:t>es</w:t>
      </w:r>
      <w:proofErr w:type="spellEnd"/>
      <w:r>
        <w:rPr>
          <w:bCs/>
          <w:szCs w:val="20"/>
        </w:rPr>
        <w:t>) da(s) multa(s)</w:t>
      </w:r>
      <w:r>
        <w:rPr>
          <w:b/>
          <w:bCs/>
          <w:szCs w:val="20"/>
        </w:rPr>
        <w:t xml:space="preserve"> </w:t>
      </w:r>
      <w:r>
        <w:rPr>
          <w:szCs w:val="20"/>
        </w:rPr>
        <w:t>nos vencimentos, subsídios, salários ou proventos do(a) servidor(a) pertencente ao seu quadro de pessoal, em conformidade com as informações supracitadas e observados os limites previstos na legislação aplicável à espécie, devendo comprovar o repasse do(s) valor(</w:t>
      </w:r>
      <w:proofErr w:type="spellStart"/>
      <w:r>
        <w:rPr>
          <w:szCs w:val="20"/>
        </w:rPr>
        <w:t>es</w:t>
      </w:r>
      <w:proofErr w:type="spellEnd"/>
      <w:r>
        <w:rPr>
          <w:szCs w:val="20"/>
        </w:rPr>
        <w:t xml:space="preserve">) perante este Tribunal de Contas, no prazo de 15 (quinze) dias a contar da efetivação do referido desconto, sob pena de imposição de multa nos termos do art. 27 da Resolução nº 013/2015-TCE. </w:t>
      </w:r>
    </w:p>
    <w:p w:rsidR="00F708E6" w:rsidRDefault="00A36706">
      <w:pPr>
        <w:spacing w:line="360" w:lineRule="auto"/>
        <w:ind w:firstLine="1701"/>
        <w:jc w:val="both"/>
        <w:rPr>
          <w:szCs w:val="20"/>
        </w:rPr>
      </w:pPr>
      <w:r>
        <w:rPr>
          <w:szCs w:val="20"/>
        </w:rPr>
        <w:t xml:space="preserve">O desconto tem por objetivo o pagamento da(s) multa(s) imputada(s) ao </w:t>
      </w:r>
      <w:proofErr w:type="gramStart"/>
      <w:r>
        <w:rPr>
          <w:szCs w:val="20"/>
        </w:rPr>
        <w:t>aludido(</w:t>
      </w:r>
      <w:proofErr w:type="gramEnd"/>
      <w:r>
        <w:rPr>
          <w:szCs w:val="20"/>
        </w:rPr>
        <w:t xml:space="preserve">a) servidor(a), por esta Corte de Contas, e o repasse deve ser feito à </w:t>
      </w:r>
      <w:r>
        <w:rPr>
          <w:b/>
          <w:bCs/>
          <w:szCs w:val="20"/>
        </w:rPr>
        <w:t xml:space="preserve">Conta Corrente: </w:t>
      </w:r>
      <w:r w:rsidR="00230E01">
        <w:rPr>
          <w:b/>
          <w:bCs/>
          <w:szCs w:val="20"/>
        </w:rPr>
        <w:t>6</w:t>
      </w:r>
      <w:r>
        <w:rPr>
          <w:b/>
          <w:bCs/>
          <w:szCs w:val="20"/>
        </w:rPr>
        <w:t>00.000-6, Agência: 3795-8, Titular: TCE/RN FRAP OUTRAS FONTES – Banco do Brasil S/A.</w:t>
      </w:r>
    </w:p>
    <w:p w:rsidR="00F708E6" w:rsidRDefault="00F708E6">
      <w:pPr>
        <w:spacing w:line="360" w:lineRule="auto"/>
        <w:jc w:val="both"/>
        <w:rPr>
          <w:szCs w:val="20"/>
        </w:rPr>
      </w:pPr>
    </w:p>
    <w:p w:rsidR="00F708E6" w:rsidRDefault="00A36706">
      <w:pPr>
        <w:jc w:val="center"/>
        <w:rPr>
          <w:b/>
          <w:bCs/>
          <w:szCs w:val="20"/>
        </w:rPr>
      </w:pPr>
      <w:proofErr w:type="spellStart"/>
      <w:r>
        <w:rPr>
          <w:b/>
          <w:bCs/>
          <w:szCs w:val="20"/>
        </w:rPr>
        <w:t>Jumara</w:t>
      </w:r>
      <w:proofErr w:type="spellEnd"/>
      <w:r>
        <w:rPr>
          <w:b/>
          <w:bCs/>
          <w:szCs w:val="20"/>
        </w:rPr>
        <w:t xml:space="preserve"> </w:t>
      </w:r>
      <w:proofErr w:type="spellStart"/>
      <w:r>
        <w:rPr>
          <w:b/>
          <w:bCs/>
          <w:szCs w:val="20"/>
        </w:rPr>
        <w:t>Sasaki</w:t>
      </w:r>
      <w:proofErr w:type="spellEnd"/>
    </w:p>
    <w:p w:rsidR="00F708E6" w:rsidRDefault="00A36706">
      <w:pPr>
        <w:jc w:val="center"/>
        <w:rPr>
          <w:szCs w:val="20"/>
        </w:rPr>
      </w:pPr>
      <w:r>
        <w:rPr>
          <w:szCs w:val="20"/>
        </w:rPr>
        <w:t>Assistente Técnica de Diretoria de Controle Externo</w:t>
      </w:r>
    </w:p>
    <w:p w:rsidR="00F708E6" w:rsidRDefault="00F708E6">
      <w:pPr>
        <w:spacing w:line="360" w:lineRule="auto"/>
        <w:jc w:val="center"/>
        <w:rPr>
          <w:szCs w:val="20"/>
        </w:rPr>
      </w:pPr>
    </w:p>
    <w:p w:rsidR="00F708E6" w:rsidRDefault="007B6DA6">
      <w:pPr>
        <w:jc w:val="center"/>
        <w:rPr>
          <w:b/>
          <w:bCs/>
        </w:rPr>
      </w:pPr>
      <w:r>
        <w:rPr>
          <w:b/>
          <w:bCs/>
        </w:rPr>
        <w:t>Eduardo Pereira Lima</w:t>
      </w:r>
    </w:p>
    <w:p w:rsidR="00F708E6" w:rsidRDefault="007B6DA6">
      <w:pPr>
        <w:jc w:val="center"/>
      </w:pPr>
      <w:r>
        <w:t>Coordenador de</w:t>
      </w:r>
      <w:r w:rsidR="00A36706">
        <w:t xml:space="preserve"> Controle de Decisões</w:t>
      </w:r>
    </w:p>
    <w:sectPr w:rsidR="00F708E6" w:rsidSect="00F708E6">
      <w:footerReference w:type="default" r:id="rId7"/>
      <w:pgSz w:w="11906" w:h="16838"/>
      <w:pgMar w:top="1134" w:right="1134" w:bottom="765" w:left="1134" w:header="0" w:footer="709" w:gutter="0"/>
      <w:cols w:space="720"/>
      <w:formProt w:val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74A13" w:rsidRDefault="00474A13" w:rsidP="00F708E6">
      <w:r>
        <w:separator/>
      </w:r>
    </w:p>
  </w:endnote>
  <w:endnote w:type="continuationSeparator" w:id="0">
    <w:p w:rsidR="00474A13" w:rsidRDefault="00474A13" w:rsidP="00F708E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Noto Serif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08E6" w:rsidRDefault="00F708E6">
    <w:pPr>
      <w:pStyle w:val="Rodap"/>
      <w:jc w:val="right"/>
    </w:pPr>
  </w:p>
  <w:p w:rsidR="00F708E6" w:rsidRDefault="00F708E6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74A13" w:rsidRDefault="00474A13" w:rsidP="00F708E6">
      <w:r>
        <w:separator/>
      </w:r>
    </w:p>
  </w:footnote>
  <w:footnote w:type="continuationSeparator" w:id="0">
    <w:p w:rsidR="00474A13" w:rsidRDefault="00474A13" w:rsidP="00F708E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oNotTrackMoves/>
  <w:defaultTabStop w:val="708"/>
  <w:autoHyphenation/>
  <w:hyphenationZone w:val="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708E6"/>
    <w:rsid w:val="00230E01"/>
    <w:rsid w:val="00474A13"/>
    <w:rsid w:val="007B6DA6"/>
    <w:rsid w:val="00A36706"/>
    <w:rsid w:val="00DC2EDB"/>
    <w:rsid w:val="00F708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Noto Serif CJK SC" w:hAnsi="Liberation Serif" w:cs="Noto Sans Devanagari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08E6"/>
    <w:pPr>
      <w:suppressAutoHyphens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qFormat/>
    <w:rsid w:val="00F708E6"/>
    <w:rPr>
      <w:rFonts w:ascii="Times New Roman" w:eastAsia="Times New Roman" w:hAnsi="Times New Roman" w:cs="Times New Roman"/>
      <w:sz w:val="24"/>
      <w:szCs w:val="24"/>
    </w:rPr>
  </w:style>
  <w:style w:type="character" w:customStyle="1" w:styleId="RodapChar">
    <w:name w:val="Rodapé Char"/>
    <w:basedOn w:val="Fontepargpadro"/>
    <w:qFormat/>
    <w:rsid w:val="00F708E6"/>
    <w:rPr>
      <w:rFonts w:ascii="Times New Roman" w:eastAsia="Times New Roman" w:hAnsi="Times New Roman" w:cs="Times New Roman"/>
      <w:sz w:val="24"/>
      <w:szCs w:val="24"/>
    </w:rPr>
  </w:style>
  <w:style w:type="character" w:customStyle="1" w:styleId="TextodebaloChar">
    <w:name w:val="Texto de balão Char"/>
    <w:basedOn w:val="Fontepargpadro"/>
    <w:qFormat/>
    <w:rsid w:val="00F708E6"/>
    <w:rPr>
      <w:rFonts w:ascii="Tahoma" w:eastAsia="Times New Roman" w:hAnsi="Tahoma" w:cs="Tahoma"/>
      <w:sz w:val="16"/>
      <w:szCs w:val="16"/>
    </w:rPr>
  </w:style>
  <w:style w:type="paragraph" w:customStyle="1" w:styleId="Heading">
    <w:name w:val="Heading"/>
    <w:basedOn w:val="Normal"/>
    <w:next w:val="Corpodetexto"/>
    <w:qFormat/>
    <w:rsid w:val="00F708E6"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Corpodetexto">
    <w:name w:val="Body Text"/>
    <w:basedOn w:val="Normal"/>
    <w:rsid w:val="00F708E6"/>
    <w:pPr>
      <w:spacing w:after="140" w:line="276" w:lineRule="auto"/>
    </w:pPr>
  </w:style>
  <w:style w:type="paragraph" w:styleId="Lista">
    <w:name w:val="List"/>
    <w:basedOn w:val="Corpodetexto"/>
    <w:rsid w:val="00F708E6"/>
    <w:rPr>
      <w:rFonts w:cs="Noto Sans Devanagari"/>
    </w:rPr>
  </w:style>
  <w:style w:type="paragraph" w:styleId="Legenda">
    <w:name w:val="caption"/>
    <w:basedOn w:val="Normal"/>
    <w:qFormat/>
    <w:rsid w:val="00F708E6"/>
    <w:pPr>
      <w:suppressLineNumbers/>
      <w:spacing w:before="120" w:after="120"/>
    </w:pPr>
    <w:rPr>
      <w:rFonts w:cs="Noto Sans Devanagari"/>
      <w:i/>
      <w:iCs/>
    </w:rPr>
  </w:style>
  <w:style w:type="paragraph" w:customStyle="1" w:styleId="Index">
    <w:name w:val="Index"/>
    <w:basedOn w:val="Normal"/>
    <w:qFormat/>
    <w:rsid w:val="00F708E6"/>
    <w:pPr>
      <w:suppressLineNumbers/>
    </w:pPr>
    <w:rPr>
      <w:rFonts w:cs="Noto Sans Devanagari"/>
    </w:rPr>
  </w:style>
  <w:style w:type="paragraph" w:customStyle="1" w:styleId="HeaderandFooter">
    <w:name w:val="Header and Footer"/>
    <w:basedOn w:val="Normal"/>
    <w:qFormat/>
    <w:rsid w:val="00F708E6"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rsid w:val="00F708E6"/>
  </w:style>
  <w:style w:type="paragraph" w:styleId="Rodap">
    <w:name w:val="footer"/>
    <w:basedOn w:val="Normal"/>
    <w:rsid w:val="00F708E6"/>
  </w:style>
  <w:style w:type="paragraph" w:styleId="Textodebalo">
    <w:name w:val="Balloon Text"/>
    <w:basedOn w:val="Normal"/>
    <w:qFormat/>
    <w:rsid w:val="00F708E6"/>
    <w:rPr>
      <w:rFonts w:ascii="Tahoma" w:hAnsi="Tahoma" w:cs="Tahoma"/>
      <w:sz w:val="16"/>
      <w:szCs w:val="16"/>
    </w:rPr>
  </w:style>
  <w:style w:type="paragraph" w:customStyle="1" w:styleId="FrameContents">
    <w:name w:val="Frame Contents"/>
    <w:basedOn w:val="Normal"/>
    <w:qFormat/>
    <w:rsid w:val="00F708E6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228</Words>
  <Characters>1235</Characters>
  <Application>Microsoft Office Word</Application>
  <DocSecurity>0</DocSecurity>
  <Lines>10</Lines>
  <Paragraphs>2</Paragraphs>
  <ScaleCrop>false</ScaleCrop>
  <Company/>
  <LinksUpToDate>false</LinksUpToDate>
  <CharactersWithSpaces>1461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10839844468</dc:creator>
  <dc:description/>
  <cp:lastModifiedBy>05911205424</cp:lastModifiedBy>
  <cp:revision>7</cp:revision>
  <cp:lastPrinted>2025-02-05T08:37:00Z</cp:lastPrinted>
  <dcterms:created xsi:type="dcterms:W3CDTF">2025-03-11T11:44:00Z</dcterms:created>
  <dcterms:modified xsi:type="dcterms:W3CDTF">2025-09-25T17:35:00Z</dcterms:modified>
  <dc:language>en-US</dc:language>
</cp:coreProperties>
</file>