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left" w:pos="708" w:leader="none"/>
        </w:tabs>
        <w:rPr>
          <w:sz w:val="28"/>
        </w:rPr>
      </w:pPr>
      <w:r>
        <w:rPr>
          <w:sz w:val="28"/>
          <w:lang w:val="en-US" w:eastAsia="en-US"/>
        </w:rPr>
        <w:drawing>
          <wp:inline distT="0" distB="0" distL="0" distR="0">
            <wp:extent cx="6475730" cy="532765"/>
            <wp:effectExtent l="0" t="0" r="0" b="0"/>
            <wp:docPr id="100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8" r="-6" b="-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53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lang w:val="en-US" w:eastAsia="en-US"/>
        </w:rPr>
      </w:pPr>
      <w:r>
        <w:rPr>
          <w:sz w:val="2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453390</wp:posOffset>
                </wp:positionH>
                <wp:positionV relativeFrom="paragraph">
                  <wp:posOffset>21590</wp:posOffset>
                </wp:positionV>
                <wp:extent cx="5222875" cy="441960"/>
                <wp:effectExtent l="0" t="0" r="0" b="0"/>
                <wp:wrapNone/>
                <wp:docPr id="100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875" cy="4419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DIRETORIA DE INSTRUÇÃO PROCESSUAL E CONTROLE DE DECISÕES - DIP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b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808080"/>
                                <w:sz w:val="20"/>
                                <w:szCs w:val="20"/>
                              </w:rPr>
                              <w:t>Coordenadoria de Controle de Decisões - CCD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11.25pt;height:34.8pt;mso-wrap-distance-left:9.05pt;mso-wrap-distance-right:9.05pt;mso-wrap-distance-top:0pt;mso-wrap-distance-bottom:0pt;margin-top:1.7pt;mso-position-vertical-relative:text;margin-left:35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DIRETORIA DE INSTRUÇÃO PROCESSUAL E CONTROLE DE DECISÕES - DIP</w:t>
                      </w:r>
                    </w:p>
                    <w:p>
                      <w:pPr>
                        <w:pStyle w:val="Normal"/>
                        <w:rPr>
                          <w:rFonts w:ascii="Arial" w:hAnsi="Arial" w:cs="Arial"/>
                          <w:b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cs="Arial" w:ascii="Arial" w:hAnsi="Arial"/>
                          <w:b/>
                          <w:color w:val="808080"/>
                          <w:sz w:val="20"/>
                          <w:szCs w:val="20"/>
                        </w:rPr>
                        <w:t>Coordenadoria de Controle de Decisões - CCD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rPr>
          <w:b/>
          <w:sz w:val="28"/>
          <w:szCs w:val="20"/>
        </w:rPr>
      </w:pPr>
      <w:r>
        <w:rPr>
          <w:b/>
          <w:sz w:val="28"/>
          <w:szCs w:val="20"/>
        </w:rPr>
      </w:r>
    </w:p>
    <w:p>
      <w:pPr>
        <w:pStyle w:val="Normal"/>
        <w:spacing w:lineRule="auto" w:line="360"/>
        <w:rPr/>
      </w:pPr>
      <w:r>
        <w:rPr>
          <w:b/>
          <w:szCs w:val="20"/>
        </w:rPr>
        <w:t>Processo nº:</w:t>
      </w:r>
      <w:r>
        <w:rPr>
          <w:szCs w:val="20"/>
        </w:rPr>
        <w:t xml:space="preserve"> </w:t>
      </w:r>
      <w:r>
        <w:rPr>
          <w:szCs w:val="20"/>
        </w:rPr>
        <w:t xml:space="preserve">002035/2024</w:t>
      </w:r>
    </w:p>
    <w:p>
      <w:pPr>
        <w:pStyle w:val="Normal"/>
        <w:spacing w:lineRule="auto" w:line="360"/>
        <w:ind w:hanging="1134" w:left="1134" w:right="0"/>
        <w:jc w:val="both"/>
        <w:rPr>
          <w:b/>
          <w:bCs/>
        </w:rPr>
      </w:pPr>
      <w:r>
        <w:rPr>
          <w:b/>
          <w:szCs w:val="20"/>
        </w:rPr>
        <w:t xml:space="preserve">Assunto: 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EXECUÇÃO DA DECISÃO PROFERIDA NOS AUTOS DO PROCESSO Nº 005323/2018 - TC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Servidor(a):</w:t>
      </w:r>
      <w:r>
        <w:rPr>
          <w:szCs w:val="20"/>
        </w:rPr>
        <w:t xml:space="preserve"> </w:t>
      </w:r>
      <w:r>
        <w:rPr>
          <w:szCs w:val="20"/>
        </w:rPr>
        <w:t xml:space="preserve">HAROLDO GOMES DA SILVA (CPF: 45536996487)</w:t>
      </w:r>
    </w:p>
    <w:p>
      <w:pPr>
        <w:pStyle w:val="Normal"/>
        <w:spacing w:lineRule="auto" w:line="360"/>
        <w:ind w:hanging="851" w:left="851" w:right="0"/>
        <w:jc w:val="both"/>
        <w:rPr>
          <w:b/>
          <w:szCs w:val="20"/>
        </w:rPr>
      </w:pPr>
      <w:r>
        <w:rPr>
          <w:b/>
          <w:szCs w:val="20"/>
        </w:rPr>
        <w:t xml:space="preserve">Órgão: </w:t>
      </w:r>
      <w:r>
        <w:rPr>
          <w:b w:val="false"/>
          <w:bCs w:val="false"/>
          <w:szCs w:val="20"/>
        </w:rPr>
        <w:t xml:space="preserve">SECRETARIA DE ESTADO DO TRABALHO, DA HABITAÇÃO E DA ASSISTÊNCIA SOCIAL</w:t>
      </w:r>
    </w:p>
    <w:p>
      <w:pPr>
        <w:pStyle w:val="Normal"/>
        <w:spacing w:lineRule="auto" w:line="360"/>
        <w:ind w:hanging="1134" w:left="1134" w:right="0"/>
        <w:jc w:val="both"/>
        <w:rPr/>
      </w:pPr>
      <w:r>
        <w:rPr>
          <w:b/>
          <w:szCs w:val="20"/>
        </w:rPr>
        <w:t>Valor(es) da(s) multa(s):</w:t>
      </w:r>
      <w:r>
        <w:rPr>
          <w:szCs w:val="20"/>
        </w:rPr>
        <w:t xml:space="preserve"> </w:t>
      </w:r>
      <w:r>
        <w:rPr>
          <w:szCs w:val="20"/>
        </w:rPr>
        <w:t xml:space="preserve">R$ 5.939,40 (cinco mil, novecentos e trinta e nove reais e quarenta centavos)</w:t>
      </w:r>
    </w:p>
    <w:p>
      <w:pPr>
        <w:pStyle w:val="Normal"/>
        <w:spacing w:lineRule="auto" w:line="360"/>
        <w:ind w:hanging="851" w:left="851" w:right="0"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Normal"/>
        <w:shd w:fill="D9D9D9" w:val="clear"/>
        <w:spacing w:lineRule="auto" w:line="360"/>
        <w:ind w:hanging="851" w:left="851" w:right="0"/>
        <w:jc w:val="center"/>
        <w:rPr>
          <w:b/>
          <w:szCs w:val="20"/>
        </w:rPr>
      </w:pPr>
      <w:r>
        <w:rPr>
          <w:b/>
          <w:szCs w:val="20"/>
        </w:rPr>
        <w:t>DESPACHO</w:t>
      </w:r>
    </w:p>
    <w:p>
      <w:pPr>
        <w:pStyle w:val="Normal"/>
        <w:tabs>
          <w:tab w:val="clear" w:pos="708"/>
          <w:tab w:val="left" w:pos="1692" w:leader="none"/>
        </w:tabs>
        <w:spacing w:lineRule="auto" w:line="360"/>
        <w:ind w:hanging="851" w:left="851" w:right="0"/>
        <w:rPr>
          <w:sz w:val="28"/>
        </w:rPr>
      </w:pPr>
      <w:r>
        <w:rPr>
          <w:sz w:val="28"/>
        </w:rPr>
        <w:tab/>
        <w:tab/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Em cumprimento à determinação do conselheiro-relator deste processo, consoante as disposições do art. 118, inciso I, da Lei Complementar nº 464/2012 (Lei Orgânica do TCE-RN) e do art. 25, §§ 1º, inciso I, 3º e 4º, da Resolução nº 013/2015-TCE, remetam-se os respectivos autos à Diretoria de Expediente (DE) para </w:t>
      </w:r>
      <w:r>
        <w:rPr>
          <w:b/>
          <w:szCs w:val="20"/>
          <w:u w:val="single"/>
        </w:rPr>
        <w:t>notificar</w:t>
      </w:r>
      <w:r>
        <w:rPr>
          <w:szCs w:val="20"/>
        </w:rPr>
        <w:t xml:space="preserve"> o </w:t>
      </w:r>
      <w:r>
        <w:rPr>
          <w:bCs/>
          <w:szCs w:val="20"/>
        </w:rPr>
        <w:t>órgão</w:t>
      </w:r>
      <w:r>
        <w:rPr>
          <w:b/>
          <w:bCs/>
          <w:szCs w:val="20"/>
        </w:rPr>
        <w:t xml:space="preserve"> </w:t>
      </w:r>
      <w:r>
        <w:rPr>
          <w:bCs/>
          <w:szCs w:val="20"/>
        </w:rPr>
        <w:t xml:space="preserve">ao qual o(a) servidor(a) está vinculado(a), </w:t>
      </w:r>
      <w:r>
        <w:rPr>
          <w:szCs w:val="20"/>
        </w:rPr>
        <w:t xml:space="preserve">com a finalidade de promover, no prazo de 30 (trinta) dias, o desconto integral ou parcelado do(s) </w:t>
      </w:r>
      <w:r>
        <w:rPr>
          <w:bCs/>
          <w:szCs w:val="20"/>
        </w:rPr>
        <w:t>valor(es) da(s) multa(s)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nos vencimentos, subsídios, salários ou proventos do(a) servidor(a) pertencente ao seu quadro de pessoal, em conformidade com as informações supracitadas e observados os limites previstos na legislação aplicável à espécie, devendo comprovar o repasse do(s) valor(es) perante este Tribunal de Contas, no prazo de 15 (quinze) dias a contar da efetivação do referido desconto, sob pena de imposição de multa nos termos do art. 27 da Resolução nº 013/2015-TCE. </w:t>
      </w:r>
    </w:p>
    <w:p>
      <w:pPr>
        <w:pStyle w:val="Normal"/>
        <w:spacing w:lineRule="auto" w:line="360"/>
        <w:ind w:firstLine="1701" w:right="0"/>
        <w:jc w:val="both"/>
        <w:rPr>
          <w:szCs w:val="20"/>
        </w:rPr>
      </w:pPr>
      <w:r>
        <w:rPr>
          <w:szCs w:val="20"/>
        </w:rPr>
        <w:t xml:space="preserve">O desconto tem por objetivo o pagamento da(s) multa(s) imputada(s) ao aludido(a) servidor(a), por esta Corte de Contas, e o repasse deve ser feito à </w:t>
      </w:r>
      <w:r>
        <w:rPr>
          <w:b/>
          <w:bCs/>
          <w:szCs w:val="20"/>
        </w:rPr>
        <w:t>Conta Corrente: 700.000-6, Agência: 3795-8, Titular: TCE/RN FRAP OUTRAS FONTES – Banco do Brasil S/A.</w:t>
      </w:r>
    </w:p>
    <w:p>
      <w:pPr>
        <w:pStyle w:val="Normal"/>
        <w:spacing w:lineRule="auto" w:line="360"/>
        <w:jc w:val="both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  <w:szCs w:val="20"/>
        </w:rPr>
      </w:pPr>
      <w:r>
        <w:rPr>
          <w:b/>
          <w:bCs/>
          <w:szCs w:val="20"/>
        </w:rPr>
        <w:t>Jumara Sasaki</w:t>
      </w:r>
    </w:p>
    <w:p>
      <w:pPr>
        <w:pStyle w:val="Normal"/>
        <w:jc w:val="center"/>
        <w:rPr>
          <w:szCs w:val="20"/>
        </w:rPr>
      </w:pPr>
      <w:r>
        <w:rPr>
          <w:szCs w:val="20"/>
        </w:rPr>
        <w:t>Assistente Técnica de Diretoria de Controle Externo</w:t>
      </w:r>
    </w:p>
    <w:p>
      <w:pPr>
        <w:pStyle w:val="Normal"/>
        <w:spacing w:lineRule="auto" w:line="360"/>
        <w:jc w:val="center"/>
        <w:rPr>
          <w:szCs w:val="20"/>
        </w:rPr>
      </w:pPr>
      <w:r>
        <w:rPr>
          <w:szCs w:val="20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Shárada Soares Jewur</w:t>
      </w:r>
    </w:p>
    <w:p>
      <w:pPr>
        <w:pStyle w:val="Normal"/>
        <w:jc w:val="center"/>
        <w:rPr/>
      </w:pPr>
      <w:r>
        <w:rPr/>
        <w:t>Diretora de Instrução Processual e Controle de Decisões</w:t>
      </w:r>
    </w:p>
    <w:sectPr>
      <w:footerReference w:type="default" r:id="rId3"/>
      <w:type w:val="nextPage"/>
      <w:pgSz w:w="11906" w:h="16838"/>
      <w:pgMar w:left="1134" w:right="1134" w:gutter="0" w:header="0" w:top="1134" w:footer="709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hyphenationZone w:val="0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character" w:styleId="Fontepargpadro">
    <w:name w:val="Fonte parág. padrão"/>
    <w:qFormat/>
    <w:rPr/>
  </w:style>
  <w:style w:type="character" w:styleId="CabealhoChar">
    <w:name w:val="Cabeçalho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RodapChar">
    <w:name w:val="Rodapé Char"/>
    <w:basedOn w:val="Fontepargpadro"/>
    <w:qFormat/>
    <w:rPr>
      <w:rFonts w:ascii="Times New Roman" w:hAnsi="Times New Roman" w:eastAsia="Times New Roman" w:cs="Times New Roman"/>
      <w:sz w:val="24"/>
      <w:szCs w:val="24"/>
    </w:rPr>
  </w:style>
  <w:style w:type="character" w:styleId="TextodebaloChar">
    <w:name w:val="Texto de balão Char"/>
    <w:basedOn w:val="Fontepargpadro"/>
    <w:qFormat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59</TotalTime>
  <Application>LibreOffice/24.8.5.2$Linux_X86_64 LibreOffice_project/27b361b745d0ea8f99bc93dfcb7a39098dfa5fff</Application>
  <AppVersion>15.0000</AppVersion>
  <Pages>1</Pages>
  <Words>238</Words>
  <Characters>1348</Characters>
  <CharactersWithSpaces>1576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2025-03-11T11:44:00Z</dcterms:created>
  <dc:creator>10839844468</dc:creator>
  <dc:description/>
  <dc:language>en-US</dc:language>
  <cp:lastModifiedBy/>
  <cp:lastPrinted>2025-02-05T08:37:00Z</cp:lastPrinted>
  <dcterms:modified xsi:type="dcterms:W3CDTF">2025-03-16T17:36:02Z</dcterms:modified>
  <cp:revision>5</cp:revision>
  <dc:subject/>
  <dc:title/>
  <dc:identifier/>
</cp:coreProperties>
</file>