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003392/2024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700788/2012 -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MANOEL MARCONE BEZERRA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JANDAÍRA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R$ 8.725,48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