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D28"/>
          <w:sz w:val="26"/>
        </w:rPr>
        <w:t>FLUXO INTERNO DA CCD PARA REGISTRO DE BENEFÍCIOS NO SISBENEFÍCIOS</w:t>
      </w:r>
    </w:p>
    <w:p>
      <w:pPr>
        <w:jc w:val="center"/>
      </w:pPr>
      <w:r>
        <w:rPr>
          <w:i/>
        </w:rPr>
        <w:t>Coordenadoria de Controle de Decisões (CCD/DIP) — proposta de arranjo interno</w:t>
      </w:r>
    </w:p>
    <w:p>
      <w:pPr>
        <w:jc w:val="both"/>
      </w:pPr>
      <w:r>
        <w:t>Base normativa: Resolução n.º 027/2021-TCE (art. 6.º, § 1.º, IV, na redação da Resolução n.º 029/2025-TCE) e Manual de Quantificação de Benefícios das Ações de Controle Externo do TCE/RN (itens 2.2, 3.5 e 3.6).</w:t>
      </w:r>
    </w:p>
    <w:p>
      <w:r>
        <w:rPr>
          <w:b/>
          <w:color w:val="2E5B3C"/>
        </w:rPr>
        <w:t>1. Escopo da CCD</w:t>
      </w:r>
    </w:p>
    <w:p>
      <w:pPr>
        <w:jc w:val="both"/>
      </w:pPr>
      <w:r>
        <w:t>A CCD registra benefícios em estágio POTENCIAL e EFETIVO decorrentes do cumprimento de decisões singulares ou colegiadas, inclusive os relativos à homologação de Termo de Ajustamento de Gestão (TAG) e à expedição de certidão de inscrição em dívida ativa (art. 339, III, IV e V, do Regimento Interno), ressalvadas as matérias de atos de admissão (inciso I) e de aposentadorias e pensões (inciso II).</w:t>
      </w:r>
    </w:p>
    <w:p>
      <w:r>
        <w:rPr>
          <w:b/>
          <w:color w:val="2E5B3C"/>
        </w:rPr>
        <w:t>2. Mapeamento: evento de controle → estágio de benefício</w:t>
      </w:r>
    </w:p>
    <w:p>
      <w:pPr>
        <w:jc w:val="center"/>
      </w:pPr>
      <w:r>
        <w:rPr>
          <w:b/>
          <w:color w:val="1A3D28"/>
        </w:rPr>
        <w:t>Quadro 1 – Eventos de controle da CCD e estágios de benefício correspondentes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B3C"/>
          </w:tcPr>
          <w:p>
            <w:r>
              <w:rPr>
                <w:b/>
                <w:color w:val="FFFFFF"/>
                <w:sz w:val="18"/>
              </w:rPr>
              <w:t>Evento no controle de decisões</w:t>
            </w:r>
          </w:p>
        </w:tc>
        <w:tc>
          <w:tcPr>
            <w:tcW w:type="dxa" w:w="1728"/>
            <w:shd w:val="clear" w:fill="2E5B3C"/>
          </w:tcPr>
          <w:p>
            <w:r>
              <w:rPr>
                <w:b/>
                <w:color w:val="FFFFFF"/>
                <w:sz w:val="18"/>
              </w:rPr>
              <w:t>Estágio</w:t>
            </w:r>
          </w:p>
        </w:tc>
        <w:tc>
          <w:tcPr>
            <w:tcW w:type="dxa" w:w="1728"/>
            <w:shd w:val="clear" w:fill="2E5B3C"/>
          </w:tcPr>
          <w:p>
            <w:r>
              <w:rPr>
                <w:b/>
                <w:color w:val="FFFFFF"/>
                <w:sz w:val="18"/>
              </w:rPr>
              <w:t>Tipo (Manual)</w:t>
            </w:r>
          </w:p>
        </w:tc>
        <w:tc>
          <w:tcPr>
            <w:tcW w:type="dxa" w:w="1728"/>
            <w:shd w:val="clear" w:fill="2E5B3C"/>
          </w:tcPr>
          <w:p>
            <w:r>
              <w:rPr>
                <w:b/>
                <w:color w:val="FFFFFF"/>
                <w:sz w:val="18"/>
              </w:rPr>
              <w:t>Quem registra</w:t>
            </w:r>
          </w:p>
        </w:tc>
        <w:tc>
          <w:tcPr>
            <w:tcW w:type="dxa" w:w="1728"/>
            <w:shd w:val="clear" w:fill="2E5B3C"/>
          </w:tcPr>
          <w:p>
            <w:r>
              <w:rPr>
                <w:b/>
                <w:color w:val="FFFFFF"/>
                <w:sz w:val="18"/>
              </w:rPr>
              <w:t>Quando</w:t>
            </w:r>
          </w:p>
        </w:tc>
      </w:tr>
      <w:tr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Decisão definitiva com multa e/ou débito recebida para cumprimento (triagem/marcadores)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Potencial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4.1 Sanção / 4.2.1 Débito imputado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Servidor da triagem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No ato da triagem, se não registrado pela SECEX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8"/>
              </w:rPr>
              <w:t>Multa recolhida (boleto) ou repasse conciliado no FRAP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Efetivo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4.1 Sanção (multa)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Responsável pelo controle de arrecadação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Na conciliação mensal</w:t>
            </w:r>
          </w:p>
        </w:tc>
      </w:tr>
      <w:tr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Débito ressarcido (integral ou parcela de parcelamento quitada)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Efetivo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4.2.1 Débito imputado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Responsável pelo controle de arrecadação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Na conciliação mensal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8"/>
              </w:rPr>
              <w:t>Desconto em folha implementado / parcela descontada confirmada (SIAI)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Efetivo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4.1 / 4.2.1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Responsável pelo monitoramento de desconto em folha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Na verificação mensal SIAI</w:t>
            </w:r>
          </w:p>
        </w:tc>
      </w:tr>
      <w:tr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Certidão de inscrição em dívida ativa expedida (art. 339, V, RI)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Efetivo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Conforme a obrigação inscrita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Responsável pelo controle de dívida ativa (PGE)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Na confirmação da inscrição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8"/>
              </w:rPr>
              <w:t>Cumprimento de obrigação de fazer/não fazer monitorada pela CCD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Efetivo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4.3 / 4.4 / 4.5, conforme o caso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Servidor responsável pelo monitoramento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8"/>
              </w:rPr>
              <w:t>Na certificação do cumprimento</w:t>
            </w:r>
          </w:p>
        </w:tc>
      </w:tr>
      <w:tr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TAG homologado cumprido (art. 339, IV, RI)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Efetivo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Conforme a obrigação pactuada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Servidor designado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color w:val="333333"/>
                <w:sz w:val="18"/>
              </w:rPr>
              <w:t>Na certificação do cumprimento</w:t>
            </w:r>
          </w:p>
        </w:tc>
      </w:tr>
    </w:tbl>
    <w:p>
      <w:r>
        <w:rPr>
          <w:b/>
          <w:color w:val="2E5B3C"/>
        </w:rPr>
        <w:t>3. Regras de registro</w:t>
      </w:r>
    </w:p>
    <w:p>
      <w:pPr>
        <w:jc w:val="both"/>
      </w:pPr>
      <w:r>
        <w:t>1. O benefício efetivo é sempre vinculado ao benefício potencial correspondente registrado no processo original (Manual, item 3.6); identificado benefício efetivo sem potencial prévio, faz-se novo registro no processo original, qualificado como “Benefício efetivo”.</w:t>
      </w:r>
    </w:p>
    <w:p>
      <w:pPr>
        <w:jc w:val="both"/>
      </w:pPr>
      <w:r>
        <w:t>2. Multa e débito são registrados como benefício quantitativo financeiro, pelo valor da decisão (potencial) e pelo valor comprovadamente recolhido (efetivo), com atualização monetária quando cabível e sem inclusão de juros (Manual, item 4.2.1).</w:t>
      </w:r>
    </w:p>
    <w:p>
      <w:pPr>
        <w:jc w:val="both"/>
      </w:pPr>
      <w:r>
        <w:t>3. A caracterização (tipo, subtipo e área temática) segue a lista fechada do Manual e a relação de áreas temáticas divulgada pela SECEX.</w:t>
      </w:r>
    </w:p>
    <w:p>
      <w:pPr>
        <w:jc w:val="both"/>
      </w:pPr>
      <w:r>
        <w:t>4. Os registros de multa e débito dispensam memória de cálculo (art. 6.º, § 3.º, da Res. n.º 027/2021-TCE); os demais benefícios quantitativos exigem memória de cálculo ou descrição.</w:t>
      </w:r>
    </w:p>
    <w:p>
      <w:r>
        <w:rPr>
          <w:b/>
          <w:color w:val="2E5B3C"/>
        </w:rPr>
        <w:t>4. Papéis e validação</w:t>
      </w:r>
    </w:p>
    <w:p>
      <w:pPr>
        <w:pStyle w:val="ListBullet"/>
        <w:jc w:val="both"/>
      </w:pPr>
      <w:r>
        <w:t>Servidores da CCD (triagem, arrecadação, desconto em folha, dívida ativa, monitoramento): identificam o evento e lançam o registro no SisBenefícios.</w:t>
      </w:r>
    </w:p>
    <w:p>
      <w:pPr>
        <w:pStyle w:val="ListBullet"/>
        <w:jc w:val="both"/>
      </w:pPr>
      <w:r>
        <w:t>Coordenador da CCD: revisa os lançamentos do período (valor, estágio, vinculação e tipologia) antes do envio à validação.</w:t>
      </w:r>
    </w:p>
    <w:p>
      <w:pPr>
        <w:pStyle w:val="ListBullet"/>
        <w:jc w:val="both"/>
      </w:pPr>
      <w:r>
        <w:t>Diretor(a) da DIP: valida o consolidado mensal e acompanha o desempenho da equipe na aplicação dos controles.</w:t>
      </w:r>
    </w:p>
    <w:p>
      <w:pPr>
        <w:pStyle w:val="ListBullet"/>
        <w:jc w:val="both"/>
      </w:pPr>
      <w:r>
        <w:t>SECEX: controle de qualidade, validação e homologação dos benefícios antes da divulgação externa (art. 7.º, III e V, da Res. n.º 027/2021-TCE).</w:t>
      </w:r>
    </w:p>
    <w:p>
      <w:r>
        <w:rPr>
          <w:b/>
          <w:color w:val="2E5B3C"/>
        </w:rPr>
        <w:t>5. Periodicidade</w:t>
      </w:r>
    </w:p>
    <w:p>
      <w:pPr>
        <w:jc w:val="both"/>
      </w:pPr>
      <w:r>
        <w:t>Ciclo mensal, acoplado às rotinas já existentes da CCD (conciliação da arrecadação, verificação mensal do desconto em folha e monitoramento de decisões), com consolidação e validação do Coordenador e do(a) Diretor(a) até o dia 10 do mês subsequente.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