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F2A41" w14:textId="77777777" w:rsidR="00DF597F" w:rsidRDefault="008F60D8">
      <w:pPr>
        <w:pStyle w:val="Recuodecorpodetexto"/>
        <w:ind w:left="0"/>
        <w:rPr>
          <w:sz w:val="23"/>
        </w:rPr>
      </w:pPr>
      <w:r>
        <w:rPr>
          <w:b/>
          <w:bCs/>
          <w:sz w:val="23"/>
        </w:rPr>
        <w:t>Processo:</w:t>
      </w:r>
      <w:r>
        <w:rPr>
          <w:sz w:val="23"/>
        </w:rPr>
        <w:t xml:space="preserve"> 000.068/2024 – TC</w:t>
      </w:r>
    </w:p>
    <w:p w14:paraId="1144BF88" w14:textId="77777777" w:rsidR="00DF597F" w:rsidRDefault="008F60D8">
      <w:pPr>
        <w:pStyle w:val="Recuodecorpodetexto"/>
        <w:ind w:left="0"/>
      </w:pPr>
      <w:r>
        <w:rPr>
          <w:b/>
          <w:bCs/>
          <w:sz w:val="23"/>
        </w:rPr>
        <w:t>Órgão jurisdicionado:</w:t>
      </w:r>
      <w:r>
        <w:rPr>
          <w:sz w:val="23"/>
        </w:rPr>
        <w:t xml:space="preserve"> Prefeituras Municipais de Cruzeta/RN, Jucurutu/RN e Lagoa Nova/RN</w:t>
      </w:r>
    </w:p>
    <w:p w14:paraId="15747590" w14:textId="77777777" w:rsidR="00DF597F" w:rsidRDefault="008F60D8">
      <w:pPr>
        <w:pStyle w:val="Recuodecorpodetexto"/>
        <w:ind w:left="0"/>
      </w:pPr>
      <w:r>
        <w:rPr>
          <w:b/>
          <w:bCs/>
          <w:sz w:val="23"/>
        </w:rPr>
        <w:t>Assunto:</w:t>
      </w:r>
      <w:r>
        <w:rPr>
          <w:sz w:val="23"/>
        </w:rPr>
        <w:t xml:space="preserve"> Pedido de Reconsideração</w:t>
      </w:r>
    </w:p>
    <w:p w14:paraId="2FCECEC9" w14:textId="77777777" w:rsidR="00DF597F" w:rsidRDefault="008F60D8">
      <w:pPr>
        <w:pStyle w:val="Recuodecorpodetexto"/>
        <w:ind w:left="0"/>
      </w:pPr>
      <w:r>
        <w:rPr>
          <w:b/>
          <w:bCs/>
          <w:sz w:val="23"/>
        </w:rPr>
        <w:t>Recorrente:</w:t>
      </w:r>
      <w:r>
        <w:rPr>
          <w:sz w:val="23"/>
        </w:rPr>
        <w:t xml:space="preserve"> Fernanda de Paula Sociedade Individual de Advocacia – CNPJ 48.581.488/0001-14</w:t>
      </w:r>
    </w:p>
    <w:p w14:paraId="2BDFB4B6" w14:textId="77777777" w:rsidR="00DF597F" w:rsidRDefault="008F60D8">
      <w:pPr>
        <w:pStyle w:val="Recuodecorpodetexto"/>
        <w:ind w:left="0"/>
        <w:rPr>
          <w:sz w:val="23"/>
        </w:rPr>
      </w:pPr>
      <w:r>
        <w:rPr>
          <w:b/>
          <w:bCs/>
          <w:sz w:val="23"/>
        </w:rPr>
        <w:t>Relator:</w:t>
      </w:r>
      <w:r>
        <w:rPr>
          <w:sz w:val="23"/>
        </w:rPr>
        <w:t xml:space="preserve"> Conselheiro Francisco Potiguar Cavalcanti Júnior</w:t>
      </w:r>
    </w:p>
    <w:p w14:paraId="506C07C4" w14:textId="582B4A8A" w:rsidR="00DF597F" w:rsidRDefault="008F60D8">
      <w:pPr>
        <w:spacing w:after="120"/>
        <w:ind w:left="2268"/>
        <w:jc w:val="both"/>
        <w:rPr>
          <w:b/>
          <w:iCs/>
          <w:color w:val="000000"/>
          <w:sz w:val="20"/>
        </w:rPr>
      </w:pPr>
      <w:r>
        <w:rPr>
          <w:b/>
          <w:iCs/>
          <w:color w:val="000000"/>
          <w:sz w:val="20"/>
        </w:rPr>
        <w:t>PEDIDO DE RECONSIDERAÇÃO. CONTRATAÇÃO DE SOCIEDADE DE ADVOCACIA POR INEXIGIBILIDADE. HONORÁRIOS AD EXITUM. AUSÊNCIA DE PREÇO CERTO. NULIDADE MANTIDA. TETO INDENIZATÓRIO. APLICAÇÃO ANALÓGICA DO ART. 85 DO CPC. INCIDÊNCIA PROGRESSIVA POR FAIXAS. PERCENTUAIS MÍNIMOS. APURAÇÃO CICLO A CICLO. SALÁRIO-MÍNIMO DO EXERCÍCIO CORRESPONDENTE A CADA CICLO. AJUSTE METODOLÓGICO DA LIQUIDAÇÃO. VEDAÇÃO SUMULADA AO PAGAMENTO ANTECIPADO. SUBMISSÃO AO REGIME JURÍDICO ADMINISTRATIVO. RECURSO CONHECIDO E PARCIALMENTE PROVIDO.</w:t>
      </w:r>
    </w:p>
    <w:p w14:paraId="5B72CF21" w14:textId="77777777" w:rsidR="00DF597F" w:rsidRDefault="008F60D8">
      <w:pPr>
        <w:spacing w:after="120"/>
        <w:ind w:left="2268"/>
        <w:jc w:val="both"/>
        <w:rPr>
          <w:bCs/>
          <w:color w:val="000000"/>
          <w:sz w:val="20"/>
        </w:rPr>
      </w:pPr>
      <w:r>
        <w:rPr>
          <w:b/>
          <w:color w:val="000000"/>
          <w:sz w:val="20"/>
        </w:rPr>
        <w:t>1. Irregularidades Identificadas:</w:t>
      </w:r>
      <w:r>
        <w:rPr>
          <w:bCs/>
          <w:color w:val="000000"/>
          <w:sz w:val="20"/>
        </w:rPr>
        <w:t xml:space="preserve"> (i) contratação direta de sociedade de advocacia pelos Municípios de Cruzeta/RN, Jucurutu/RN e Lagoa Nova/RN, com remuneração de 20% sobre o proveito econômico e sem preço certo (art. 55, III, da Lei nº 8.666/1993; art. 92, V, da Lei nº 14.133/2021); (</w:t>
      </w:r>
      <w:proofErr w:type="spellStart"/>
      <w:r>
        <w:rPr>
          <w:bCs/>
          <w:color w:val="000000"/>
          <w:sz w:val="20"/>
        </w:rPr>
        <w:t>ii</w:t>
      </w:r>
      <w:proofErr w:type="spellEnd"/>
      <w:r>
        <w:rPr>
          <w:bCs/>
          <w:color w:val="000000"/>
          <w:sz w:val="20"/>
        </w:rPr>
        <w:t>) vinculação da contraprestação a receita pública específica (art. 167, IV, da CF); (</w:t>
      </w:r>
      <w:proofErr w:type="spellStart"/>
      <w:r>
        <w:rPr>
          <w:bCs/>
          <w:color w:val="000000"/>
          <w:sz w:val="20"/>
        </w:rPr>
        <w:t>iii</w:t>
      </w:r>
      <w:proofErr w:type="spellEnd"/>
      <w:r>
        <w:rPr>
          <w:bCs/>
          <w:color w:val="000000"/>
          <w:sz w:val="20"/>
        </w:rPr>
        <w:t>) ausência de justificativa prévia de preço e de sua compatibilidade, requisito do Tema nº 309/STF; e (</w:t>
      </w:r>
      <w:proofErr w:type="spellStart"/>
      <w:r>
        <w:rPr>
          <w:bCs/>
          <w:color w:val="000000"/>
          <w:sz w:val="20"/>
        </w:rPr>
        <w:t>iv</w:t>
      </w:r>
      <w:proofErr w:type="spellEnd"/>
      <w:r>
        <w:rPr>
          <w:bCs/>
          <w:color w:val="000000"/>
          <w:sz w:val="20"/>
        </w:rPr>
        <w:t>) antecipação de honorários fundada em decisão ainda passível de revisão.</w:t>
      </w:r>
    </w:p>
    <w:p w14:paraId="5E811887" w14:textId="77777777" w:rsidR="00DF597F" w:rsidRDefault="008F60D8">
      <w:pPr>
        <w:spacing w:after="120"/>
        <w:ind w:left="2268"/>
        <w:jc w:val="both"/>
      </w:pPr>
      <w:r>
        <w:rPr>
          <w:b/>
          <w:color w:val="000000"/>
          <w:sz w:val="20"/>
        </w:rPr>
        <w:t>2. Alegações recursais:</w:t>
      </w:r>
      <w:r>
        <w:rPr>
          <w:bCs/>
          <w:color w:val="000000"/>
          <w:sz w:val="20"/>
        </w:rPr>
        <w:t xml:space="preserve"> (i) inobservância da progressividade por faixas (art. 85, §§ 3º e 5º, do CPC); (</w:t>
      </w:r>
      <w:proofErr w:type="spellStart"/>
      <w:r>
        <w:rPr>
          <w:bCs/>
          <w:color w:val="000000"/>
          <w:sz w:val="20"/>
        </w:rPr>
        <w:t>ii</w:t>
      </w:r>
      <w:proofErr w:type="spellEnd"/>
      <w:r>
        <w:rPr>
          <w:bCs/>
          <w:color w:val="000000"/>
          <w:sz w:val="20"/>
        </w:rPr>
        <w:t>) reconhecimento, pelo próprio julgado, da efetiva prestação dos serviços; (</w:t>
      </w:r>
      <w:proofErr w:type="spellStart"/>
      <w:r>
        <w:rPr>
          <w:bCs/>
          <w:color w:val="000000"/>
          <w:sz w:val="20"/>
        </w:rPr>
        <w:t>iii</w:t>
      </w:r>
      <w:proofErr w:type="spellEnd"/>
      <w:r>
        <w:rPr>
          <w:bCs/>
          <w:color w:val="000000"/>
          <w:sz w:val="20"/>
        </w:rPr>
        <w:t>) inaplicabilidade do art. 85 do CPC; (</w:t>
      </w:r>
      <w:proofErr w:type="spellStart"/>
      <w:r>
        <w:rPr>
          <w:bCs/>
          <w:color w:val="000000"/>
          <w:sz w:val="20"/>
        </w:rPr>
        <w:t>iv</w:t>
      </w:r>
      <w:proofErr w:type="spellEnd"/>
      <w:r>
        <w:rPr>
          <w:bCs/>
          <w:color w:val="000000"/>
          <w:sz w:val="20"/>
        </w:rPr>
        <w:t xml:space="preserve">) inexistência de </w:t>
      </w:r>
      <w:proofErr w:type="spellStart"/>
      <w:r>
        <w:rPr>
          <w:bCs/>
          <w:color w:val="000000"/>
          <w:sz w:val="20"/>
        </w:rPr>
        <w:t>dano</w:t>
      </w:r>
      <w:proofErr w:type="spellEnd"/>
      <w:r>
        <w:rPr>
          <w:bCs/>
          <w:color w:val="000000"/>
          <w:sz w:val="20"/>
        </w:rPr>
        <w:t xml:space="preserve"> ao erário; (v) contradição interna do julgado; (vi) natureza administrativa e anual do procedimento perante a ANM; (</w:t>
      </w:r>
      <w:proofErr w:type="spellStart"/>
      <w:r>
        <w:rPr>
          <w:bCs/>
          <w:color w:val="000000"/>
          <w:sz w:val="20"/>
        </w:rPr>
        <w:t>vii</w:t>
      </w:r>
      <w:proofErr w:type="spellEnd"/>
      <w:r>
        <w:rPr>
          <w:bCs/>
          <w:color w:val="000000"/>
          <w:sz w:val="20"/>
        </w:rPr>
        <w:t>) fixação do teto sobre valores estimados; (</w:t>
      </w:r>
      <w:proofErr w:type="spellStart"/>
      <w:r>
        <w:rPr>
          <w:bCs/>
          <w:color w:val="000000"/>
          <w:sz w:val="20"/>
        </w:rPr>
        <w:t>viii</w:t>
      </w:r>
      <w:proofErr w:type="spellEnd"/>
      <w:r>
        <w:rPr>
          <w:bCs/>
          <w:color w:val="000000"/>
          <w:sz w:val="20"/>
        </w:rPr>
        <w:t>) enriquecimento sem causa da Administração; (</w:t>
      </w:r>
      <w:proofErr w:type="spellStart"/>
      <w:r>
        <w:rPr>
          <w:bCs/>
          <w:color w:val="000000"/>
          <w:sz w:val="20"/>
        </w:rPr>
        <w:t>ix</w:t>
      </w:r>
      <w:proofErr w:type="spellEnd"/>
      <w:r>
        <w:rPr>
          <w:bCs/>
          <w:color w:val="000000"/>
          <w:sz w:val="20"/>
        </w:rPr>
        <w:t>) precedente diverso da 1ª Câmara desta Corte; e (x) decisões do TJRN reconhecendo a legalidade de contratação análoga.</w:t>
      </w:r>
    </w:p>
    <w:p w14:paraId="1996D055" w14:textId="77777777" w:rsidR="00DF597F" w:rsidRDefault="008F60D8">
      <w:pPr>
        <w:spacing w:after="120"/>
        <w:ind w:left="2268"/>
        <w:jc w:val="both"/>
      </w:pPr>
      <w:r>
        <w:rPr>
          <w:b/>
          <w:color w:val="000000"/>
          <w:sz w:val="20"/>
        </w:rPr>
        <w:t>3. Exame Técnico:</w:t>
      </w:r>
      <w:r>
        <w:rPr>
          <w:bCs/>
          <w:color w:val="000000"/>
          <w:sz w:val="20"/>
        </w:rPr>
        <w:t xml:space="preserve"> (i) subsiste o requisito da compatibilidade do preço (Tema nº 309/STF), ainda que reconhecidas a singularidade do objeto e a notória especialização do contratado, sem contradição no decisum; (ii) por envolver recursos públicos e avença sem concorrência, a relação contratual submete-se ao regime jurídico administrativo, e não à liberdade contratual privada invocada, reforçado pela Análise Econômica do Direito (assimetria informacional, Kaldor-Hicks e utilidade marginal decrescente); (iii) os acórdãos da 1ª Câmara invocados, proferidos em cognição sumária sem enfrentar a ratio decidendi do julgado recorrido, não representam orientação consolidada; (iv) as decisões do TJRN estão sobrestadas pelo Tema nº 1.255; (v) a integração completa do art. 85 do CPC impõe incidência progressiva por faixas (§ 5º), com percentuais mínimos, apuração ciclo a ciclo e salário-mínimo do exercício correspondente, resultando em restituição de até R$ 1.804.803,79; (vi) subsiste o dano ao erário, sem enriquecimento sem causa, por ser a antecipação de honorários ilicitude autônoma (Súmula nº 01); e (vii) rejeitam-se os distinguishings suscitados.</w:t>
      </w:r>
    </w:p>
    <w:p w14:paraId="49C305D3" w14:textId="77777777" w:rsidR="00DF597F" w:rsidRDefault="008F60D8">
      <w:pPr>
        <w:spacing w:after="120"/>
        <w:ind w:left="2268"/>
        <w:jc w:val="both"/>
      </w:pPr>
      <w:r>
        <w:rPr>
          <w:b/>
          <w:color w:val="000000"/>
          <w:sz w:val="20"/>
        </w:rPr>
        <w:t>4. Conclusões e Encaminhamentos:</w:t>
      </w:r>
      <w:r>
        <w:rPr>
          <w:bCs/>
          <w:color w:val="000000"/>
          <w:sz w:val="20"/>
        </w:rPr>
        <w:t xml:space="preserve"> (i) conhecimento do recurso; (</w:t>
      </w:r>
      <w:proofErr w:type="spellStart"/>
      <w:r>
        <w:rPr>
          <w:bCs/>
          <w:color w:val="000000"/>
          <w:sz w:val="20"/>
        </w:rPr>
        <w:t>ii</w:t>
      </w:r>
      <w:proofErr w:type="spellEnd"/>
      <w:r>
        <w:rPr>
          <w:bCs/>
          <w:color w:val="000000"/>
          <w:sz w:val="20"/>
        </w:rPr>
        <w:t>) provimento parcial, exclusivamente para adequação da metodologia de liquidação, com fixação do salário-mínimo aplicável a cada ciclo de atuação e dos montantes a restituir; (</w:t>
      </w:r>
      <w:proofErr w:type="spellStart"/>
      <w:r>
        <w:rPr>
          <w:bCs/>
          <w:color w:val="000000"/>
          <w:sz w:val="20"/>
        </w:rPr>
        <w:t>iii</w:t>
      </w:r>
      <w:proofErr w:type="spellEnd"/>
      <w:r>
        <w:rPr>
          <w:bCs/>
          <w:color w:val="000000"/>
          <w:sz w:val="20"/>
        </w:rPr>
        <w:t>) manutenção, no mais, do Acórdão nº 197/2026-TC; (</w:t>
      </w:r>
      <w:proofErr w:type="spellStart"/>
      <w:r>
        <w:rPr>
          <w:bCs/>
          <w:color w:val="000000"/>
          <w:sz w:val="20"/>
        </w:rPr>
        <w:t>iv</w:t>
      </w:r>
      <w:proofErr w:type="spellEnd"/>
      <w:r>
        <w:rPr>
          <w:bCs/>
          <w:color w:val="000000"/>
          <w:sz w:val="20"/>
        </w:rPr>
        <w:t>) retorno dos autos à Coordenadoria de Controle de Decisões; e (v) remessa ao Ministério Público de Contas.</w:t>
      </w:r>
    </w:p>
    <w:p w14:paraId="59C34B4A" w14:textId="77777777" w:rsidR="00DF597F" w:rsidRDefault="00DF597F">
      <w:pPr>
        <w:spacing w:after="120"/>
        <w:rPr>
          <w:bCs/>
          <w:color w:val="000000"/>
          <w:sz w:val="20"/>
        </w:rPr>
      </w:pPr>
    </w:p>
    <w:p w14:paraId="342C3558" w14:textId="77777777" w:rsidR="00DF597F" w:rsidRDefault="008F60D8">
      <w:pPr>
        <w:pStyle w:val="Default"/>
        <w:spacing w:after="120" w:line="360" w:lineRule="auto"/>
        <w:jc w:val="center"/>
        <w:rPr>
          <w:b/>
          <w:sz w:val="28"/>
          <w:u w:val="single"/>
        </w:rPr>
      </w:pPr>
      <w:r>
        <w:rPr>
          <w:b/>
          <w:sz w:val="28"/>
          <w:u w:val="single"/>
        </w:rPr>
        <w:lastRenderedPageBreak/>
        <w:t>INFORMAÇÃO TÉCNICA CONCLUSIVA</w:t>
      </w:r>
    </w:p>
    <w:p w14:paraId="1F07342F" w14:textId="77777777" w:rsidR="00DF597F" w:rsidRDefault="00DF597F">
      <w:pPr>
        <w:pStyle w:val="Default"/>
        <w:spacing w:after="120" w:line="360" w:lineRule="auto"/>
        <w:jc w:val="center"/>
        <w:rPr>
          <w:b/>
          <w:sz w:val="28"/>
          <w:u w:val="single"/>
        </w:rPr>
      </w:pPr>
    </w:p>
    <w:tbl>
      <w:tblPr>
        <w:tblW w:w="9072" w:type="dxa"/>
        <w:tblLayout w:type="fixed"/>
        <w:tblLook w:val="04A0" w:firstRow="1" w:lastRow="0" w:firstColumn="1" w:lastColumn="0" w:noHBand="0" w:noVBand="1"/>
      </w:tblPr>
      <w:tblGrid>
        <w:gridCol w:w="9072"/>
      </w:tblGrid>
      <w:tr w:rsidR="00DF597F" w14:paraId="5929316B" w14:textId="77777777" w:rsidTr="007838ED">
        <w:tc>
          <w:tcPr>
            <w:tcW w:w="9072" w:type="dxa"/>
            <w:tcBorders>
              <w:top w:val="single" w:sz="4" w:space="0" w:color="BFBFBF"/>
              <w:bottom w:val="single" w:sz="4" w:space="0" w:color="BFBFBF"/>
            </w:tcBorders>
            <w:shd w:val="clear" w:color="auto" w:fill="D9D9D9"/>
            <w:vAlign w:val="center"/>
          </w:tcPr>
          <w:p w14:paraId="72699FED" w14:textId="77777777" w:rsidR="00DF597F" w:rsidRDefault="008F60D8">
            <w:pPr>
              <w:keepNext/>
              <w:spacing w:after="120"/>
              <w:ind w:hanging="8"/>
              <w:rPr>
                <w:b/>
                <w:smallCaps/>
                <w:color w:val="000000"/>
                <w:sz w:val="26"/>
              </w:rPr>
            </w:pPr>
            <w:r>
              <w:rPr>
                <w:b/>
                <w:smallCaps/>
                <w:color w:val="000000"/>
                <w:sz w:val="26"/>
              </w:rPr>
              <w:t>1. Relatório</w:t>
            </w:r>
          </w:p>
        </w:tc>
      </w:tr>
    </w:tbl>
    <w:p w14:paraId="1C59CC7C" w14:textId="77777777" w:rsidR="00DF597F" w:rsidRDefault="00DF597F">
      <w:pPr>
        <w:pStyle w:val="Default"/>
        <w:spacing w:after="120" w:line="360" w:lineRule="auto"/>
        <w:jc w:val="both"/>
      </w:pPr>
    </w:p>
    <w:p w14:paraId="3C067921" w14:textId="77777777" w:rsidR="00DF597F" w:rsidRDefault="008F60D8">
      <w:pPr>
        <w:pStyle w:val="Default"/>
        <w:spacing w:after="120" w:line="360" w:lineRule="auto"/>
        <w:jc w:val="both"/>
      </w:pPr>
      <w:r>
        <w:t>1.</w:t>
      </w:r>
      <w:r>
        <w:tab/>
        <w:t xml:space="preserve">Cuida-se de Pedido de Reconsideração interposto por Fernanda de Paula Sociedade Individual de Advocacia (CNPJ nº 48.581.488/0001-14) em face do Acórdão nº 197/2026-TC, prolatado pela 2ª Câmara de Contas, na 9ª Sessão Ordinária, realizada em 23 de junho de 2026, sob a relatoria do Conselheiro </w:t>
      </w:r>
      <w:proofErr w:type="spellStart"/>
      <w:r>
        <w:t>Antonio</w:t>
      </w:r>
      <w:proofErr w:type="spellEnd"/>
      <w:r>
        <w:t xml:space="preserve"> Gilberto de Oliveira Jales, disponibilizado no Diário Oficial Eletrônico desta Corte em 3 de julho de 2026 (Evento 221).</w:t>
      </w:r>
    </w:p>
    <w:p w14:paraId="5F61B6C9" w14:textId="77777777" w:rsidR="00DF597F" w:rsidRDefault="008F60D8">
      <w:pPr>
        <w:pStyle w:val="Default"/>
        <w:spacing w:after="120" w:line="360" w:lineRule="auto"/>
        <w:jc w:val="both"/>
      </w:pPr>
      <w:r>
        <w:t>2.</w:t>
      </w:r>
      <w:r>
        <w:tab/>
        <w:t>O presente feito teve origem em peça inaugural apócrifa (Evento 1), autuada como processo seletivo e prioritário por despacho da então Relatora, Conselheira Maria Adélia Sales (Evento 4), na qual se noticiavam possíveis irregularidades em procedimentos de inexigibilidade de licitação deflagrados pelos Municípios de Cruzeta/RN, Jucurutu/RN e Lagoa Nova/RN para a contratação direta de sociedade de advocacia.</w:t>
      </w:r>
    </w:p>
    <w:p w14:paraId="42AE2804" w14:textId="77777777" w:rsidR="00DF597F" w:rsidRDefault="008F60D8">
      <w:pPr>
        <w:pStyle w:val="Default"/>
        <w:spacing w:after="120" w:line="360" w:lineRule="auto"/>
        <w:jc w:val="both"/>
      </w:pPr>
      <w:r>
        <w:t>3.</w:t>
      </w:r>
      <w:r>
        <w:tab/>
        <w:t>Em instrução preliminar, a Diretoria de Administração Municipal – DAM apresentou Informação (Evento 8), na qual identificou a ausência, nos procedimentos administrativos, de elementos aptos a demonstrar a notória especialização do contratado, a essencialidade dos serviços e o reconhecimento adequado dos requisitos legais, de modo a restar injustificada a inviabilidade de competição pressuposta pelo artigo 74, inciso III, alínea "e", da Lei Federal nº 14.133/2021, oportunidade em que propôs a suspensão cautelar dos ajustes, o desmembramento do feito e a notificação dos gestores.</w:t>
      </w:r>
    </w:p>
    <w:p w14:paraId="2E4209FB" w14:textId="77777777" w:rsidR="00DF597F" w:rsidRDefault="008F60D8">
      <w:pPr>
        <w:pStyle w:val="Default"/>
        <w:spacing w:after="120" w:line="360" w:lineRule="auto"/>
        <w:jc w:val="both"/>
      </w:pPr>
      <w:r>
        <w:t>4.</w:t>
      </w:r>
      <w:r>
        <w:tab/>
        <w:t>Ante a pluralidade de unidades jurisdicionadas envolvidas, com variedade de relatores na Lista de Jurisdicionados do biênio 2023/2024, submeteu-se ao Excelso Plenário Questão de Ordem, resolvida à unanimidade na 9ª Sessão Ordinária de 22 de fevereiro de 2024, mediante a Decisão Administrativa nº 12/2024-TC (Eventos 21 e 22), que determinou o sorteio de Relator único, com fulcro no artigo 177, § 4º, do Regimento Interno desta Corte, preservada a unidade processual.</w:t>
      </w:r>
    </w:p>
    <w:p w14:paraId="3685A492" w14:textId="77777777" w:rsidR="00DF597F" w:rsidRDefault="008F60D8">
      <w:pPr>
        <w:pStyle w:val="Default"/>
        <w:spacing w:after="120" w:line="360" w:lineRule="auto"/>
        <w:jc w:val="both"/>
      </w:pPr>
      <w:r>
        <w:t>5.</w:t>
      </w:r>
      <w:r>
        <w:tab/>
        <w:t xml:space="preserve">Redistribuídos os autos ao gabinete do Conselheiro Carlos Thompson Costa Fernandes, sobreveio decisão monocrática (Evento 28), pela qual não se conheceu a peça inaugural como denúncia ou representação, ante o descumprimento dos artigos 79 e 80, combinados com o </w:t>
      </w:r>
      <w:r>
        <w:lastRenderedPageBreak/>
        <w:t xml:space="preserve">artigo 81, da Lei Complementar Estadual nº 464/2012, recebendo-se, contudo, a Informação Técnica da unidade instrutiva como Representação do Corpo Técnico. Na mesma oportunidade, determinou-se a </w:t>
      </w:r>
      <w:proofErr w:type="spellStart"/>
      <w:r>
        <w:t>reautuação</w:t>
      </w:r>
      <w:proofErr w:type="spellEnd"/>
      <w:r>
        <w:t xml:space="preserve"> do feito, a retirada do sigilo, com fulcro no artigo 80, § 2º, do mesmo diploma, e a notificação prévia dos interessados para manifestação em setenta e duas horas, na forma do artigo 120, § 1º, da citada Lei Complementar.</w:t>
      </w:r>
    </w:p>
    <w:p w14:paraId="40074C55" w14:textId="77777777" w:rsidR="00DF597F" w:rsidRDefault="008F60D8">
      <w:pPr>
        <w:pStyle w:val="Default"/>
        <w:spacing w:after="120" w:line="360" w:lineRule="auto"/>
        <w:jc w:val="both"/>
      </w:pPr>
      <w:r>
        <w:t>6.</w:t>
      </w:r>
      <w:r>
        <w:tab/>
        <w:t xml:space="preserve">Notificados, manifestaram-se tempestivamente os Senhores </w:t>
      </w:r>
      <w:proofErr w:type="spellStart"/>
      <w:r>
        <w:t>Iogo</w:t>
      </w:r>
      <w:proofErr w:type="spellEnd"/>
      <w:r>
        <w:t xml:space="preserve"> Nielson de Queiroz e Silva, Prefeito de Jucurutu/RN, Luciano Silva Santos, Prefeito de Lagoa Nova/RN, Joaquim José de Medeiros, Prefeito de Cruzeta/RN, e a sociedade contratada, todos suscitando, entre outras razões, a incompetência desta Corte para o exame da matéria, ao fundamento de que o objeto contratual versaria sobre repasse de verbas federais (Eventos 39 a 44).</w:t>
      </w:r>
    </w:p>
    <w:p w14:paraId="730823CE" w14:textId="77777777" w:rsidR="00DF597F" w:rsidRDefault="008F60D8">
      <w:pPr>
        <w:pStyle w:val="Default"/>
        <w:spacing w:after="120" w:line="360" w:lineRule="auto"/>
        <w:jc w:val="both"/>
      </w:pPr>
      <w:r>
        <w:t>7.</w:t>
      </w:r>
      <w:r>
        <w:tab/>
        <w:t>Concluída a instrução, a DAM apresentou Informação Conclusiva (Evento 54), na qual, reformando o entendimento manifestado na fase preliminar em razão da documentação superveniente, opinou pela regularidade da matéria e pelo arquivamento do feito. No mesmo sentido manifestou-se o Ministério Público de Contas – MPC, por meio do Parecer nº 102/2024 (Evento 62), que opinou pela aprovação da matéria, com fulcro no artigo 73 da Lei Complementar Estadual nº 464/2012, e pela remessa de cópia ao Ministério Público Estadual.</w:t>
      </w:r>
    </w:p>
    <w:p w14:paraId="1A528841" w14:textId="77777777" w:rsidR="00DF597F" w:rsidRDefault="008F60D8">
      <w:pPr>
        <w:pStyle w:val="Default"/>
        <w:spacing w:after="120" w:line="360" w:lineRule="auto"/>
        <w:jc w:val="both"/>
      </w:pPr>
      <w:r>
        <w:t>8.</w:t>
      </w:r>
      <w:r>
        <w:tab/>
        <w:t>Levado o feito a julgamento, a 2ª Câmara de Contas, em dissonância com as manifestações técnica e ministerial, prolatou o Acórdão nº 262/2024-TC (Evento 75), à unanimidade, na Sessão Virtual nº 0008vª, realizada em 4 de novembro de 2024, disponibilizado no Diário Oficial Eletrônico. Consignou-se, na ocasião, não estar o processo maduro para julgamento de mérito, razão pela qual foram declarados inexistentes os documentos do processo apenso nº 300799/2024, na forma do artigo 166, § 2º, do Regimento Interno, rejeitada a preliminar de incompetência, concedida medida cautelar de ofício para suspensão imediata dos pagamentos de honorários e determinada a citação dos responsáveis.</w:t>
      </w:r>
    </w:p>
    <w:p w14:paraId="6B41E72C" w14:textId="77777777" w:rsidR="00DF597F" w:rsidRDefault="008F60D8">
      <w:pPr>
        <w:pStyle w:val="Default"/>
        <w:spacing w:after="120" w:line="360" w:lineRule="auto"/>
        <w:jc w:val="both"/>
      </w:pPr>
      <w:r>
        <w:t>9.</w:t>
      </w:r>
      <w:r>
        <w:tab/>
        <w:t xml:space="preserve">Regularmente citados, os responsáveis apresentaram razões de defesa (Eventos 88 a 104), seguindo-se fase saneadora ao longo do exercício de 2025, sob a relatoria do Conselheiro </w:t>
      </w:r>
      <w:proofErr w:type="spellStart"/>
      <w:r>
        <w:t>Antonio</w:t>
      </w:r>
      <w:proofErr w:type="spellEnd"/>
      <w:r>
        <w:t xml:space="preserve"> Gilberto de Oliveira Jales, com expedição de mandados de notificação (Eventos 126 a 129) e sucessivas manifestações do </w:t>
      </w:r>
      <w:r>
        <w:rPr>
          <w:i/>
          <w:iCs/>
        </w:rPr>
        <w:t>Parquet</w:t>
      </w:r>
      <w:r>
        <w:t xml:space="preserve"> Especial de Contas.</w:t>
      </w:r>
    </w:p>
    <w:p w14:paraId="5A4E80B6" w14:textId="77777777" w:rsidR="00DF597F" w:rsidRDefault="008F60D8">
      <w:pPr>
        <w:pStyle w:val="Default"/>
        <w:spacing w:after="120" w:line="360" w:lineRule="auto"/>
        <w:jc w:val="both"/>
      </w:pPr>
      <w:r>
        <w:t>10.</w:t>
      </w:r>
      <w:r>
        <w:tab/>
        <w:t>Por meio da Quota nº 024/2025 (Evento 120), o MPC registrou o cumprimento parcial do Acórdão nº 262/2024-TC, notadamente a efetiva suspensão dos pagamentos, cujos últimos desembolsos foram identificados nos meses de maio e junho de 2024.</w:t>
      </w:r>
    </w:p>
    <w:p w14:paraId="10ACBE61" w14:textId="77777777" w:rsidR="00DF597F" w:rsidRDefault="008F60D8">
      <w:pPr>
        <w:pStyle w:val="Default"/>
        <w:spacing w:after="120" w:line="360" w:lineRule="auto"/>
        <w:jc w:val="both"/>
      </w:pPr>
      <w:r>
        <w:lastRenderedPageBreak/>
        <w:t>11.</w:t>
      </w:r>
      <w:r>
        <w:tab/>
        <w:t xml:space="preserve">Sobrevieram, então, o Parecer nº 072/2025 (Evento 162), e o Parecer nº 105/2025 (Evento 173), nos quais o MPC, reformando sua manifestação anterior, opinou pela irregularidade da matéria, reputando ilegal a cláusula remuneratória </w:t>
      </w:r>
      <w:r>
        <w:rPr>
          <w:i/>
          <w:iCs/>
        </w:rPr>
        <w:t xml:space="preserve">ad </w:t>
      </w:r>
      <w:proofErr w:type="spellStart"/>
      <w:r>
        <w:rPr>
          <w:i/>
          <w:iCs/>
        </w:rPr>
        <w:t>exitum</w:t>
      </w:r>
      <w:proofErr w:type="spellEnd"/>
      <w:r>
        <w:t xml:space="preserve"> e propondo a adequação dos ajustes aos parâmetros do artigo 85, § 3º, do Código de Processo Civil, com restituição do excedente.</w:t>
      </w:r>
    </w:p>
    <w:p w14:paraId="4E10572B" w14:textId="77777777" w:rsidR="00DF597F" w:rsidRDefault="008F60D8">
      <w:pPr>
        <w:pStyle w:val="Default"/>
        <w:spacing w:after="120" w:line="360" w:lineRule="auto"/>
        <w:jc w:val="both"/>
      </w:pPr>
      <w:r>
        <w:t>12.</w:t>
      </w:r>
      <w:r>
        <w:tab/>
        <w:t>Apresentadas alegações finais e memoriais pelos interessados (Eventos 166 a 168) e formulada petição de sustentação oral (Evento 178), o feito foi retirado de pauta em duas oportunidades (Eventos 179 e 185), sobrevindo o Voto do Relator (Evento 189) e subsequente pedido de vistas (Evento 190).</w:t>
      </w:r>
    </w:p>
    <w:p w14:paraId="63ECF4D8" w14:textId="77777777" w:rsidR="00DF597F" w:rsidRDefault="008F60D8">
      <w:pPr>
        <w:pStyle w:val="Default"/>
        <w:spacing w:after="120" w:line="360" w:lineRule="auto"/>
        <w:jc w:val="both"/>
      </w:pPr>
      <w:r>
        <w:t>13.</w:t>
      </w:r>
      <w:r>
        <w:tab/>
        <w:t xml:space="preserve">No curso da fase de vistas, a Ordem dos Advogados do Brasil, Seccional do Rio Grande do Norte, formulou pedido de intervenção na condição de </w:t>
      </w:r>
      <w:r>
        <w:rPr>
          <w:i/>
          <w:iCs/>
        </w:rPr>
        <w:t xml:space="preserve">amicus </w:t>
      </w:r>
      <w:proofErr w:type="spellStart"/>
      <w:r>
        <w:rPr>
          <w:i/>
          <w:iCs/>
        </w:rPr>
        <w:t>curiae</w:t>
      </w:r>
      <w:proofErr w:type="spellEnd"/>
      <w:r>
        <w:t xml:space="preserve"> (Evento 206), indeferido pela Decisão nº 1/2026-TC, prolatada pela 2ª Câmara de Contas, na sessão de 26 de maio de 2026, publicada em 28 de maio de 2026, com fulcro no artigo 167, § 4º, combinado com o artigo 168, § 2º, do Regimento Interno. Submetida nova Questão de Ordem (Evento 217), conheceu-se a petição da entidade como simples petição, ante a irrecorribilidade da decisão que indefere o ingresso de </w:t>
      </w:r>
      <w:r>
        <w:rPr>
          <w:i/>
          <w:iCs/>
        </w:rPr>
        <w:t xml:space="preserve">amicus </w:t>
      </w:r>
      <w:proofErr w:type="spellStart"/>
      <w:r>
        <w:rPr>
          <w:i/>
          <w:iCs/>
        </w:rPr>
        <w:t>curiae</w:t>
      </w:r>
      <w:proofErr w:type="spellEnd"/>
      <w:r>
        <w:t>.</w:t>
      </w:r>
    </w:p>
    <w:p w14:paraId="1479F5B6" w14:textId="77777777" w:rsidR="00DF597F" w:rsidRDefault="008F60D8">
      <w:pPr>
        <w:pStyle w:val="Default"/>
        <w:spacing w:after="120" w:line="360" w:lineRule="auto"/>
        <w:jc w:val="both"/>
      </w:pPr>
      <w:r>
        <w:t>14.</w:t>
      </w:r>
      <w:r>
        <w:tab/>
        <w:t xml:space="preserve">Devolvidos os autos com o voto-vista do Conselheiro </w:t>
      </w:r>
      <w:proofErr w:type="spellStart"/>
      <w:r>
        <w:t>Antonio</w:t>
      </w:r>
      <w:proofErr w:type="spellEnd"/>
      <w:r>
        <w:t xml:space="preserve"> Ed Souza Santana (Evento 219), sobreveio o Acórdão nº 197/2026-TC (Evento 221), à unanimidade, cujo dispositivo, em síntese, (a) julgou irregular a matéria, com fulcro no artigo 75, inciso II, da Lei Complementar Estadual nº 464/2012; (b) declarou a nulidade integral dos contratos celebrados com os três Municípios; (c) fixou teto indenizatório por ciclo de atuação, nos montantes de R$ 480.000,00 (quatrocentos e oitenta mil reais) para Cruzeta/RN, R$ 320.000,00 (trezentos e vinte mil reais) para Lagoa Nova/RN e R$ 250.000,00 (duzentos e cinquenta mil reais) para Jucurutu/RN; (d) determinou a restituição ao erário dos valores excedentes, a apurar em liquidação; (e) afastou a responsabilização pecuniária dos gestores, com fulcro no artigo 28 do Decreto-Lei nº 4.657/1942; (f) concedeu medida cautelar de suspensão de pagamentos excedentes; (g) expediu determinações aos três Municípios; (h) determinou intimação quanto a contrato análogo celebrado com o Município de Serra Negra do Norte/RN; e (i) determinou a expedição de ofícios ao Ministério Público Federal, à Advocacia-Geral da União, ao Tribunal de Contas da União, à Controladoria-Geral da União e à Agência Nacional de Mineração.</w:t>
      </w:r>
    </w:p>
    <w:p w14:paraId="25D40888" w14:textId="77777777" w:rsidR="00DF597F" w:rsidRDefault="008F60D8">
      <w:pPr>
        <w:pStyle w:val="Default"/>
        <w:spacing w:after="120" w:line="360" w:lineRule="auto"/>
        <w:jc w:val="both"/>
      </w:pPr>
      <w:r>
        <w:t>15.</w:t>
      </w:r>
      <w:r>
        <w:tab/>
        <w:t>Em 9 de julho de 2026, a sociedade Fernanda de Paula Sociedade Individual de Advocacia protocolizou o Pedido de Reconsideração ora em exame (Evento 229).</w:t>
      </w:r>
    </w:p>
    <w:p w14:paraId="525812D6" w14:textId="77777777" w:rsidR="00DF597F" w:rsidRDefault="008F60D8">
      <w:pPr>
        <w:pStyle w:val="Default"/>
        <w:spacing w:after="120" w:line="360" w:lineRule="auto"/>
        <w:jc w:val="both"/>
      </w:pPr>
      <w:r>
        <w:lastRenderedPageBreak/>
        <w:t>16.</w:t>
      </w:r>
      <w:r>
        <w:tab/>
        <w:t>A Coordenadoria de Controle de Decisões – CCD apresentou Informação Instrutiva relativa à liquidação determinada no item II, alínea "d", do Acórdão nº 197/2026-TC (Evento 231), na qual, com base nos dados oficiais do Sistema Integrado de Auditoria Informatizada – SIAI, apurou pagamentos totais de R$ 2.770.490,49 (dois milhões, setecentos e setenta mil, quatrocentos e noventa reais e quarenta e nove centavos) em favor da sociedade contratada, distribuídos em vinte e sete lançamentos ocorridos entre 28 de dezembro de 2023 e 10 de junho de 2024.</w:t>
      </w:r>
    </w:p>
    <w:p w14:paraId="17D775E2" w14:textId="77777777" w:rsidR="00DF597F" w:rsidRDefault="008F60D8">
      <w:pPr>
        <w:pStyle w:val="Default"/>
        <w:spacing w:after="120" w:line="360" w:lineRule="auto"/>
        <w:jc w:val="both"/>
      </w:pPr>
      <w:r>
        <w:t>17.</w:t>
      </w:r>
      <w:r>
        <w:tab/>
        <w:t>Por despacho (Evento 234), o Conselheiro Relator originário reconheceu o preenchimento dos requisitos de admissibilidade e determinou a redistribuição do feito a membro do Excelso Plenário, por sorteio, com exclusão de sua pessoa em razão da relatoria originária, com fulcro nos artigos 174, § 2º, e 181-A do Regimento Interno.</w:t>
      </w:r>
    </w:p>
    <w:p w14:paraId="3FD22649" w14:textId="77777777" w:rsidR="00DF597F" w:rsidRDefault="008F60D8">
      <w:pPr>
        <w:pStyle w:val="Default"/>
        <w:spacing w:after="120" w:line="360" w:lineRule="auto"/>
        <w:jc w:val="both"/>
      </w:pPr>
      <w:r>
        <w:t>18.</w:t>
      </w:r>
      <w:r>
        <w:tab/>
        <w:t>Redistribuídos os autos ao gabinete do Conselheiro Francisco Potiguar Cavalcanti Júnior (Eventos 236 e 237), Sua Excelência determinou, por despacho de 29 de julho de 2026 (Evento 239), a remessa dos autos a esta Diretoria de Instrução Processual para análise das razões recursais, motivo pelo qual se elabora a presente manifestação.</w:t>
      </w:r>
    </w:p>
    <w:p w14:paraId="7C13876C" w14:textId="77777777" w:rsidR="00DF597F" w:rsidRDefault="008F60D8">
      <w:pPr>
        <w:pStyle w:val="Default"/>
        <w:spacing w:after="120" w:line="360" w:lineRule="auto"/>
        <w:jc w:val="both"/>
      </w:pPr>
      <w:r>
        <w:t>19.</w:t>
      </w:r>
      <w:r>
        <w:tab/>
        <w:t>É o relatório.</w:t>
      </w:r>
    </w:p>
    <w:p w14:paraId="143F3053" w14:textId="77777777" w:rsidR="00DF597F" w:rsidRDefault="00DF597F">
      <w:pPr>
        <w:pStyle w:val="Default"/>
        <w:spacing w:after="120"/>
      </w:pPr>
    </w:p>
    <w:tbl>
      <w:tblPr>
        <w:tblW w:w="9072" w:type="dxa"/>
        <w:tblLayout w:type="fixed"/>
        <w:tblLook w:val="04A0" w:firstRow="1" w:lastRow="0" w:firstColumn="1" w:lastColumn="0" w:noHBand="0" w:noVBand="1"/>
      </w:tblPr>
      <w:tblGrid>
        <w:gridCol w:w="9072"/>
      </w:tblGrid>
      <w:tr w:rsidR="00DF597F" w14:paraId="0C0C4793" w14:textId="77777777" w:rsidTr="007838ED">
        <w:tc>
          <w:tcPr>
            <w:tcW w:w="9072" w:type="dxa"/>
            <w:tcBorders>
              <w:top w:val="single" w:sz="4" w:space="0" w:color="BFBFBF"/>
              <w:bottom w:val="single" w:sz="4" w:space="0" w:color="BFBFBF"/>
            </w:tcBorders>
            <w:shd w:val="clear" w:color="auto" w:fill="D9D9D9"/>
            <w:vAlign w:val="center"/>
          </w:tcPr>
          <w:p w14:paraId="572D9DD1" w14:textId="77777777" w:rsidR="00DF597F" w:rsidRDefault="008F60D8">
            <w:pPr>
              <w:keepNext/>
              <w:spacing w:after="120"/>
              <w:ind w:hanging="8"/>
              <w:rPr>
                <w:b/>
                <w:smallCaps/>
                <w:color w:val="000000"/>
                <w:sz w:val="26"/>
              </w:rPr>
            </w:pPr>
            <w:r>
              <w:rPr>
                <w:b/>
                <w:smallCaps/>
                <w:color w:val="000000"/>
                <w:sz w:val="26"/>
              </w:rPr>
              <w:t>2. Exame de Admissibilidade</w:t>
            </w:r>
          </w:p>
        </w:tc>
      </w:tr>
    </w:tbl>
    <w:p w14:paraId="4E22946A" w14:textId="77777777" w:rsidR="00DF597F" w:rsidRDefault="00DF597F">
      <w:pPr>
        <w:pStyle w:val="Default"/>
        <w:spacing w:after="120" w:line="360" w:lineRule="auto"/>
        <w:jc w:val="both"/>
      </w:pPr>
    </w:p>
    <w:p w14:paraId="1FA48153" w14:textId="77777777" w:rsidR="00DF597F" w:rsidRDefault="008F60D8">
      <w:pPr>
        <w:pStyle w:val="Default"/>
        <w:spacing w:after="120" w:line="360" w:lineRule="auto"/>
        <w:jc w:val="both"/>
      </w:pPr>
      <w:r>
        <w:t>20.</w:t>
      </w:r>
      <w:r>
        <w:tab/>
        <w:t>O Pedido de Reconsideração é cabível em face do Acórdão nº 197/2026-TC, prolatado pela 2ª Câmara de Contas, observado o prazo de quinze dias previsto no artigo 376 do Regimento Interno desta Corte de Contas.</w:t>
      </w:r>
    </w:p>
    <w:p w14:paraId="05020654" w14:textId="77777777" w:rsidR="00DF597F" w:rsidRDefault="008F60D8">
      <w:pPr>
        <w:pStyle w:val="Default"/>
        <w:spacing w:after="120" w:line="360" w:lineRule="auto"/>
        <w:jc w:val="both"/>
      </w:pPr>
      <w:r>
        <w:t>21.</w:t>
      </w:r>
      <w:r>
        <w:tab/>
        <w:t xml:space="preserve">Cumpre registrar que o juízo de admissibilidade do recurso já foi exercido pelo Conselheiro Relator originário, </w:t>
      </w:r>
      <w:proofErr w:type="spellStart"/>
      <w:r>
        <w:t>Antonio</w:t>
      </w:r>
      <w:proofErr w:type="spellEnd"/>
      <w:r>
        <w:t xml:space="preserve"> Gilberto de Oliveira Jales, que, pelo Despacho de 13 de julho de 2026 (Evento 234), reconheceu atendidos os requisitos do artigo 360 do Regimento Interno, nos termos do artigo 357 combinado com o artigo 360, incisos I, II, III e IV, da Resolução nº 009/2012-TCE, determinando, em consequência, a redistribuição do feito a membro do Excelso Plenário, por sorteio, com supedâneo nos artigos 174, § 2º, e 181-A do mesmo diploma regimental.</w:t>
      </w:r>
    </w:p>
    <w:p w14:paraId="39B96855" w14:textId="77777777" w:rsidR="00DF597F" w:rsidRDefault="00DF597F">
      <w:pPr>
        <w:pStyle w:val="Default"/>
        <w:spacing w:after="120"/>
      </w:pPr>
    </w:p>
    <w:tbl>
      <w:tblPr>
        <w:tblW w:w="9072" w:type="dxa"/>
        <w:tblLayout w:type="fixed"/>
        <w:tblLook w:val="04A0" w:firstRow="1" w:lastRow="0" w:firstColumn="1" w:lastColumn="0" w:noHBand="0" w:noVBand="1"/>
      </w:tblPr>
      <w:tblGrid>
        <w:gridCol w:w="9072"/>
      </w:tblGrid>
      <w:tr w:rsidR="00DF597F" w14:paraId="0B0FD629" w14:textId="77777777" w:rsidTr="007838ED">
        <w:tc>
          <w:tcPr>
            <w:tcW w:w="9072" w:type="dxa"/>
            <w:tcBorders>
              <w:top w:val="single" w:sz="4" w:space="0" w:color="BFBFBF"/>
              <w:bottom w:val="single" w:sz="4" w:space="0" w:color="BFBFBF"/>
            </w:tcBorders>
            <w:shd w:val="clear" w:color="auto" w:fill="D9D9D9"/>
            <w:vAlign w:val="center"/>
          </w:tcPr>
          <w:p w14:paraId="18E457FA" w14:textId="77777777" w:rsidR="00DF597F" w:rsidRDefault="008F60D8">
            <w:pPr>
              <w:keepNext/>
              <w:spacing w:after="120"/>
              <w:ind w:hanging="8"/>
            </w:pPr>
            <w:r>
              <w:rPr>
                <w:b/>
                <w:smallCaps/>
                <w:color w:val="000000"/>
                <w:sz w:val="26"/>
              </w:rPr>
              <w:lastRenderedPageBreak/>
              <w:t>3. Exame Técnico</w:t>
            </w:r>
          </w:p>
        </w:tc>
      </w:tr>
    </w:tbl>
    <w:p w14:paraId="7997892E" w14:textId="77777777" w:rsidR="00DF597F" w:rsidRDefault="00DF597F">
      <w:pPr>
        <w:pStyle w:val="Default"/>
        <w:shd w:val="clear" w:color="auto" w:fill="FFFFFF"/>
        <w:spacing w:after="120" w:line="360" w:lineRule="auto"/>
        <w:rPr>
          <w:b/>
          <w:bCs/>
        </w:rPr>
      </w:pPr>
    </w:p>
    <w:p w14:paraId="4576A2F2" w14:textId="77777777" w:rsidR="00DF597F" w:rsidRDefault="008F60D8">
      <w:pPr>
        <w:pStyle w:val="Default"/>
        <w:shd w:val="clear" w:color="auto" w:fill="D9D9D9"/>
        <w:spacing w:after="120" w:line="360" w:lineRule="auto"/>
        <w:rPr>
          <w:b/>
          <w:bCs/>
        </w:rPr>
      </w:pPr>
      <w:r>
        <w:rPr>
          <w:b/>
          <w:bCs/>
        </w:rPr>
        <w:t xml:space="preserve">3.1 – </w:t>
      </w:r>
      <w:r>
        <w:rPr>
          <w:b/>
          <w:smallCaps/>
        </w:rPr>
        <w:t>Das Irregularidades Identificadas na Instrução Processual</w:t>
      </w:r>
    </w:p>
    <w:p w14:paraId="7355F3B4" w14:textId="77777777" w:rsidR="00DF597F" w:rsidRDefault="008F60D8">
      <w:pPr>
        <w:pStyle w:val="Default"/>
        <w:spacing w:after="120" w:line="360" w:lineRule="auto"/>
        <w:jc w:val="both"/>
      </w:pPr>
      <w:r>
        <w:t>22.</w:t>
      </w:r>
      <w:r>
        <w:tab/>
        <w:t>As irregularidades que fundamentaram o Acórdão nº 197/2026-TC concentram-se na cláusula remuneratória dos ajustes celebrados entre a sociedade recorrente e os Municípios de Cruzeta/RN, Jucurutu/RN e Lagoa Nova/RN, e não nos pressupostos da contratação direta em si, os quais foram reputados atendidos pelo julgado guerreado.</w:t>
      </w:r>
    </w:p>
    <w:p w14:paraId="43733FC5" w14:textId="77777777" w:rsidR="00DF597F" w:rsidRDefault="008F60D8">
      <w:pPr>
        <w:pStyle w:val="Default"/>
        <w:spacing w:after="120" w:line="360" w:lineRule="auto"/>
        <w:jc w:val="both"/>
      </w:pPr>
      <w:r>
        <w:t>23.</w:t>
      </w:r>
      <w:r>
        <w:tab/>
        <w:t>Os ajustes examinados decorrem dos Termos de Inexigibilidade nº 040/2023 (Cruzeta/RN), nº 028/2023 (Jucurutu/RN) e nº 042/2023 (Lagoa Nova/RN), que resultaram, respectivamente, nos Contratos nº 057/2023, nº 136/2023 e nº 140/2023, tendo por objeto a análise do fluxo de recolhimento e distribuição da Compensação Financeira pela Exploração de Recursos Minerais – CFEM, a adoção de medidas administrativas perante a Agência Nacional de Mineração – ANM e o patrocínio de demanda judicial perante o Tribunal Regional Federal da 1ª Região.</w:t>
      </w:r>
    </w:p>
    <w:p w14:paraId="37623A50" w14:textId="77777777" w:rsidR="00DF597F" w:rsidRDefault="008F60D8">
      <w:pPr>
        <w:pStyle w:val="Default"/>
        <w:spacing w:after="120" w:line="360" w:lineRule="auto"/>
        <w:jc w:val="both"/>
      </w:pPr>
      <w:r>
        <w:t>24.</w:t>
      </w:r>
      <w:r>
        <w:tab/>
        <w:t>No que concerne à ausência de preço certo, os contratos fixaram a contraprestação em percentual de 20% (vinte por cento) sobre o proveito econômico obtido, com limitador mensal de R$ 120.000,00 (cento e vinte mil reais), sem estabelecimento de valor determinado em moeda nacional. Nos Contratos nº 057/2023 e nº 136/2023 previu-se, ainda, bônus cumulativo de 20% (vinte por cento) sobre os valores recuperados a título de retroativos, com supressão do próprio limitador mensal nessa hipótese. Tal modelagem contraria o artigo 55, inciso III, da Lei Federal nº 8.666/1993 e o artigo 92, inciso V, da Lei Federal nº 14.133/2021, que impõem a fixação, no instrumento contratual, do preço e das condições de pagamento com clareza e precisão.</w:t>
      </w:r>
    </w:p>
    <w:p w14:paraId="4E63EF6B" w14:textId="77777777" w:rsidR="00DF597F" w:rsidRDefault="008F60D8">
      <w:pPr>
        <w:pStyle w:val="Default"/>
        <w:spacing w:after="120" w:line="360" w:lineRule="auto"/>
        <w:jc w:val="both"/>
      </w:pPr>
      <w:r>
        <w:t>25.</w:t>
      </w:r>
      <w:r>
        <w:tab/>
        <w:t>Quanto à violação ao princípio orçamentário da universalidade, a vinculação da contraprestação a percentual de receita pública específica faz ingressar no erário municipal recursos já onerados por despesa não previamente quantificada no orçamento. A modelagem desatende, assim, os artigos 2º e 3º da Lei Federal nº 4.320/1964 e a vedação do artigo 167, inciso IV, da Constituição Federal.</w:t>
      </w:r>
    </w:p>
    <w:p w14:paraId="6AE4CC56" w14:textId="77777777" w:rsidR="00DF597F" w:rsidRDefault="008F60D8">
      <w:pPr>
        <w:pStyle w:val="Default"/>
        <w:spacing w:after="120" w:line="360" w:lineRule="auto"/>
        <w:jc w:val="both"/>
      </w:pPr>
      <w:r>
        <w:t>26.</w:t>
      </w:r>
      <w:r>
        <w:tab/>
        <w:t xml:space="preserve">No tocante à ausência de justificativa de preço, os procedimentos de inexigibilidade não demonstraram a compatibilidade dos honorários pactuados com a responsabilidade profissional exigida pelo caso. Tampouco houve cotejo com o valor médio já praticado pela própria </w:t>
      </w:r>
      <w:r>
        <w:lastRenderedPageBreak/>
        <w:t>sociedade contratada em situações similares anteriores. Trata-se de requisito autônomo, fixado pelo Supremo Tribunal Federal no julgamento do Tema nº 309 da repercussão geral.</w:t>
      </w:r>
    </w:p>
    <w:p w14:paraId="667FF1BB" w14:textId="77777777" w:rsidR="00DF597F" w:rsidRDefault="008F60D8">
      <w:pPr>
        <w:pStyle w:val="Default"/>
        <w:spacing w:after="120" w:line="360" w:lineRule="auto"/>
        <w:jc w:val="both"/>
      </w:pPr>
      <w:r>
        <w:t>27.</w:t>
      </w:r>
      <w:r>
        <w:tab/>
        <w:t xml:space="preserve">Por fim, no que respeita à antecipação de honorários, os pagamentos foram realizados sem que se comprovasse a irrecorribilidade das decisões administrativas prolatadas pela Agência Nacional de Mineração, circunstância que transfere ao ente municipal o risco integral do insucesso superveniente do pleito, invertendo a lógica própria do contrato de risco. </w:t>
      </w:r>
    </w:p>
    <w:p w14:paraId="556981C0" w14:textId="2A5520F1" w:rsidR="00DF597F" w:rsidRDefault="008F60D8">
      <w:pPr>
        <w:pStyle w:val="Default"/>
        <w:spacing w:after="120" w:line="360" w:lineRule="auto"/>
        <w:jc w:val="both"/>
      </w:pPr>
      <w:r>
        <w:t>28.</w:t>
      </w:r>
      <w:r>
        <w:tab/>
        <w:t xml:space="preserve">Cumpre acrescentar que a vedação ao pagamento antecipado de despesa pública, antes de sua liquidação, constitui enunciado sumular próprio desta Corte de Contas, nos termos da Súmula nº 01 – TCE/RN: </w:t>
      </w:r>
      <w:r w:rsidR="00F6326C">
        <w:t>“</w:t>
      </w:r>
      <w:r>
        <w:t>O pagamento antecipado de qualquer despesa pública, antes da liquidação da mesma, sob a figura de adiantamento de recursos financeiros, constitui flagrante infringência à Lei nº 4.320/64 e Lei Estadual nº 4.041/71, ainda que haja previsão nesse sentido no instrumento convocatório da licitação e no respectivo contrato administrativo</w:t>
      </w:r>
      <w:r w:rsidR="00F6326C">
        <w:t>”</w:t>
      </w:r>
      <w:r>
        <w:t xml:space="preserve"> (fundamento legal: Lei Federal nº 4.320/1964, artigos 62 e 63; Lei Estadual nº 4.041/1971, artigo 87). </w:t>
      </w:r>
    </w:p>
    <w:p w14:paraId="4BA39564" w14:textId="77777777" w:rsidR="00DF597F" w:rsidRDefault="008F60D8">
      <w:pPr>
        <w:pStyle w:val="Default"/>
        <w:spacing w:after="120" w:line="360" w:lineRule="auto"/>
        <w:jc w:val="both"/>
      </w:pPr>
      <w:r>
        <w:t>29.</w:t>
      </w:r>
      <w:r>
        <w:tab/>
        <w:t>A censura, nesse ponto, não decorre de precedentes isolados, mas de orientação sumulada e vinculante no âmbito desta Casa.</w:t>
      </w:r>
    </w:p>
    <w:p w14:paraId="5DA6F3B8" w14:textId="77777777" w:rsidR="00DF597F" w:rsidRDefault="008F60D8">
      <w:pPr>
        <w:pStyle w:val="Default"/>
        <w:spacing w:after="120" w:line="360" w:lineRule="auto"/>
        <w:jc w:val="both"/>
      </w:pPr>
      <w:r>
        <w:t>30.</w:t>
      </w:r>
      <w:r>
        <w:tab/>
        <w:t>Da conjugação desses vícios extraiu-se o juízo de irregularidade da matéria, com fulcro no artigo 75, inciso II, da Lei Complementar Estadual nº 464/2012, e a declaração de nulidade integral dos ajustes, na forma dos artigos 147 a 149 da Lei Federal nº 14.133/2021, com fixação de teto indenizatório e determinação de restituição do excedente, com arrimo no artigo 75, inciso IV, do mesmo diploma estadual.</w:t>
      </w:r>
    </w:p>
    <w:p w14:paraId="68E0C43D" w14:textId="77777777" w:rsidR="00DF597F" w:rsidRDefault="008F60D8">
      <w:pPr>
        <w:pStyle w:val="Default"/>
        <w:spacing w:after="120" w:line="360" w:lineRule="auto"/>
        <w:jc w:val="both"/>
      </w:pPr>
      <w:r>
        <w:t>31.</w:t>
      </w:r>
      <w:r>
        <w:tab/>
        <w:t xml:space="preserve">Anote-se, por fim, que o entendimento adotado no Acórdão nº 197/2026-TC guarda consonância com a orientação mais recente do Supremo Tribunal Federal em caso </w:t>
      </w:r>
      <w:proofErr w:type="spellStart"/>
      <w:r>
        <w:t>faticamente</w:t>
      </w:r>
      <w:proofErr w:type="spellEnd"/>
      <w:r>
        <w:t xml:space="preserve"> próximo. Ao referendar, por maioria, a liminar deferida na Arguição de Descumprimento de Preceito Fundamental nº 1.178/DF, o Tribunal Pleno determinou que os Municípios interessados se abstenham de pagar honorários contratados </w:t>
      </w:r>
      <w:r>
        <w:rPr>
          <w:i/>
          <w:iCs/>
        </w:rPr>
        <w:t xml:space="preserve">ad </w:t>
      </w:r>
      <w:proofErr w:type="spellStart"/>
      <w:r>
        <w:rPr>
          <w:i/>
          <w:iCs/>
        </w:rPr>
        <w:t>exitum</w:t>
      </w:r>
      <w:proofErr w:type="spellEnd"/>
      <w:r>
        <w:t xml:space="preserve"> sem prévio exame de legalidade pela Justiça brasileira</w:t>
      </w:r>
      <w:r>
        <w:rPr>
          <w:rStyle w:val="Refdenotaderodap"/>
        </w:rPr>
        <w:footnoteReference w:id="1"/>
      </w:r>
      <w:r>
        <w:t xml:space="preserve">. </w:t>
      </w:r>
    </w:p>
    <w:p w14:paraId="11D555AB" w14:textId="77777777" w:rsidR="00DF597F" w:rsidRDefault="008F60D8">
      <w:pPr>
        <w:pStyle w:val="Default"/>
        <w:spacing w:after="120" w:line="360" w:lineRule="auto"/>
        <w:jc w:val="both"/>
      </w:pPr>
      <w:r>
        <w:t>32.</w:t>
      </w:r>
      <w:r>
        <w:tab/>
        <w:t xml:space="preserve">Cuidava-se, ali, de contratos de honorários </w:t>
      </w:r>
      <w:r>
        <w:rPr>
          <w:i/>
          <w:iCs/>
        </w:rPr>
        <w:t xml:space="preserve">ad </w:t>
      </w:r>
      <w:proofErr w:type="spellStart"/>
      <w:r>
        <w:rPr>
          <w:i/>
          <w:iCs/>
        </w:rPr>
        <w:t>exitum</w:t>
      </w:r>
      <w:proofErr w:type="spellEnd"/>
      <w:r>
        <w:t xml:space="preserve"> firmados por Municípios para recuperação de indenizações relacionadas ao rompimento da barragem de Mariana/MG, </w:t>
      </w:r>
      <w:r>
        <w:lastRenderedPageBreak/>
        <w:t>hipótese que se aproxima da presente tanto pelo contexto minerário quanto pela contratação por entes municipais.</w:t>
      </w:r>
    </w:p>
    <w:p w14:paraId="40443E1D" w14:textId="77777777" w:rsidR="00DF597F" w:rsidRDefault="00DF597F">
      <w:pPr>
        <w:pStyle w:val="Default"/>
        <w:spacing w:after="120" w:line="360" w:lineRule="auto"/>
        <w:jc w:val="both"/>
      </w:pPr>
    </w:p>
    <w:p w14:paraId="150FB2D5" w14:textId="77777777" w:rsidR="00DF597F" w:rsidRDefault="008F60D8">
      <w:pPr>
        <w:pStyle w:val="Default"/>
        <w:shd w:val="clear" w:color="auto" w:fill="D9D9D9"/>
        <w:spacing w:after="120" w:line="360" w:lineRule="auto"/>
        <w:rPr>
          <w:b/>
          <w:bCs/>
        </w:rPr>
      </w:pPr>
      <w:r>
        <w:rPr>
          <w:b/>
          <w:smallCaps/>
        </w:rPr>
        <w:t>3.2 –</w:t>
      </w:r>
      <w:r>
        <w:rPr>
          <w:b/>
          <w:bCs/>
        </w:rPr>
        <w:t xml:space="preserve"> </w:t>
      </w:r>
      <w:r>
        <w:rPr>
          <w:b/>
          <w:smallCaps/>
        </w:rPr>
        <w:t>Do Recurso Apresentado</w:t>
      </w:r>
    </w:p>
    <w:p w14:paraId="164C561F" w14:textId="77777777" w:rsidR="00DF597F" w:rsidRDefault="008F60D8">
      <w:pPr>
        <w:pStyle w:val="Default"/>
        <w:spacing w:after="120" w:line="360" w:lineRule="auto"/>
        <w:jc w:val="both"/>
      </w:pPr>
      <w:r>
        <w:t>33.</w:t>
      </w:r>
      <w:r>
        <w:tab/>
        <w:t>A recorrente estruturou sua irresignação em capítulos temáticos, cujo conteúdo se sistematiza a seguir, com fidelidade e sem juízo de valor.</w:t>
      </w:r>
    </w:p>
    <w:p w14:paraId="09909458" w14:textId="77777777" w:rsidR="00DF597F" w:rsidRDefault="008F60D8">
      <w:pPr>
        <w:pStyle w:val="Default"/>
        <w:spacing w:after="120" w:line="360" w:lineRule="auto"/>
        <w:jc w:val="both"/>
      </w:pPr>
      <w:r>
        <w:t>34.</w:t>
      </w:r>
      <w:r>
        <w:tab/>
        <w:t xml:space="preserve">No capítulo III, alegou-se inobservância da progressividade, sustentando que o artigo 85, § 3º, do Código de Processo Civil operaria por faixas sucessivas, à semelhança da sistemática do imposto sobre a renda, e que o julgado guerreado teria aplicado percentual único sobre o proveito econômico global, desconsiderando o comando do § 5º do mesmo dispositivo. </w:t>
      </w:r>
    </w:p>
    <w:p w14:paraId="0A97A679" w14:textId="77777777" w:rsidR="00DF597F" w:rsidRDefault="008F60D8">
      <w:pPr>
        <w:pStyle w:val="Default"/>
        <w:spacing w:after="120" w:line="360" w:lineRule="auto"/>
        <w:jc w:val="both"/>
      </w:pPr>
      <w:r>
        <w:t>35.</w:t>
      </w:r>
      <w:r>
        <w:tab/>
        <w:t>Apresentaram-se memórias de cálculo por ciclo, das quais se extrairia que a aplicação progressiva resultaria em honorários superiores aos tetos fixados, invocando-se, em amparo, o Tema nº 1.076 dos recursos repetitivos do Superior Tribunal de Justiça.</w:t>
      </w:r>
    </w:p>
    <w:p w14:paraId="76DA33C4" w14:textId="77777777" w:rsidR="00DF597F" w:rsidRDefault="008F60D8">
      <w:pPr>
        <w:pStyle w:val="Default"/>
        <w:spacing w:after="120" w:line="360" w:lineRule="auto"/>
        <w:jc w:val="both"/>
      </w:pPr>
      <w:r>
        <w:t>36.</w:t>
      </w:r>
      <w:r>
        <w:tab/>
        <w:t>No capítulo IV, sustentou-se que o próprio julgado teria reconhecido a execução dos serviços, o resultado alcançado e o dever de remunerar, premissas que seriam incompatíveis com a declaração de nulidade integral dos ajustes.</w:t>
      </w:r>
    </w:p>
    <w:p w14:paraId="2C00CECE" w14:textId="77777777" w:rsidR="00DF597F" w:rsidRDefault="008F60D8">
      <w:pPr>
        <w:pStyle w:val="Default"/>
        <w:spacing w:after="120" w:line="360" w:lineRule="auto"/>
        <w:jc w:val="both"/>
      </w:pPr>
      <w:r>
        <w:t>37.</w:t>
      </w:r>
      <w:r>
        <w:tab/>
        <w:t>No capítulo V, argumentou-se que o artigo 85 do Código de Processo Civil disciplinaria exclusivamente honorários sucumbenciais judiciais, pressupondo sentença e parte vencida, ao passo que a atuação da recorrente ter-se-ia desenvolvido em sede administrativa, perante a Agência Nacional de Mineração, aduzindo-se, ademais, inexistir lacuna a colmatar, porquanto disponível disciplina própria na Lei Federal nº 8.906/1994 e na Tabela de Honorários da Ordem dos Advogados do Brasil.</w:t>
      </w:r>
    </w:p>
    <w:p w14:paraId="360A7E31" w14:textId="77777777" w:rsidR="00DF597F" w:rsidRDefault="008F60D8">
      <w:pPr>
        <w:pStyle w:val="Default"/>
        <w:spacing w:after="120" w:line="360" w:lineRule="auto"/>
        <w:jc w:val="both"/>
      </w:pPr>
      <w:r>
        <w:t>38.</w:t>
      </w:r>
      <w:r>
        <w:tab/>
        <w:t>No capítulo VI, alegou-se que o dano reconhecido seria circular, porquanto sua existência dependeria da validação dos próprios tetos impugnados, e que o afastamento da responsabilidade pecuniária dos gestores evidenciaria que esta Corte teria apurado a inexistência de prejuízo efetivo.</w:t>
      </w:r>
    </w:p>
    <w:p w14:paraId="4B97F0F9" w14:textId="77777777" w:rsidR="00DF597F" w:rsidRDefault="008F60D8">
      <w:pPr>
        <w:pStyle w:val="Default"/>
        <w:spacing w:after="120" w:line="360" w:lineRule="auto"/>
        <w:jc w:val="both"/>
      </w:pPr>
      <w:r>
        <w:t>39.</w:t>
      </w:r>
      <w:r>
        <w:tab/>
        <w:t>No capítulo VII, sustentou-se que, reconhecidas a licitude da inexigibilidade e a efetiva execução contratual, a declaração de nulidade integral em razão de vício de cláusula única seria desproporcional, invocando-se, em reforço, a convergência inicial do Corpo Técnico e do Ministério Público de Contas pelo arquivamento do feito.</w:t>
      </w:r>
    </w:p>
    <w:p w14:paraId="1F044BC3" w14:textId="77777777" w:rsidR="00DF597F" w:rsidRDefault="008F60D8">
      <w:pPr>
        <w:pStyle w:val="Default"/>
        <w:spacing w:after="120" w:line="360" w:lineRule="auto"/>
        <w:jc w:val="both"/>
      </w:pPr>
      <w:r>
        <w:lastRenderedPageBreak/>
        <w:t>40.</w:t>
      </w:r>
      <w:r>
        <w:tab/>
        <w:t>No capítulo VIII, argumentou-se que o voto-vista teria descrito minuciosamente o rito estabelecido pela Resolução ANM nº 143/2023 e, ao final, aplicado norma concebida para o processo judicial, em desarmonia com a natureza administrativa e cíclica da atuação desenvolvida.</w:t>
      </w:r>
    </w:p>
    <w:p w14:paraId="02DB4060" w14:textId="77777777" w:rsidR="00DF597F" w:rsidRDefault="008F60D8">
      <w:pPr>
        <w:pStyle w:val="Default"/>
        <w:spacing w:after="120" w:line="360" w:lineRule="auto"/>
        <w:jc w:val="both"/>
      </w:pPr>
      <w:r>
        <w:t>41.</w:t>
      </w:r>
      <w:r>
        <w:tab/>
        <w:t>No capítulo IX, alegou-se que os contratos vinculariam a remuneração ao incremento efetivamente arrecadado, e não a projeções, tendo o julgado adotado como base de cálculo estimativas contratuais, apresentando-se comparativo entre o proveito estimado e o efetivamente recebido.</w:t>
      </w:r>
    </w:p>
    <w:p w14:paraId="30414FC2" w14:textId="77777777" w:rsidR="00DF597F" w:rsidRDefault="008F60D8">
      <w:pPr>
        <w:pStyle w:val="Default"/>
        <w:spacing w:after="120" w:line="360" w:lineRule="auto"/>
        <w:jc w:val="both"/>
      </w:pPr>
      <w:r>
        <w:t>42.</w:t>
      </w:r>
      <w:r>
        <w:tab/>
        <w:t>No capítulo X, sustentou-se que os Municípios reteriam parcela do benefício econômico obtido pela atuação profissional da recorrente, em afronta aos artigos 884 e seguintes do Código Civil, e que os honorários pactuados observariam os parâmetros da Tabela de Honorários da Ordem dos Advogados do Brasil.</w:t>
      </w:r>
    </w:p>
    <w:p w14:paraId="549D97C0" w14:textId="77777777" w:rsidR="00DF597F" w:rsidRDefault="008F60D8">
      <w:pPr>
        <w:pStyle w:val="Default"/>
        <w:spacing w:after="120" w:line="360" w:lineRule="auto"/>
        <w:jc w:val="both"/>
      </w:pPr>
      <w:r>
        <w:t>43.</w:t>
      </w:r>
      <w:r>
        <w:tab/>
        <w:t xml:space="preserve">No capítulo XI, alínea "a", invocou-se o Acórdão nº 149/2026-TC, prolatado pela 1ª Câmara de Contas em 11 de junho de 2026, doze dias antes do julgado guerreado. Segundo a recorrente, aquele julgado reconheceu a validade de cláusula </w:t>
      </w:r>
      <w:r>
        <w:rPr>
          <w:i/>
          <w:iCs/>
        </w:rPr>
        <w:t xml:space="preserve">ad </w:t>
      </w:r>
      <w:proofErr w:type="spellStart"/>
      <w:r>
        <w:rPr>
          <w:i/>
          <w:iCs/>
        </w:rPr>
        <w:t>exitum</w:t>
      </w:r>
      <w:proofErr w:type="spellEnd"/>
      <w:r>
        <w:t xml:space="preserve"> e afastou a aplicação do Acórdão nº 1.285/2018-TCU e da Arguição de Descumprimento de Preceito Fundamental nº 1.178. Daí decorreria insegurança jurídica, por divergência não justificada por alteração do cenário normativo.</w:t>
      </w:r>
    </w:p>
    <w:p w14:paraId="3CD37C2A" w14:textId="77777777" w:rsidR="00DF597F" w:rsidRDefault="008F60D8">
      <w:pPr>
        <w:pStyle w:val="Default"/>
        <w:spacing w:after="120" w:line="360" w:lineRule="auto"/>
        <w:jc w:val="both"/>
      </w:pPr>
      <w:r>
        <w:t>44.</w:t>
      </w:r>
      <w:r>
        <w:tab/>
        <w:t xml:space="preserve">No capítulo XI, alínea "b", invocaram-se sentença prolatada pela Vara Única da Comarca de Monte Alegre/RN, mantida em sede de apelação pelo Tribunal de Justiça do Estado do Rio Grande do Norte, que teria desconstituído acórdão desta Corte em caso análogo, com idêntico percentual de honorários, reconhecendo a legalidade da contratação e a inexistência de </w:t>
      </w:r>
      <w:proofErr w:type="spellStart"/>
      <w:r>
        <w:t>dano</w:t>
      </w:r>
      <w:proofErr w:type="spellEnd"/>
      <w:r>
        <w:t xml:space="preserve"> ao erário.</w:t>
      </w:r>
    </w:p>
    <w:p w14:paraId="184F21D0" w14:textId="77777777" w:rsidR="00DF597F" w:rsidRDefault="008F60D8">
      <w:pPr>
        <w:pStyle w:val="Default"/>
        <w:spacing w:after="120" w:line="360" w:lineRule="auto"/>
        <w:jc w:val="both"/>
      </w:pPr>
      <w:r>
        <w:t>45.</w:t>
      </w:r>
      <w:r>
        <w:tab/>
        <w:t xml:space="preserve">Sustentou-se, ainda, em sede de </w:t>
      </w:r>
      <w:proofErr w:type="spellStart"/>
      <w:r>
        <w:rPr>
          <w:i/>
          <w:iCs/>
        </w:rPr>
        <w:t>distinguishing</w:t>
      </w:r>
      <w:proofErr w:type="spellEnd"/>
      <w:r>
        <w:t xml:space="preserve"> (esforço de distinção do caso concreto em relação aos precedentes invocados), que o Tema nº 309 do Supremo Tribunal Federal não teria apreciado cláusula remuneratória; que o Acórdão nº 1.285/2018-TCU versaria sobre verbas constitucionalmente vinculadas do FUNDEF e do FUNDEB; que o princípio da universalidade orçamentária disciplinaria a lei orçamentária anual, e não contratos administrativos; e que o artigo 92, inciso V, da Lei Federal nº 14.133/2021 exigiria critérios objetivos de remuneração, e não valor absoluto.</w:t>
      </w:r>
    </w:p>
    <w:p w14:paraId="2ED0F823" w14:textId="5BB89C97" w:rsidR="00DF597F" w:rsidRDefault="008F60D8">
      <w:pPr>
        <w:pStyle w:val="Default"/>
        <w:spacing w:after="120" w:line="360" w:lineRule="auto"/>
        <w:jc w:val="both"/>
      </w:pPr>
      <w:r>
        <w:lastRenderedPageBreak/>
        <w:t>46.</w:t>
      </w:r>
      <w:r>
        <w:tab/>
        <w:t xml:space="preserve">Ao final, </w:t>
      </w:r>
      <w:r w:rsidR="00F6326C">
        <w:t xml:space="preserve">a recorrente </w:t>
      </w:r>
      <w:r>
        <w:t xml:space="preserve">requereu o reconhecimento da validade dos contratos e da regularidade da cláusula </w:t>
      </w:r>
      <w:r>
        <w:rPr>
          <w:i/>
          <w:iCs/>
        </w:rPr>
        <w:t xml:space="preserve">ad </w:t>
      </w:r>
      <w:proofErr w:type="spellStart"/>
      <w:r>
        <w:rPr>
          <w:i/>
          <w:iCs/>
        </w:rPr>
        <w:t>exitum</w:t>
      </w:r>
      <w:proofErr w:type="spellEnd"/>
      <w:r>
        <w:t>, a declaração de inaplicabilidade do artigo 85, § 3º, do Código de Processo Civil, o reconhecimento da inexistência de dano e do enriquecimento sem causa da Administração e, subsidiariamente, a aplicação progressiva por faixas sobre os valores efetivamente recebidos, com revogação da determinação de restituição.</w:t>
      </w:r>
    </w:p>
    <w:p w14:paraId="21CC2CCF" w14:textId="77777777" w:rsidR="00DF597F" w:rsidRDefault="00DF597F">
      <w:pPr>
        <w:pStyle w:val="Default"/>
        <w:spacing w:after="120" w:line="360" w:lineRule="auto"/>
        <w:jc w:val="both"/>
      </w:pPr>
    </w:p>
    <w:p w14:paraId="30DFCFBA" w14:textId="77777777" w:rsidR="00DF597F" w:rsidRDefault="008F60D8">
      <w:pPr>
        <w:pStyle w:val="Default"/>
        <w:shd w:val="clear" w:color="auto" w:fill="D9D9D9"/>
        <w:spacing w:after="120" w:line="360" w:lineRule="auto"/>
        <w:rPr>
          <w:b/>
          <w:smallCaps/>
        </w:rPr>
      </w:pPr>
      <w:r>
        <w:rPr>
          <w:b/>
          <w:smallCaps/>
        </w:rPr>
        <w:t>3.3 – Do Exame Técnico das Razões Recursais</w:t>
      </w:r>
    </w:p>
    <w:p w14:paraId="1530D3D6" w14:textId="77777777" w:rsidR="00DF597F" w:rsidRDefault="008F60D8">
      <w:pPr>
        <w:pStyle w:val="Default"/>
        <w:spacing w:after="120" w:line="360" w:lineRule="auto"/>
        <w:jc w:val="both"/>
      </w:pPr>
      <w:r>
        <w:t>47.</w:t>
      </w:r>
      <w:r>
        <w:tab/>
        <w:t>Para exame ordenado das teses recursais, organiza-se a análise por eixo jurídico, agrupando-se os capítulos correlatos, indicados entre parênteses no título de cada subcapítulo.</w:t>
      </w:r>
    </w:p>
    <w:p w14:paraId="0D3B743D" w14:textId="77777777" w:rsidR="00DF597F" w:rsidRDefault="008F60D8" w:rsidP="00F6326C">
      <w:pPr>
        <w:pStyle w:val="Default"/>
        <w:shd w:val="clear" w:color="auto" w:fill="F2F2F2"/>
        <w:spacing w:after="120" w:line="360" w:lineRule="auto"/>
        <w:jc w:val="both"/>
        <w:rPr>
          <w:b/>
          <w:bCs/>
        </w:rPr>
      </w:pPr>
      <w:r>
        <w:rPr>
          <w:b/>
          <w:bCs/>
        </w:rPr>
        <w:t>3.3.1 – Do reconhecimento da prestação efetiva e da alegada contradição interna do julgado (capítulos IV e VII)</w:t>
      </w:r>
    </w:p>
    <w:p w14:paraId="3CE7042E" w14:textId="7078B2FC" w:rsidR="00DF597F" w:rsidRDefault="008F60D8">
      <w:pPr>
        <w:pStyle w:val="Default"/>
        <w:spacing w:after="120" w:line="360" w:lineRule="auto"/>
        <w:jc w:val="both"/>
      </w:pPr>
      <w:r>
        <w:t>48.</w:t>
      </w:r>
      <w:r>
        <w:tab/>
        <w:t>Sustenta</w:t>
      </w:r>
      <w:r w:rsidR="00F6326C">
        <w:t>,</w:t>
      </w:r>
      <w:r>
        <w:t xml:space="preserve"> a recorrente</w:t>
      </w:r>
      <w:r w:rsidR="00F6326C">
        <w:t>,</w:t>
      </w:r>
      <w:r>
        <w:t xml:space="preserve"> que o reconhecimento, pelo julgado guerreado, da efetiva execução contratual seria logicamente incompatível com a declaração de nulidade, e que, reputados atendidos os pressupostos da inexigibilidade, a invalidação integral do ajuste em razão de vício de cláusula única revelar-se-ia desproporcional.</w:t>
      </w:r>
    </w:p>
    <w:p w14:paraId="05981F26" w14:textId="77777777" w:rsidR="00DF597F" w:rsidRDefault="008F60D8">
      <w:pPr>
        <w:pStyle w:val="Default"/>
        <w:spacing w:after="120" w:line="360" w:lineRule="auto"/>
        <w:jc w:val="both"/>
      </w:pPr>
      <w:r>
        <w:t>49.</w:t>
      </w:r>
      <w:r>
        <w:tab/>
        <w:t xml:space="preserve">A tese, </w:t>
      </w:r>
      <w:r>
        <w:rPr>
          <w:i/>
          <w:iCs/>
        </w:rPr>
        <w:t xml:space="preserve">data </w:t>
      </w:r>
      <w:proofErr w:type="spellStart"/>
      <w:r>
        <w:rPr>
          <w:i/>
          <w:iCs/>
        </w:rPr>
        <w:t>maxima</w:t>
      </w:r>
      <w:proofErr w:type="spellEnd"/>
      <w:r>
        <w:rPr>
          <w:i/>
          <w:iCs/>
        </w:rPr>
        <w:t xml:space="preserve"> </w:t>
      </w:r>
      <w:proofErr w:type="spellStart"/>
      <w:r>
        <w:rPr>
          <w:i/>
          <w:iCs/>
        </w:rPr>
        <w:t>venia</w:t>
      </w:r>
      <w:proofErr w:type="spellEnd"/>
      <w:r>
        <w:t xml:space="preserve"> (com a máxima vênia), não prospera, porquanto confunde a existência do fato com a validade do ato jurídico. O reconhecimento de que os serviços foram prestados não convalida vício de formação do contrato; produz, tão somente, o efeito indenizatório que o próprio </w:t>
      </w:r>
      <w:r>
        <w:rPr>
          <w:i/>
          <w:iCs/>
        </w:rPr>
        <w:t>decisum</w:t>
      </w:r>
      <w:r>
        <w:t xml:space="preserve"> assegurou ao fixar teto de ressarcimento, em lugar de determinar a restituição integral dos valores desembolsados.</w:t>
      </w:r>
    </w:p>
    <w:p w14:paraId="37EF9E64" w14:textId="77777777" w:rsidR="00DF597F" w:rsidRDefault="008F60D8">
      <w:pPr>
        <w:pStyle w:val="Default"/>
        <w:spacing w:after="120" w:line="360" w:lineRule="auto"/>
        <w:jc w:val="both"/>
      </w:pPr>
      <w:r>
        <w:t>50.</w:t>
      </w:r>
      <w:r>
        <w:tab/>
        <w:t>Demais disso, a alegada contradição inexiste, porquanto o padrão decisório invocado pela própria recorrente, qual seja, o Tema nº 309 da repercussão geral, estabelece requisitos cumulativos, de modo que a ausência de qualquer deles obsta a contratação direta. O julgado reconheceu quatro dos cinco requisitos e negou o quinto, atinente à compatibilidade do preço, procedimento que traduz a estrutura normativa do precedente, e não incoerência de fundamentação.</w:t>
      </w:r>
    </w:p>
    <w:p w14:paraId="7E9C34E5" w14:textId="5AFD385A" w:rsidR="00DF597F" w:rsidRDefault="008F60D8">
      <w:pPr>
        <w:pStyle w:val="Default"/>
        <w:spacing w:after="120" w:line="360" w:lineRule="auto"/>
        <w:jc w:val="both"/>
      </w:pPr>
      <w:r>
        <w:t>51.</w:t>
      </w:r>
      <w:r>
        <w:tab/>
        <w:t xml:space="preserve">Com efeito, o quinto requisito não é formalidade acessória: ainda que a atuação </w:t>
      </w:r>
      <w:r w:rsidR="006077DD">
        <w:t>venha a ser</w:t>
      </w:r>
      <w:r>
        <w:t xml:space="preserve"> complexa e de elevada responsabilidade, incumbe à Administração demonstrar que os honorários ajustados se situam em faixa de razoabilidade segundo os padrões de mercado. É o que consta, expressamente, do item 4 da ementa do julgado que fixou a tese:</w:t>
      </w:r>
    </w:p>
    <w:p w14:paraId="49A63BD6" w14:textId="77777777" w:rsidR="00DF597F" w:rsidRDefault="008F60D8">
      <w:pPr>
        <w:pStyle w:val="Default"/>
        <w:spacing w:after="120" w:line="276" w:lineRule="auto"/>
        <w:ind w:left="2268"/>
        <w:jc w:val="both"/>
        <w:rPr>
          <w:i/>
          <w:iCs/>
          <w:sz w:val="20"/>
          <w:szCs w:val="20"/>
        </w:rPr>
      </w:pPr>
      <w:r>
        <w:rPr>
          <w:i/>
          <w:iCs/>
          <w:sz w:val="20"/>
          <w:szCs w:val="20"/>
        </w:rPr>
        <w:lastRenderedPageBreak/>
        <w:t xml:space="preserve">Ainda em relação aos dispositivos mencionados, insta realçar que, mesmo que a contratação direta envolva atuações de maior complexidade e responsabilidade, é necessário que a Administração Pública demonstre que os honorários ajustados se encontram dentro de uma faixa de razoabilidade, segundo os padrões do mercado, observadas as características próprias do serviço singular e o grau de especialização profissional. </w:t>
      </w:r>
    </w:p>
    <w:p w14:paraId="09526A52" w14:textId="77777777" w:rsidR="00DF597F" w:rsidRDefault="008F60D8">
      <w:pPr>
        <w:pStyle w:val="Default"/>
        <w:spacing w:after="120" w:line="276" w:lineRule="auto"/>
        <w:ind w:left="2268"/>
        <w:jc w:val="both"/>
        <w:rPr>
          <w:i/>
          <w:iCs/>
          <w:sz w:val="20"/>
          <w:szCs w:val="20"/>
        </w:rPr>
      </w:pPr>
      <w:r>
        <w:rPr>
          <w:i/>
          <w:iCs/>
          <w:sz w:val="20"/>
          <w:szCs w:val="20"/>
        </w:rPr>
        <w:t xml:space="preserve">(STF. Recurso Extraordinário nº 656.558/SP, julgado conjuntamente com o Recurso Extraordinário nº 610.523/SP. Relator: Ministro Dias Toffoli. Tribunal Pleno. Julgado em 28/10/2024. </w:t>
      </w:r>
      <w:proofErr w:type="spellStart"/>
      <w:r>
        <w:rPr>
          <w:i/>
          <w:iCs/>
          <w:sz w:val="20"/>
          <w:szCs w:val="20"/>
        </w:rPr>
        <w:t>DJe</w:t>
      </w:r>
      <w:proofErr w:type="spellEnd"/>
      <w:r>
        <w:rPr>
          <w:i/>
          <w:iCs/>
          <w:sz w:val="20"/>
          <w:szCs w:val="20"/>
        </w:rPr>
        <w:t xml:space="preserve"> de 26/02/2025 – republicação. Tema nº 309 da repercussão geral.)</w:t>
      </w:r>
    </w:p>
    <w:p w14:paraId="39C57CA5" w14:textId="2492CA2A" w:rsidR="00DF597F" w:rsidRDefault="008F60D8">
      <w:pPr>
        <w:pStyle w:val="Default"/>
        <w:spacing w:after="120" w:line="360" w:lineRule="auto"/>
        <w:jc w:val="both"/>
      </w:pPr>
      <w:r>
        <w:t>52.</w:t>
      </w:r>
      <w:r>
        <w:tab/>
        <w:t xml:space="preserve">A locução </w:t>
      </w:r>
      <w:r w:rsidR="006077DD">
        <w:t>“</w:t>
      </w:r>
      <w:r>
        <w:t>mesmo que a contratação direta envolva atuações de maior complexidade e responsabilidade</w:t>
      </w:r>
      <w:r w:rsidR="006077DD">
        <w:t>”</w:t>
      </w:r>
      <w:r>
        <w:t xml:space="preserve"> dirige-se precisamente à hipótese dos autos: reconhecidas a singularidade do objeto e a notória especialização do prestador, subsiste íntegro o dever de demonstrar a razoabilidade do preço. A alegada contradição, nesse diapasão, constitui a própria arquitetura do precedente vinculante.</w:t>
      </w:r>
    </w:p>
    <w:p w14:paraId="684B89E6" w14:textId="77777777" w:rsidR="00DF597F" w:rsidRDefault="008F60D8">
      <w:pPr>
        <w:pStyle w:val="Default"/>
        <w:spacing w:after="120" w:line="360" w:lineRule="auto"/>
        <w:jc w:val="both"/>
      </w:pPr>
      <w:r>
        <w:t>53.</w:t>
      </w:r>
      <w:r>
        <w:tab/>
        <w:t xml:space="preserve">No mesmo sentido orienta-se a jurisprudência do Tribunal de Contas da União, que assentou </w:t>
      </w:r>
      <w:r w:rsidRPr="00A43F35">
        <w:rPr>
          <w:b/>
          <w:bCs/>
        </w:rPr>
        <w:t>não estarem os agentes públicos liberados do dever de aferir a economicidade do valor cobrado, ainda que reconhecidas a singularidade dos serviços e a notória especialização do contratado</w:t>
      </w:r>
      <w:r>
        <w:t>, por força do artigo 26, parágrafo único, inciso III, da Lei Federal nº 8.666/1993</w:t>
      </w:r>
      <w:r>
        <w:rPr>
          <w:rStyle w:val="Refdenotaderodap"/>
        </w:rPr>
        <w:footnoteReference w:id="2"/>
      </w:r>
      <w:r>
        <w:t>.</w:t>
      </w:r>
    </w:p>
    <w:p w14:paraId="34F63318" w14:textId="77777777" w:rsidR="00DF597F" w:rsidRDefault="008F60D8">
      <w:pPr>
        <w:pStyle w:val="Default"/>
        <w:spacing w:after="120" w:line="360" w:lineRule="auto"/>
        <w:jc w:val="both"/>
      </w:pPr>
      <w:r>
        <w:t>54.</w:t>
      </w:r>
      <w:r>
        <w:tab/>
        <w:t>A exigência de compatibilidade de preço, subsistente ainda que reconhecidas a singularidade do objeto e a notória especialização do contratado, encontra na Análise Econômica do Direito sua explicação estrutural, e não apenas processual. A inexigibilidade de licitação afasta, por definição, o mecanismo de descoberta de preço que a concorrência proporciona</w:t>
      </w:r>
      <w:r>
        <w:rPr>
          <w:rStyle w:val="Refdenotaderodap"/>
        </w:rPr>
        <w:footnoteReference w:id="3"/>
      </w:r>
      <w:r>
        <w:t>. Nessa hipótese, contratante e contratado passam a operar em condição de assimetria informacional: o prestador conhece sua própria estrutura de custos e os valores usualmente por ele praticados, ao passo que a Administração carece de referencial objetivo e independente de comparação, circunstância que a Análise Econômica do Direito identifica como típico problema de agência</w:t>
      </w:r>
      <w:r>
        <w:rPr>
          <w:rStyle w:val="Refdenotaderodap"/>
        </w:rPr>
        <w:footnoteReference w:id="4"/>
      </w:r>
      <w:r>
        <w:t>.</w:t>
      </w:r>
    </w:p>
    <w:p w14:paraId="6412E0D4" w14:textId="77777777" w:rsidR="00DF597F" w:rsidRDefault="008F60D8">
      <w:pPr>
        <w:pStyle w:val="Default"/>
        <w:spacing w:after="120" w:line="360" w:lineRule="auto"/>
        <w:jc w:val="both"/>
      </w:pPr>
      <w:r>
        <w:t>55.</w:t>
      </w:r>
      <w:r>
        <w:tab/>
        <w:t xml:space="preserve">O requisito fixado pelo Tema nº 309 do Supremo Tribunal Federal cumpre, portanto, a função de substituto funcional do teste de mercado ausente na contratação direta, impondo à </w:t>
      </w:r>
      <w:r>
        <w:lastRenderedPageBreak/>
        <w:t>Administração o ônus de reconstruir, por outros meios, o referencial de preço que a licitação supriria automaticamente. Trata-se de manifestação do que a doutrina identifica como giro pragmático do direito administrativo contemporâneo, que subordina a validade da atuação estatal à sua aptidão para produzir os resultados exigidos pelos princípios constitucionais da eficiência e da economicidade</w:t>
      </w:r>
      <w:r>
        <w:rPr>
          <w:rStyle w:val="Refdenotaderodap"/>
        </w:rPr>
        <w:footnoteReference w:id="5"/>
      </w:r>
      <w:r>
        <w:t>.</w:t>
      </w:r>
    </w:p>
    <w:p w14:paraId="43481F4C" w14:textId="77777777" w:rsidR="00DF597F" w:rsidRDefault="008F60D8">
      <w:pPr>
        <w:pStyle w:val="Default"/>
        <w:spacing w:after="120" w:line="360" w:lineRule="auto"/>
        <w:jc w:val="both"/>
      </w:pPr>
      <w:r>
        <w:t>56.</w:t>
      </w:r>
      <w:r>
        <w:tab/>
        <w:t>É esse fundamento econômico, e não apenas o precedente vinculante, que sustenta a rejeição da tese recursal: por tratar-se de recursos públicos destinados ao pagamento de avença firmada sem concorrência, a relação contratual não se submete ao regime de plena autonomia privada invocado nos capítulos IV, V e X, mas ao regime jurídico administrativo, que impõe o escrutínio de preço precisamente onde o mercado não o exerceu por si só.</w:t>
      </w:r>
    </w:p>
    <w:p w14:paraId="40E5913C" w14:textId="77777777" w:rsidR="00DF597F" w:rsidRDefault="008F60D8">
      <w:pPr>
        <w:pStyle w:val="Default"/>
        <w:spacing w:after="120" w:line="360" w:lineRule="auto"/>
        <w:jc w:val="both"/>
      </w:pPr>
      <w:r>
        <w:t>57.</w:t>
      </w:r>
      <w:r>
        <w:tab/>
        <w:t xml:space="preserve">Idêntica cisão analítica é praticada por esta Corte de Contas. No julgamento do Processo nº 018170/2015-TC assentou-se que a disciplina dos contratos administrativos não autoriza a celebração de contrato de risco no qual se preveja pagamento de honorários com base em cláusula </w:t>
      </w:r>
      <w:r>
        <w:rPr>
          <w:i/>
          <w:iCs/>
        </w:rPr>
        <w:t xml:space="preserve">ad </w:t>
      </w:r>
      <w:proofErr w:type="spellStart"/>
      <w:r>
        <w:rPr>
          <w:i/>
          <w:iCs/>
        </w:rPr>
        <w:t>exitum</w:t>
      </w:r>
      <w:proofErr w:type="spellEnd"/>
      <w:r>
        <w:t>, ressalvada a hipótese em que a remuneração decorra exclusivamente dos honorários de sucumbência devidos pela parte vencida</w:t>
      </w:r>
      <w:r>
        <w:rPr>
          <w:rStyle w:val="Refdenotaderodap"/>
        </w:rPr>
        <w:footnoteReference w:id="6"/>
      </w:r>
      <w:r>
        <w:t>.</w:t>
      </w:r>
    </w:p>
    <w:p w14:paraId="4201707B" w14:textId="77777777" w:rsidR="00DF597F" w:rsidRDefault="008F60D8">
      <w:pPr>
        <w:pStyle w:val="Default"/>
        <w:spacing w:after="120" w:line="360" w:lineRule="auto"/>
        <w:jc w:val="both"/>
      </w:pPr>
      <w:r>
        <w:t>58.</w:t>
      </w:r>
      <w:r>
        <w:tab/>
        <w:t xml:space="preserve">Quanto à invocada convergência inicial do Corpo Técnico e do Ministério Público de Contas, cumpre registrar que as manifestações constantes dos Eventos 54 e 62 foram produzidas em julho e agosto de 2024, anteriormente à instrução defensiva completa, e que o próprio </w:t>
      </w:r>
      <w:r w:rsidRPr="007872EA">
        <w:rPr>
          <w:i/>
          <w:iCs/>
        </w:rPr>
        <w:t>Parquet</w:t>
      </w:r>
      <w:r>
        <w:t xml:space="preserve"> Especial de Contas reformou expressamente seu entendimento por meio do Parecer nº 072/2025 (Evento 162), opinando pela irregularidade da matéria, circunstância que descaracteriza a alegada unanimidade institucional.</w:t>
      </w:r>
    </w:p>
    <w:p w14:paraId="4C44F5AD" w14:textId="77777777" w:rsidR="00DF597F" w:rsidRDefault="008F60D8">
      <w:pPr>
        <w:pStyle w:val="Default"/>
        <w:spacing w:after="120" w:line="360" w:lineRule="auto"/>
        <w:jc w:val="both"/>
      </w:pPr>
      <w:r>
        <w:t>59.</w:t>
      </w:r>
      <w:r>
        <w:tab/>
        <w:t>Impõe-se, pois, a rejeição das alegações constantes dos capítulos IV e VII da peça recursal.</w:t>
      </w:r>
    </w:p>
    <w:p w14:paraId="0C91C345" w14:textId="77777777" w:rsidR="00DF597F" w:rsidRDefault="008F60D8" w:rsidP="007872EA">
      <w:pPr>
        <w:pStyle w:val="Default"/>
        <w:shd w:val="clear" w:color="auto" w:fill="F2F2F2"/>
        <w:spacing w:after="120" w:line="360" w:lineRule="auto"/>
        <w:jc w:val="both"/>
        <w:rPr>
          <w:b/>
          <w:bCs/>
        </w:rPr>
      </w:pPr>
      <w:r>
        <w:rPr>
          <w:b/>
          <w:bCs/>
        </w:rPr>
        <w:t xml:space="preserve">3.3.2 – Da alegada inexistência de </w:t>
      </w:r>
      <w:proofErr w:type="spellStart"/>
      <w:r>
        <w:rPr>
          <w:b/>
          <w:bCs/>
        </w:rPr>
        <w:t>dano</w:t>
      </w:r>
      <w:proofErr w:type="spellEnd"/>
      <w:r>
        <w:rPr>
          <w:b/>
          <w:bCs/>
        </w:rPr>
        <w:t xml:space="preserve"> ao erário e do enriquecimento sem causa da Administração (capítulos VI e X)</w:t>
      </w:r>
    </w:p>
    <w:p w14:paraId="4EFCE43D" w14:textId="77777777" w:rsidR="00DF597F" w:rsidRDefault="008F60D8">
      <w:pPr>
        <w:pStyle w:val="Default"/>
        <w:spacing w:after="120" w:line="360" w:lineRule="auto"/>
        <w:jc w:val="both"/>
      </w:pPr>
      <w:r>
        <w:lastRenderedPageBreak/>
        <w:t>60.</w:t>
      </w:r>
      <w:r>
        <w:tab/>
        <w:t>Alega a recorrente que o dano reconhecido seria circular e que o afastamento da responsabilidade pecuniária dos gestores demonstraria a inexistência de prejuízo, sustentando, ainda, que a retenção dos valores configuraria enriquecimento sem causa da Administração.</w:t>
      </w:r>
    </w:p>
    <w:p w14:paraId="56CCDE83" w14:textId="77777777" w:rsidR="00DF597F" w:rsidRDefault="008F60D8">
      <w:pPr>
        <w:pStyle w:val="Default"/>
        <w:spacing w:after="120" w:line="360" w:lineRule="auto"/>
        <w:jc w:val="both"/>
      </w:pPr>
      <w:r>
        <w:t>61.</w:t>
      </w:r>
      <w:r>
        <w:tab/>
        <w:t>A inferência extraída do afastamento da responsabilidade dos gestores é logicamente inválida. O julgado guerreado excluiu a responsabilização pessoal com fulcro no artigo 28 do Decreto-Lei nº 4.657/1942, ante a ausência de dolo ou erro grosseiro em contexto de incerteza jurídica, juízo que versa sobre o elemento subjetivo da conduta, e não sobre a existência do dano.</w:t>
      </w:r>
    </w:p>
    <w:p w14:paraId="0C812614" w14:textId="514A9C31" w:rsidR="00DF597F" w:rsidRDefault="008F60D8">
      <w:pPr>
        <w:pStyle w:val="Default"/>
        <w:spacing w:after="120" w:line="360" w:lineRule="auto"/>
        <w:jc w:val="both"/>
      </w:pPr>
      <w:r>
        <w:t>62.</w:t>
      </w:r>
      <w:r>
        <w:tab/>
        <w:t xml:space="preserve">A distinção entre esses planos é reconhecida pela jurisprudência do Tribunal de Contas da União, que assentou ser possível </w:t>
      </w:r>
      <w:r>
        <w:rPr>
          <w:b/>
          <w:bCs/>
        </w:rPr>
        <w:t>condenar em débito apenas a empresa contratada como responsável pelo dano ao erário, sem a responsabilização solidária de agente público</w:t>
      </w:r>
      <w:r>
        <w:t xml:space="preserve">, porquanto o agente particular que tenha dado causa a </w:t>
      </w:r>
      <w:proofErr w:type="spellStart"/>
      <w:r>
        <w:t>dano</w:t>
      </w:r>
      <w:proofErr w:type="spellEnd"/>
      <w:r>
        <w:t xml:space="preserve"> ao erário está sujeito à jurisdição do Tribunal de Contas independentemente de ter atuado em conjunto com agente da Administração, ante o disposto no artigo 71, inciso II, da Constituição Federal</w:t>
      </w:r>
      <w:r w:rsidR="00A43F35">
        <w:rPr>
          <w:rStyle w:val="Refdenotaderodap"/>
        </w:rPr>
        <w:footnoteReference w:id="7"/>
      </w:r>
      <w:r>
        <w:t>.</w:t>
      </w:r>
    </w:p>
    <w:p w14:paraId="519E829D" w14:textId="77777777" w:rsidR="00DF597F" w:rsidRDefault="008F60D8">
      <w:pPr>
        <w:pStyle w:val="Default"/>
        <w:spacing w:after="120" w:line="360" w:lineRule="auto"/>
        <w:jc w:val="both"/>
      </w:pPr>
      <w:r>
        <w:t>63.</w:t>
      </w:r>
      <w:r>
        <w:tab/>
        <w:t xml:space="preserve">Conquanto se reconheça que o Superior Tribunal de Justiça, ao julgar hipótese de contratação de serviços advocatícios sem licitação, tenha consignado a ausência de </w:t>
      </w:r>
      <w:proofErr w:type="spellStart"/>
      <w:r>
        <w:t>dano</w:t>
      </w:r>
      <w:proofErr w:type="spellEnd"/>
      <w:r>
        <w:t xml:space="preserve"> ao erário diante da efetiva prestação dos serviços</w:t>
      </w:r>
      <w:r>
        <w:rPr>
          <w:rStyle w:val="Refdenotaderodap"/>
        </w:rPr>
        <w:footnoteReference w:id="8"/>
      </w:r>
      <w:r>
        <w:t>, o precedente não socorre a recorrente no ponto decisivo. É que o dano reconhecido nestes autos não corresponde à integralidade do desembolso, mas tão somente ao excesso sobre a remuneração reputada devida, grandeza que pressupõe, precisamente, o reconhecimento de que houve prestação e de que ela merece contraprestação.</w:t>
      </w:r>
    </w:p>
    <w:p w14:paraId="4905A776" w14:textId="77777777" w:rsidR="00DF597F" w:rsidRDefault="008F60D8">
      <w:pPr>
        <w:pStyle w:val="Default"/>
        <w:spacing w:after="120" w:line="360" w:lineRule="auto"/>
        <w:jc w:val="both"/>
      </w:pPr>
      <w:r>
        <w:t>64.</w:t>
      </w:r>
      <w:r>
        <w:tab/>
        <w:t xml:space="preserve">E esse excesso não é hipotético. A Informação Instrutiva da CCD (Evento 231) apurou, a partir dos registros oficiais do SIAI, o </w:t>
      </w:r>
      <w:r w:rsidRPr="00A43F35">
        <w:rPr>
          <w:b/>
          <w:bCs/>
        </w:rPr>
        <w:t>desembolso de R$ 2.770.490,49</w:t>
      </w:r>
      <w:r>
        <w:t xml:space="preserve"> (dois milhões, setecentos e setenta mil, quatrocentos e noventa reais e quarenta e nove centavos) </w:t>
      </w:r>
      <w:r w:rsidRPr="00A43F35">
        <w:rPr>
          <w:b/>
          <w:bCs/>
        </w:rPr>
        <w:t>em favor da sociedade recorrente, mediante vinte e sete lançamentos ocorridos entre 28 de dezembro de 2023 e 10 de junho de 2024</w:t>
      </w:r>
      <w:r>
        <w:t>.</w:t>
      </w:r>
    </w:p>
    <w:p w14:paraId="78F63F51" w14:textId="77777777" w:rsidR="00DF597F" w:rsidRDefault="008F60D8">
      <w:pPr>
        <w:pStyle w:val="Default"/>
        <w:spacing w:after="120" w:line="360" w:lineRule="auto"/>
        <w:jc w:val="both"/>
      </w:pPr>
      <w:r>
        <w:t>65.</w:t>
      </w:r>
      <w:r>
        <w:tab/>
        <w:t xml:space="preserve">Acresce que a antecipação de honorários com fundamento em decisão administrativa ainda passível de revisão constitui, por si só, causa autônoma de ilicitude, consoante </w:t>
      </w:r>
      <w:r>
        <w:lastRenderedPageBreak/>
        <w:t>entendimento firmado pela 2ª Câmara de Contas ao consignar que, mesmo que a cláusula fixadora dos honorários viesse a ser considerada válida, ainda assim não haveria licitude nos pagamentos mensais, por restar configurada indevida antecipação, com inversão do risco próprio do contrato, ante a ausência de garantia de devolução das verbas em caso de insucesso</w:t>
      </w:r>
      <w:r>
        <w:rPr>
          <w:rStyle w:val="Refdenotaderodap"/>
        </w:rPr>
        <w:footnoteReference w:id="9"/>
      </w:r>
      <w:r>
        <w:t xml:space="preserve">. </w:t>
      </w:r>
    </w:p>
    <w:p w14:paraId="19E80462" w14:textId="77777777" w:rsidR="00DF597F" w:rsidRDefault="008F60D8">
      <w:pPr>
        <w:pStyle w:val="Default"/>
        <w:spacing w:after="120" w:line="360" w:lineRule="auto"/>
        <w:jc w:val="both"/>
      </w:pPr>
      <w:r>
        <w:t>66.</w:t>
      </w:r>
      <w:r>
        <w:tab/>
        <w:t>Reforça a conclusão a Súmula nº 01 – TCE/RN, que reputa flagrante infringência à Lei Federal nº 4.320/1964 e à Lei Estadual nº 4.041/1971 o pagamento antecipado de despesa pública antes de sua liquidação, ainda que previsto no instrumento convocatório e no respectivo contrato administrativo.</w:t>
      </w:r>
    </w:p>
    <w:p w14:paraId="74FCE41D" w14:textId="6A7DF354" w:rsidR="00DF597F" w:rsidRDefault="008F60D8">
      <w:pPr>
        <w:pStyle w:val="Default"/>
        <w:spacing w:after="120" w:line="360" w:lineRule="auto"/>
        <w:jc w:val="both"/>
      </w:pPr>
      <w:r>
        <w:t>67.</w:t>
      </w:r>
      <w:r>
        <w:tab/>
        <w:t>No que concerne ao alegado enriquecimento sem causa da Administração, a premissa é juridicamente correta, mas já restou integralmente observada pelo julgado guerreado. Com efeito, a vedação ao locupletamento indevido do Poder Público constitui entendimento consolidado do Superior Tribunal de Justiça, que assentou impedir tal vedação que a Administração deixe de indenizar o contratado pelos serviços efetivamente prestados, excluído o lucro do negócio</w:t>
      </w:r>
      <w:r>
        <w:rPr>
          <w:rStyle w:val="Refdenotaderodap"/>
        </w:rPr>
        <w:footnoteReference w:id="10"/>
      </w:r>
      <w:r>
        <w:t xml:space="preserve">, determinando a declaração de invalidade do contrato </w:t>
      </w:r>
      <w:r w:rsidR="00A43F35">
        <w:t xml:space="preserve">e </w:t>
      </w:r>
      <w:r>
        <w:t>o retorno ao estado anterior, pelo custo básico do que foi produzido, sem qualquer margem de lucro</w:t>
      </w:r>
      <w:r>
        <w:rPr>
          <w:rStyle w:val="Refdenotaderodap"/>
        </w:rPr>
        <w:footnoteReference w:id="11"/>
      </w:r>
      <w:r>
        <w:t>.</w:t>
      </w:r>
    </w:p>
    <w:p w14:paraId="24C81570" w14:textId="77777777" w:rsidR="00DF597F" w:rsidRDefault="008F60D8">
      <w:pPr>
        <w:pStyle w:val="Default"/>
        <w:spacing w:after="120" w:line="360" w:lineRule="auto"/>
        <w:jc w:val="both"/>
      </w:pPr>
      <w:r>
        <w:t>68.</w:t>
      </w:r>
      <w:r>
        <w:tab/>
        <w:t>Precisamente por observar essa diretriz é que o Acórdão nº 197/2026-TC fixou teto indenizatório, em lugar de determinar a restituição integral dos valores desembolsados. Inexiste, portanto, locupletamento a corrigir: a decisão guerreada assegurou à recorrente indenização que, à luz do precedente próprio desta Casa, poderia sequer ter sido reconhecida em sede de controle externo.</w:t>
      </w:r>
    </w:p>
    <w:p w14:paraId="2AEB288E" w14:textId="77777777" w:rsidR="00DF597F" w:rsidRDefault="008F60D8">
      <w:pPr>
        <w:pStyle w:val="Default"/>
        <w:spacing w:after="120" w:line="360" w:lineRule="auto"/>
        <w:jc w:val="both"/>
      </w:pPr>
      <w:r>
        <w:t>69.</w:t>
      </w:r>
      <w:r>
        <w:tab/>
        <w:t xml:space="preserve">A opção metodológica pela fixação de teto indenizatório, em vez da validação integral do percentual pactuado ou da restituição integral dos valores desembolsados, corresponde à aplicação do critério de eficiência de </w:t>
      </w:r>
      <w:proofErr w:type="spellStart"/>
      <w:r>
        <w:t>Kaldor</w:t>
      </w:r>
      <w:proofErr w:type="spellEnd"/>
      <w:r>
        <w:t xml:space="preserve">-Hicks, mais adequado que o </w:t>
      </w:r>
      <w:proofErr w:type="spellStart"/>
      <w:r>
        <w:t>paretiano</w:t>
      </w:r>
      <w:proofErr w:type="spellEnd"/>
      <w:r>
        <w:t xml:space="preserve"> para decisões que envolvem recursos públicos, porquanto toda decisão dessa natureza produz </w:t>
      </w:r>
      <w:r>
        <w:lastRenderedPageBreak/>
        <w:t>ganhadores e perdedores</w:t>
      </w:r>
      <w:r>
        <w:rPr>
          <w:rStyle w:val="Refdenotaderodap"/>
        </w:rPr>
        <w:footnoteReference w:id="12"/>
      </w:r>
      <w:r>
        <w:t xml:space="preserve">. Enquanto a eficiência de Pareto exigiria que nenhuma parte fosse prejudicada, padrão inatingível em qualquer recomposição patrimonial, o critério de </w:t>
      </w:r>
      <w:proofErr w:type="spellStart"/>
      <w:r>
        <w:t>Kaldor</w:t>
      </w:r>
      <w:proofErr w:type="spellEnd"/>
      <w:r>
        <w:t>-Hicks pergunta se os ganhos gerados pela medida superam as perdas impostas, ainda que sem compensação direta entre uns e outros.</w:t>
      </w:r>
    </w:p>
    <w:p w14:paraId="1A7F9246" w14:textId="77777777" w:rsidR="00DF597F" w:rsidRDefault="008F60D8">
      <w:pPr>
        <w:pStyle w:val="Default"/>
        <w:spacing w:after="120" w:line="360" w:lineRule="auto"/>
        <w:jc w:val="both"/>
      </w:pPr>
      <w:r>
        <w:t>70.</w:t>
      </w:r>
      <w:r>
        <w:tab/>
        <w:t xml:space="preserve">Sob essa ótica, o dano ao erário não corresponde à integralidade do desembolso precisamente porque a atuação da sociedade recorrente gerou proveito real aos Municípios. O teto indenizatório isola apenas o excedente que não corresponde a esse ganho, a parcela do percentual pactuado que excede o que uma contratação submetida a preço de mercado teria exigido. Reconhecer a integralidade da prestação, como pretendem os capítulos VI e X, atribuiria à sociedade contratada a totalidade do ganho gerado pela relação: </w:t>
      </w:r>
      <w:r w:rsidRPr="00A43F35">
        <w:rPr>
          <w:b/>
          <w:bCs/>
        </w:rPr>
        <w:t>o regime jurídico administrativo não tolera essa apropriação, pois vincula a Administração ao dever de repartir o ganho segundo parâmetros de razoabilidade econômica, e não segundo a posição de força negocial obtida em contexto de ausência de concorrência</w:t>
      </w:r>
      <w:r>
        <w:t>.</w:t>
      </w:r>
    </w:p>
    <w:p w14:paraId="2B1B543C" w14:textId="77777777" w:rsidR="00DF597F" w:rsidRDefault="008F60D8">
      <w:pPr>
        <w:pStyle w:val="Default"/>
        <w:spacing w:after="120" w:line="360" w:lineRule="auto"/>
        <w:jc w:val="both"/>
      </w:pPr>
      <w:r>
        <w:t>71.</w:t>
      </w:r>
      <w:r>
        <w:tab/>
        <w:t>É esse também o fundamento que distingue a hipótese dos autos do precedente do Superior Tribunal de Justiça invocado no capítulo VI: naquele caso não havia excedente identificável a isolar; nestes autos, o próprio desenho contratual tornou inevitável a existência de excedente cuja restituição, e não a invalidação integral da relação, é a resposta que a Análise Econômica do Direito recomenda como proporcional.</w:t>
      </w:r>
    </w:p>
    <w:p w14:paraId="527B3C3D" w14:textId="77777777" w:rsidR="00DF597F" w:rsidRDefault="008F60D8">
      <w:pPr>
        <w:pStyle w:val="Default"/>
        <w:spacing w:after="120" w:line="360" w:lineRule="auto"/>
        <w:jc w:val="both"/>
      </w:pPr>
      <w:r>
        <w:t>72.</w:t>
      </w:r>
      <w:r>
        <w:tab/>
        <w:t>Quanto à invocação da Tabela de Honorários da Ordem dos Advogados do Brasil como parâmetro de aferição, a alegação não encontra amparo. A Corte Especial do Superior Tribunal de Justiça, reafirmando a tese fixada no Tema Repetitivo nº 984, assentou que as tabelas elaboradas pelos Conselhos Seccionais não vinculam o julgador, servindo como mera referência</w:t>
      </w:r>
      <w:r>
        <w:rPr>
          <w:rStyle w:val="Refdenotaderodap"/>
        </w:rPr>
        <w:footnoteReference w:id="13"/>
      </w:r>
      <w:r>
        <w:t>.</w:t>
      </w:r>
    </w:p>
    <w:p w14:paraId="5CC2E413" w14:textId="77777777" w:rsidR="00DF597F" w:rsidRDefault="008F60D8">
      <w:pPr>
        <w:pStyle w:val="Default"/>
        <w:spacing w:after="120" w:line="360" w:lineRule="auto"/>
        <w:jc w:val="both"/>
      </w:pPr>
      <w:r>
        <w:lastRenderedPageBreak/>
        <w:t>73.</w:t>
      </w:r>
      <w:r>
        <w:tab/>
        <w:t>Anote-se, outrossim, que o Superior Tribunal de Justiça assentou não ser possível apreciar recurso especial fundamentado em violação ao Código de Ética e Disciplina da Ordem dos Advogados do Brasil, por não se enquadrar tal diploma no conceito de lei federal</w:t>
      </w:r>
      <w:r>
        <w:rPr>
          <w:rStyle w:val="Refdenotaderodap"/>
        </w:rPr>
        <w:footnoteReference w:id="14"/>
      </w:r>
      <w:r>
        <w:t>.</w:t>
      </w:r>
    </w:p>
    <w:p w14:paraId="3BB486AB" w14:textId="77777777" w:rsidR="00DF597F" w:rsidRDefault="008F60D8">
      <w:pPr>
        <w:pStyle w:val="Default"/>
        <w:spacing w:after="120" w:line="360" w:lineRule="auto"/>
        <w:jc w:val="both"/>
      </w:pPr>
      <w:r>
        <w:t>74.</w:t>
      </w:r>
      <w:r>
        <w:tab/>
        <w:t>Impõe-se, pois, a rejeição das alegações constantes dos capítulos VI e X da peça recursal.</w:t>
      </w:r>
    </w:p>
    <w:p w14:paraId="179F18D4" w14:textId="77777777" w:rsidR="00DF597F" w:rsidRDefault="008F60D8" w:rsidP="00A43F35">
      <w:pPr>
        <w:pStyle w:val="Default"/>
        <w:shd w:val="clear" w:color="auto" w:fill="F2F2F2"/>
        <w:spacing w:after="120" w:line="360" w:lineRule="auto"/>
        <w:jc w:val="both"/>
        <w:rPr>
          <w:b/>
          <w:bCs/>
        </w:rPr>
      </w:pPr>
      <w:r>
        <w:rPr>
          <w:b/>
          <w:bCs/>
        </w:rPr>
        <w:t>3.3.3 – Do parâmetro indenizatório, da progressividade por faixas e dos marcos temporais do salário-mínimo, por ciclo de atuação (capítulos III, V, VIII e IX)</w:t>
      </w:r>
    </w:p>
    <w:p w14:paraId="4D88342A" w14:textId="77777777" w:rsidR="00DF597F" w:rsidRDefault="008F60D8">
      <w:pPr>
        <w:pStyle w:val="Default"/>
        <w:spacing w:after="120" w:line="360" w:lineRule="auto"/>
        <w:jc w:val="both"/>
      </w:pPr>
      <w:r>
        <w:t>75.</w:t>
      </w:r>
      <w:r>
        <w:tab/>
        <w:t>Reside neste eixo o núcleo da irresignação recursal, impondo-se aqui o exame mais detido. Como se demonstrará, a integração normativa completa do artigo 85 do Código de Processo Civil, corolário da própria técnica analógica empregada no acórdão recorrido, impõe o ajuste metodológico a seguir, independentemente do mérito da argumentação recursal.</w:t>
      </w:r>
    </w:p>
    <w:p w14:paraId="7D45FD1B" w14:textId="77777777" w:rsidR="00DF597F" w:rsidRDefault="008F60D8">
      <w:pPr>
        <w:pStyle w:val="Default"/>
        <w:spacing w:after="120" w:line="360" w:lineRule="auto"/>
        <w:jc w:val="both"/>
      </w:pPr>
      <w:r>
        <w:t>76.</w:t>
      </w:r>
      <w:r>
        <w:tab/>
        <w:t>Registre-se, preliminarmente, a tensão interna das teses deduzidas: ao passo que os capítulos V e VIII sustentam a inaplicabilidade do artigo 85 do Código de Processo Civil, o capítulo III postula a sua aplicação correta, na sistemática progressiva do § 5º. As proposições são reciprocamente excludentes, porquanto, não incidindo o dispositivo, inexiste metodologia a corrigir.</w:t>
      </w:r>
    </w:p>
    <w:p w14:paraId="010BEA73" w14:textId="77777777" w:rsidR="00DF597F" w:rsidRDefault="008F60D8">
      <w:pPr>
        <w:pStyle w:val="Default"/>
        <w:spacing w:after="120" w:line="360" w:lineRule="auto"/>
        <w:jc w:val="both"/>
      </w:pPr>
      <w:r>
        <w:t>77.</w:t>
      </w:r>
      <w:r>
        <w:tab/>
        <w:t>Conquanto o Superior Tribunal de Justiça tenha assentado que os honorários contratuais têm natureza diversa dos honorários sucumbenciais, não se lhes aplicando os critérios do artigo 85, § 2º, do Código de Processo Civil</w:t>
      </w:r>
      <w:r>
        <w:rPr>
          <w:rStyle w:val="Refdenotaderodap"/>
        </w:rPr>
        <w:footnoteReference w:id="15"/>
      </w:r>
      <w:r>
        <w:t>, o precedente não alcança a hipótese destes autos.</w:t>
      </w:r>
    </w:p>
    <w:p w14:paraId="412DF7FF" w14:textId="77777777" w:rsidR="00DF597F" w:rsidRDefault="008F60D8">
      <w:pPr>
        <w:pStyle w:val="Default"/>
        <w:spacing w:after="120" w:line="360" w:lineRule="auto"/>
        <w:jc w:val="both"/>
      </w:pPr>
      <w:r>
        <w:t>78.</w:t>
      </w:r>
      <w:r>
        <w:tab/>
        <w:t>Com efeito, o Acórdão nº 197/2026-TC não procedeu ao arbitramento de honorários advocatícios contratuais, categoria a que se referem os precedentes invocáveis pela recorrente e que o Superior Tribunal de Justiça reserva à esfera judicial</w:t>
      </w:r>
      <w:r>
        <w:rPr>
          <w:rStyle w:val="Refdenotaderodap"/>
        </w:rPr>
        <w:footnoteReference w:id="16"/>
      </w:r>
      <w:r>
        <w:t xml:space="preserve">. </w:t>
      </w:r>
    </w:p>
    <w:p w14:paraId="1B8FD0A6" w14:textId="77777777" w:rsidR="00DF597F" w:rsidRDefault="008F60D8">
      <w:pPr>
        <w:pStyle w:val="Default"/>
        <w:spacing w:after="120" w:line="360" w:lineRule="auto"/>
        <w:jc w:val="both"/>
      </w:pPr>
      <w:r>
        <w:t>79.</w:t>
      </w:r>
      <w:r>
        <w:tab/>
      </w:r>
      <w:r w:rsidRPr="005A1DC3">
        <w:rPr>
          <w:b/>
          <w:bCs/>
        </w:rPr>
        <w:t xml:space="preserve">O que se </w:t>
      </w:r>
      <w:proofErr w:type="spellStart"/>
      <w:r w:rsidRPr="005A1DC3">
        <w:rPr>
          <w:b/>
          <w:bCs/>
        </w:rPr>
        <w:t>fez</w:t>
      </w:r>
      <w:proofErr w:type="spellEnd"/>
      <w:r w:rsidRPr="005A1DC3">
        <w:rPr>
          <w:b/>
          <w:bCs/>
        </w:rPr>
        <w:t>, na espécie, foi fixar parâmetro indenizatório em sede de controle externo, sobre contrato administrativo declarado nulo</w:t>
      </w:r>
      <w:r>
        <w:t>, com fulcro no artigo 149 da Lei Federal nº 14.133/2021, no exercício da competência que decorre do artigo 71, inciso II, da Constituição Federal e do artigo 75, inciso IV, da Lei Complementar Estadual nº 464/2012.</w:t>
      </w:r>
    </w:p>
    <w:p w14:paraId="77443B88" w14:textId="77777777" w:rsidR="00DF597F" w:rsidRDefault="008F60D8">
      <w:pPr>
        <w:pStyle w:val="Default"/>
        <w:spacing w:after="120" w:line="360" w:lineRule="auto"/>
        <w:jc w:val="both"/>
      </w:pPr>
      <w:r>
        <w:lastRenderedPageBreak/>
        <w:t>80.</w:t>
      </w:r>
      <w:r>
        <w:tab/>
        <w:t>Trata-se de categorias jurídicas distintas. Na primeira, discute-se a remuneração devida em relação contratual válida ou resilida entre advogado e constituinte. Na segunda, que é a hipótese dos autos, apura-se o limite do ressarcimento devido pela Administração em razão de ajuste invalidado, matéria inserida na competência sancionatória e ressarcitória desta Corte de Contas.</w:t>
      </w:r>
    </w:p>
    <w:p w14:paraId="0FACB856" w14:textId="634CEFFB" w:rsidR="00DF597F" w:rsidRDefault="008F60D8">
      <w:pPr>
        <w:pStyle w:val="Default"/>
        <w:spacing w:after="120" w:line="360" w:lineRule="auto"/>
        <w:jc w:val="both"/>
      </w:pPr>
      <w:r>
        <w:t>81.</w:t>
      </w:r>
      <w:r>
        <w:tab/>
        <w:t xml:space="preserve">A analogia, aqui, opera apenas como técnica de integração normativa, autorizada pelo artigo 4º do Decreto-Lei nº 4.657/1942 </w:t>
      </w:r>
      <w:r w:rsidR="005A1DC3">
        <w:t>(</w:t>
      </w:r>
      <w:r>
        <w:t xml:space="preserve">Lei de Introdução às Normas do Direito Brasileiro – </w:t>
      </w:r>
      <w:r w:rsidR="005A1DC3">
        <w:t xml:space="preserve">LINDB) </w:t>
      </w:r>
      <w:r>
        <w:t>e pela Súmula nº 103 do Tribunal de Contas da União.</w:t>
      </w:r>
    </w:p>
    <w:p w14:paraId="70286C51" w14:textId="77777777" w:rsidR="00DF597F" w:rsidRDefault="008F60D8">
      <w:pPr>
        <w:pStyle w:val="Default"/>
        <w:spacing w:after="120" w:line="360" w:lineRule="auto"/>
        <w:jc w:val="both"/>
      </w:pPr>
      <w:r>
        <w:t>82.</w:t>
      </w:r>
      <w:r>
        <w:tab/>
        <w:t>Registre-se, ainda, que essa técnica beneficia a própria recorrente: sem ela, o precedente desta Casa simplesmente negaria qualquer indenização em sede de controle externo, relegando a discussão às vias ordinárias.</w:t>
      </w:r>
    </w:p>
    <w:p w14:paraId="59D05EA7" w14:textId="77777777" w:rsidR="00DF597F" w:rsidRDefault="008F60D8">
      <w:pPr>
        <w:pStyle w:val="Default"/>
        <w:spacing w:after="120" w:line="360" w:lineRule="auto"/>
        <w:jc w:val="both"/>
      </w:pPr>
      <w:r>
        <w:t>83.</w:t>
      </w:r>
      <w:r>
        <w:tab/>
        <w:t>Pelas mesmas razões não prospera o capítulo VIII, cuja premissa, atinente à natureza administrativa e cíclica da atuação perante a Agência Nacional de Mineração, não infirma a competência desta Corte para fixar o limite indenizatório, tampouco a legitimidade da técnica integrativa empregada.</w:t>
      </w:r>
    </w:p>
    <w:p w14:paraId="29CC16D8" w14:textId="7C9A6434" w:rsidR="00DF597F" w:rsidRDefault="008F60D8">
      <w:pPr>
        <w:pStyle w:val="Default"/>
        <w:spacing w:after="120" w:line="360" w:lineRule="auto"/>
        <w:jc w:val="both"/>
      </w:pPr>
      <w:r>
        <w:t>84.</w:t>
      </w:r>
      <w:r>
        <w:tab/>
        <w:t>Neste ponto específico, contudo, o pedido comporta acolhimento parcial</w:t>
      </w:r>
      <w:r w:rsidR="005A1DC3">
        <w:t xml:space="preserve">, </w:t>
      </w:r>
      <w:r>
        <w:t>não por procedência da tese recursal, mas por exigência de coerência técnica no emprego da analogia adotada pelo próprio julgado guerreado. O artigo 85, § 5º, do Código de Processo Civil é norma cogente de aplicação do § 3º, determinando que, sendo o proveito econômico superior ao limite do inciso I, a fixação do percentual observe a faixa inicial e, naquilo que a exceder, a faixa subsequente, e assim sucessivamente. Adotada a analogia, há de sê-lo integralmente, sob pena de aplicação parcial e, portanto, distorcida do modelo normativo invocado.</w:t>
      </w:r>
    </w:p>
    <w:p w14:paraId="15951EB5" w14:textId="77777777" w:rsidR="00DF597F" w:rsidRDefault="008F60D8">
      <w:pPr>
        <w:pStyle w:val="Default"/>
        <w:spacing w:after="120" w:line="360" w:lineRule="auto"/>
        <w:jc w:val="both"/>
      </w:pPr>
      <w:r>
        <w:t>85.</w:t>
      </w:r>
      <w:r>
        <w:tab/>
        <w:t>A sistemática foi expressamente firmada pela Primeira Seção do Superior Tribunal de Justiça, em contexto notavelmente aproximado ao destes autos, qual seja, o destaque de honorários advocatícios contratuais em precatório relativo a verbas do FUNDEF e do FUNDEB devidas a Município:</w:t>
      </w:r>
    </w:p>
    <w:p w14:paraId="14C7CF1D" w14:textId="77777777" w:rsidR="00DF597F" w:rsidRDefault="008F60D8">
      <w:pPr>
        <w:pStyle w:val="Default"/>
        <w:spacing w:after="120" w:line="276" w:lineRule="auto"/>
        <w:ind w:left="2268"/>
        <w:jc w:val="both"/>
        <w:rPr>
          <w:i/>
          <w:iCs/>
          <w:sz w:val="20"/>
          <w:szCs w:val="20"/>
        </w:rPr>
      </w:pPr>
      <w:r>
        <w:rPr>
          <w:i/>
          <w:iCs/>
          <w:sz w:val="20"/>
          <w:szCs w:val="20"/>
        </w:rPr>
        <w:t xml:space="preserve">Considerando a complexidade da causa, o trabalho realizado pelos causídicos e o tempo exigido para o serviço, correta a condenação da União ao pagamento de honorários advocatícios fixados no percentual mínimo do inciso correspondente do § 3º do art. 85 do CPC e, no que exceder, do inciso subsequente, e assim sucessivamente, consoante o § 5º, do mesmo dispositivo legal, com base no proveito econômico obtido. </w:t>
      </w:r>
    </w:p>
    <w:p w14:paraId="50613857" w14:textId="77777777" w:rsidR="00DF597F" w:rsidRDefault="008F60D8">
      <w:pPr>
        <w:pStyle w:val="Default"/>
        <w:spacing w:after="120" w:line="276" w:lineRule="auto"/>
        <w:ind w:left="2268"/>
        <w:jc w:val="both"/>
        <w:rPr>
          <w:i/>
          <w:iCs/>
          <w:sz w:val="20"/>
          <w:szCs w:val="20"/>
        </w:rPr>
      </w:pPr>
      <w:r>
        <w:rPr>
          <w:i/>
          <w:iCs/>
          <w:sz w:val="20"/>
          <w:szCs w:val="20"/>
        </w:rPr>
        <w:lastRenderedPageBreak/>
        <w:t xml:space="preserve">(STJ. Agravo Interno nos Embargos de Declaração na Reclamação nº 41.149/PE. Primeira Seção. Julgado em 30/08/2022. </w:t>
      </w:r>
      <w:proofErr w:type="spellStart"/>
      <w:r>
        <w:rPr>
          <w:i/>
          <w:iCs/>
          <w:sz w:val="20"/>
          <w:szCs w:val="20"/>
        </w:rPr>
        <w:t>DJe</w:t>
      </w:r>
      <w:proofErr w:type="spellEnd"/>
      <w:r>
        <w:rPr>
          <w:i/>
          <w:iCs/>
          <w:sz w:val="20"/>
          <w:szCs w:val="20"/>
        </w:rPr>
        <w:t xml:space="preserve"> de 05/09/2022; no mesmo sentido, Agravo Interno nos Embargos de Declaração na Reclamação nº 40.910/PE. Primeira Seção. Julgado em 30/08/2022. </w:t>
      </w:r>
      <w:proofErr w:type="spellStart"/>
      <w:r>
        <w:rPr>
          <w:i/>
          <w:iCs/>
          <w:sz w:val="20"/>
          <w:szCs w:val="20"/>
        </w:rPr>
        <w:t>DJe</w:t>
      </w:r>
      <w:proofErr w:type="spellEnd"/>
      <w:r>
        <w:rPr>
          <w:i/>
          <w:iCs/>
          <w:sz w:val="20"/>
          <w:szCs w:val="20"/>
        </w:rPr>
        <w:t xml:space="preserve"> de 05/09/2022.)</w:t>
      </w:r>
    </w:p>
    <w:p w14:paraId="3CBB5346" w14:textId="006C3028" w:rsidR="00DF597F" w:rsidRDefault="008F60D8">
      <w:pPr>
        <w:pStyle w:val="Default"/>
        <w:spacing w:after="120" w:line="360" w:lineRule="auto"/>
        <w:jc w:val="both"/>
      </w:pPr>
      <w:r>
        <w:t>86.</w:t>
      </w:r>
      <w:r>
        <w:tab/>
        <w:t xml:space="preserve">Extraem-se do precedente três definições de aplicação obrigatória: </w:t>
      </w:r>
      <w:r w:rsidR="00F84914">
        <w:t>(</w:t>
      </w:r>
      <w:r w:rsidR="00F84914" w:rsidRPr="00F84914">
        <w:rPr>
          <w:i/>
          <w:iCs/>
        </w:rPr>
        <w:t>i</w:t>
      </w:r>
      <w:r w:rsidR="00F84914">
        <w:t xml:space="preserve">) </w:t>
      </w:r>
      <w:r>
        <w:t xml:space="preserve">a incidência é escalonada, faixa a faixa; </w:t>
      </w:r>
      <w:r w:rsidR="00F84914">
        <w:t>(</w:t>
      </w:r>
      <w:proofErr w:type="spellStart"/>
      <w:r w:rsidR="00F84914" w:rsidRPr="00F84914">
        <w:rPr>
          <w:i/>
          <w:iCs/>
        </w:rPr>
        <w:t>ii</w:t>
      </w:r>
      <w:proofErr w:type="spellEnd"/>
      <w:r w:rsidR="00F84914">
        <w:t xml:space="preserve">) </w:t>
      </w:r>
      <w:r>
        <w:t>o percentual adotado é o mínimo de cada inciso, fundamentado nos critérios do artigo 85, § 2º; e</w:t>
      </w:r>
      <w:r w:rsidR="00F84914">
        <w:t>, (</w:t>
      </w:r>
      <w:proofErr w:type="spellStart"/>
      <w:r w:rsidR="00F84914" w:rsidRPr="00F84914">
        <w:rPr>
          <w:i/>
          <w:iCs/>
        </w:rPr>
        <w:t>iii</w:t>
      </w:r>
      <w:proofErr w:type="spellEnd"/>
      <w:r w:rsidR="00F84914">
        <w:t>)</w:t>
      </w:r>
      <w:r>
        <w:t xml:space="preserve"> a base de cálculo é o proveito econômico obtido.</w:t>
      </w:r>
    </w:p>
    <w:p>
      <w:pPr>
        <w:pStyle w:val="Default"/>
        <w:spacing w:after="120" w:line="360" w:lineRule="auto"/>
        <w:jc w:val="both"/>
      </w:pPr>
      <w:r>
        <w:t>87.</w:t>
        <w:tab/>
        <w:t xml:space="preserve">Em sentido convergente, e em julgado recente, o Superior Tribunal de Justiça reafirmou a obrigatoriedade da observância conjunta dos §§ 3º e 5º do artigo 85 do Código de Processo Civil, mantendo acórdão estadual precisamente por haver este reconhecido a necessidade de observância das faixas de escalonamento. Assentou-se, ademais, que os percentuais do § 3º incidem tanto na hipótese de sucumbência da Fazenda Pública quanto naquela em que esta se sagra vencedora, à míngua de distinção redacional no dispositivo</w:t>
      </w:r>
      <w:r>
        <w:rPr>
          <w:rStyle w:val="FootnoteReference"/>
        </w:rPr>
        <w:footnoteReference w:id="17"/>
      </w:r>
      <w:r>
        <w:t xml:space="preserve">. A observação é pertinente aos presentes autos, porquanto o parâmetro indenizatório ora examinado opera em favor do erário municipal, e não contra ele, sem que daí decorra qualquer alteração dos percentuais aplicáveis.</w:t>
      </w:r>
    </w:p>
    <w:p w14:paraId="79766CF5" w14:textId="14965BFF" w:rsidR="00DF597F" w:rsidRDefault="008F60D8" w:rsidP="001E3203">
      <w:pPr>
        <w:pStyle w:val="Default"/>
        <w:spacing w:after="120" w:line="360" w:lineRule="auto"/>
        <w:jc w:val="both"/>
      </w:pPr>
      <w:r>
        <w:t>88.</w:t>
      </w:r>
      <w:r>
        <w:tab/>
        <w:t xml:space="preserve">Cumpre registrar, neste passo, que </w:t>
      </w:r>
      <w:r w:rsidRPr="001E3203">
        <w:rPr>
          <w:b/>
          <w:bCs/>
        </w:rPr>
        <w:t>a recorrente construiu suas memórias de cálculo mediante aplicação dos percentuais máximos de cada faixa, apresentando-os como imposição legal</w:t>
      </w:r>
      <w:r>
        <w:t>. A premissa é equivocada: o § 3º estabelece faixas delimitadas por mínimo e máximo, cabendo a definição do percentual, dentro de cada faixa, à ponderação dos critérios do § 2º, quais sejam</w:t>
      </w:r>
      <w:r w:rsidR="001E3203">
        <w:t>:</w:t>
      </w:r>
      <w:r>
        <w:t xml:space="preserve"> </w:t>
      </w:r>
      <w:r w:rsidR="001E3203">
        <w:t>(</w:t>
      </w:r>
      <w:r w:rsidR="001E3203" w:rsidRPr="001E3203">
        <w:rPr>
          <w:i/>
          <w:iCs/>
        </w:rPr>
        <w:t>i</w:t>
      </w:r>
      <w:r w:rsidR="001E3203">
        <w:t xml:space="preserve">) </w:t>
      </w:r>
      <w:r w:rsidR="001E3203">
        <w:t>o grau de zelo do profissional;</w:t>
      </w:r>
      <w:r w:rsidR="001E3203">
        <w:t xml:space="preserve"> </w:t>
      </w:r>
      <w:r w:rsidR="001E3203">
        <w:t>(</w:t>
      </w:r>
      <w:proofErr w:type="spellStart"/>
      <w:r w:rsidR="001E3203" w:rsidRPr="001E3203">
        <w:rPr>
          <w:i/>
          <w:iCs/>
        </w:rPr>
        <w:t>i</w:t>
      </w:r>
      <w:r w:rsidR="001E3203">
        <w:rPr>
          <w:i/>
          <w:iCs/>
        </w:rPr>
        <w:t>i</w:t>
      </w:r>
      <w:proofErr w:type="spellEnd"/>
      <w:r w:rsidR="001E3203">
        <w:t>) o lugar de prestação do serviço;</w:t>
      </w:r>
      <w:r w:rsidR="001E3203">
        <w:t xml:space="preserve"> </w:t>
      </w:r>
      <w:r w:rsidR="001E3203">
        <w:t>(</w:t>
      </w:r>
      <w:proofErr w:type="spellStart"/>
      <w:r w:rsidR="001E3203" w:rsidRPr="001E3203">
        <w:rPr>
          <w:i/>
          <w:iCs/>
        </w:rPr>
        <w:t>i</w:t>
      </w:r>
      <w:r w:rsidR="001E3203">
        <w:rPr>
          <w:i/>
          <w:iCs/>
        </w:rPr>
        <w:t>ii</w:t>
      </w:r>
      <w:proofErr w:type="spellEnd"/>
      <w:r w:rsidR="001E3203">
        <w:t>) a natureza e a importância da causa;</w:t>
      </w:r>
      <w:r w:rsidR="001E3203">
        <w:t xml:space="preserve"> e, </w:t>
      </w:r>
      <w:r w:rsidR="001E3203">
        <w:t>(</w:t>
      </w:r>
      <w:proofErr w:type="spellStart"/>
      <w:r w:rsidR="001E3203" w:rsidRPr="001E3203">
        <w:rPr>
          <w:i/>
          <w:iCs/>
        </w:rPr>
        <w:t>i</w:t>
      </w:r>
      <w:r w:rsidR="001E3203">
        <w:rPr>
          <w:i/>
          <w:iCs/>
        </w:rPr>
        <w:t>v</w:t>
      </w:r>
      <w:proofErr w:type="spellEnd"/>
      <w:r w:rsidR="001E3203">
        <w:t>) o trabalho realizado pelo advogado e o tempo exigido para o seu serviço.</w:t>
      </w:r>
      <w:r>
        <w:t xml:space="preserve"> </w:t>
      </w:r>
      <w:r w:rsidRPr="001E3203">
        <w:rPr>
          <w:b/>
          <w:bCs/>
        </w:rPr>
        <w:t>E a Primeira Seção do Superior Tribunal de Justiça adotou, na hipótese acima referida, os percentuais mínimos</w:t>
      </w:r>
      <w:r>
        <w:t>.</w:t>
      </w:r>
    </w:p>
    <w:p w14:paraId="4F3EEC9D" w14:textId="1F48B404" w:rsidR="00DF597F" w:rsidRDefault="008F60D8">
      <w:pPr>
        <w:pStyle w:val="Default"/>
        <w:spacing w:after="120" w:line="360" w:lineRule="auto"/>
        <w:jc w:val="both"/>
      </w:pPr>
      <w:r>
        <w:t>89.</w:t>
      </w:r>
      <w:r>
        <w:tab/>
        <w:t xml:space="preserve">A opção legislativa por faixas decrescentes de incidência percentual não é arbitrária sob a ótica econômica. </w:t>
      </w:r>
      <w:r w:rsidRPr="001E3203">
        <w:rPr>
          <w:b/>
          <w:bCs/>
        </w:rPr>
        <w:t>A remuneração de serviço profissional</w:t>
      </w:r>
      <w:r w:rsidR="001E3203" w:rsidRPr="001E3203">
        <w:rPr>
          <w:b/>
          <w:bCs/>
        </w:rPr>
        <w:t>,</w:t>
      </w:r>
      <w:r w:rsidRPr="001E3203">
        <w:rPr>
          <w:b/>
          <w:bCs/>
        </w:rPr>
        <w:t xml:space="preserve"> cujo resultado é função do proveito econômico obtido</w:t>
      </w:r>
      <w:r w:rsidR="001E3203" w:rsidRPr="001E3203">
        <w:rPr>
          <w:b/>
          <w:bCs/>
        </w:rPr>
        <w:t>,</w:t>
      </w:r>
      <w:r w:rsidRPr="001E3203">
        <w:rPr>
          <w:b/>
          <w:bCs/>
        </w:rPr>
        <w:t xml:space="preserve"> não deve crescer na mesma proporção desse proveito, porquanto o esforço marginal do prestador, medido pelos critérios do artigo 85, § 2º, do Código de Processo Civil, tende a ser decrescente à medida que o valor em disputa aumenta</w:t>
      </w:r>
      <w:r>
        <w:rPr>
          <w:rStyle w:val="Refdenotaderodap"/>
        </w:rPr>
        <w:footnoteReference w:id="18"/>
      </w:r>
      <w:r>
        <w:t>. Fixar percentual único sobre bases cada vez maiores dissocia a remuneração do esforço que a justifica, atribuindo ao contratado ganho que corresponde à escala do valor recuperado, circunstância alheia a seu desempenho profissional.</w:t>
      </w:r>
    </w:p>
    <w:p w14:paraId="3C081562" w14:textId="2EA00857" w:rsidR="00DF597F" w:rsidRDefault="008F60D8">
      <w:pPr>
        <w:pStyle w:val="Default"/>
        <w:spacing w:after="120" w:line="360" w:lineRule="auto"/>
        <w:jc w:val="both"/>
      </w:pPr>
      <w:r>
        <w:t>90.</w:t>
      </w:r>
      <w:r>
        <w:tab/>
        <w:t>A adoção dos percentuais mínimos é reforçada por essa lógica: à falta de elementos que demonstrem zelo, complexidade ou tempo excepcionais, não h</w:t>
      </w:r>
      <w:r w:rsidR="001E3203">
        <w:t>avendo</w:t>
      </w:r>
      <w:r>
        <w:t xml:space="preserve"> fundamento fático para percentuais superiores ao piso legal. Aqui também a distinção entre regime público e privado se impõe: em relação puramente privada, as partes poderiam pactuar remuneração acima do mercado por mera convergência de vontades; em relação que tem por objeto recursos públicos, incumbe a quem pretende remuneração acima do piso legal demonstrar o esforço excepcional que a justifique, não ao órgão de controle presumi-lo.</w:t>
      </w:r>
    </w:p>
    <w:p w14:paraId="1D291BFB" w14:textId="77777777" w:rsidR="00DF597F" w:rsidRDefault="008F60D8">
      <w:pPr>
        <w:pStyle w:val="Default"/>
        <w:spacing w:after="120" w:line="360" w:lineRule="auto"/>
        <w:jc w:val="both"/>
      </w:pPr>
      <w:r>
        <w:lastRenderedPageBreak/>
        <w:t>91.</w:t>
      </w:r>
      <w:r>
        <w:tab/>
      </w:r>
      <w:r w:rsidRPr="001E3203">
        <w:rPr>
          <w:b/>
          <w:bCs/>
        </w:rPr>
        <w:t>Merece correção, também, a base de cálculo</w:t>
      </w:r>
      <w:r>
        <w:t>. O Acórdão nº 197/2026-TC apurou o teto sobre o proveito econômico estimado por ciclo; a natureza do ajuste, pactuado sob condição de êxito, impõe que a base corresponda ao proveito efetivamente recebido pelos Municípios, apurado na Informação Instrutiva do Evento 231. Acolhe-se, nesse ponto, o capítulo IX, tal como formulado a título subsidiário pela própria recorrente. Não se propõe, todavia, a exclusão de parcela do proveito por ausência de atribuição causal à atuação profissional: o voto-vista, constante do Evento 219, já enfrentou a questão e concluiu que essa exclusão é desnecessária, pois o próprio teto, incidente sobre o proveito integral, já absorve tal hipótese.</w:t>
      </w:r>
    </w:p>
    <w:p w14:paraId="4D233BAF" w14:textId="77777777" w:rsidR="00DF597F" w:rsidRDefault="008F60D8">
      <w:pPr>
        <w:pStyle w:val="Default"/>
        <w:spacing w:after="120" w:line="360" w:lineRule="auto"/>
        <w:jc w:val="both"/>
      </w:pPr>
      <w:r>
        <w:t>92.</w:t>
      </w:r>
      <w:r>
        <w:tab/>
        <w:t>Cumpre precisar, ainda, o alcance do Tema nº 1.076 invocado pela recorrente. A tese fixada pela Corte Especial versa sobre a vedação à fixação de honorários por apreciação equitativa quando elevados os valores da condenação, da causa ou do proveito econômico, impondo, nesses casos, a observância obrigatória dos percentuais dos §§ 2º ou 3º do artigo 85</w:t>
      </w:r>
      <w:r>
        <w:rPr>
          <w:rStyle w:val="Refdenotaderodap"/>
        </w:rPr>
        <w:footnoteReference w:id="19"/>
      </w:r>
      <w:r>
        <w:t>. O repetitivo não decide, portanto, sobre a progressividade, conquanto a integre em seu objeto e os precedentes da Primeira Seção acima referidos a apliquem conjuntamente.</w:t>
      </w:r>
    </w:p>
    <w:p w14:paraId="5BB577B2" w14:textId="77777777" w:rsidR="00DF597F" w:rsidRDefault="008F60D8">
      <w:pPr>
        <w:pStyle w:val="Default"/>
        <w:spacing w:after="120" w:line="360" w:lineRule="auto"/>
        <w:jc w:val="both"/>
      </w:pPr>
      <w:r>
        <w:t>93.</w:t>
      </w:r>
      <w:r>
        <w:tab/>
        <w:t>Anote-se, por completude, que o Supremo Tribunal Federal reconheceu repercussão geral quanto à possibilidade de fixação de honorários por apreciação equitativa em hipóteses de valores exorbitantes</w:t>
      </w:r>
      <w:r>
        <w:rPr>
          <w:rStyle w:val="Refdenotaderodap"/>
        </w:rPr>
        <w:footnoteReference w:id="20"/>
      </w:r>
      <w:r>
        <w:t xml:space="preserve">, sem que tenha sido firmada tese até a presente data. </w:t>
      </w:r>
    </w:p>
    <w:p w14:paraId="5BBDE0AC" w14:textId="77777777" w:rsidR="00DF597F" w:rsidRDefault="008F60D8">
      <w:pPr>
        <w:pStyle w:val="Default"/>
        <w:spacing w:after="120" w:line="360" w:lineRule="auto"/>
        <w:jc w:val="both"/>
      </w:pPr>
      <w:r>
        <w:t>94.</w:t>
      </w:r>
      <w:r>
        <w:tab/>
        <w:t>Em Questão de Ordem julgada em 12 de março de 2025, o Plenário esclareceu que o Tema nº 1.255 está, atualmente, restrito à fixação de honorários advocatícios sucumbenciais nas causas em que a Fazenda Pública for parte</w:t>
      </w:r>
      <w:r>
        <w:rPr>
          <w:rStyle w:val="Refdenotaderodap"/>
        </w:rPr>
        <w:footnoteReference w:id="21"/>
      </w:r>
      <w:r>
        <w:t>. Cuida-se, pois, de hipótese diversa da presente, em que se examina parâmetro indenizatório por contrato administrativo declarado nulo, sem sucumbência processual, não tendo havido, ademais, determinação de suspensão nacional dos feitos correlatos.</w:t>
      </w:r>
    </w:p>
    <w:p w14:paraId="1E610DBD" w14:textId="2E5A1D50" w:rsidR="00DF597F" w:rsidRDefault="008F60D8">
      <w:pPr>
        <w:pStyle w:val="Default"/>
        <w:spacing w:after="120" w:line="360" w:lineRule="auto"/>
        <w:jc w:val="both"/>
      </w:pPr>
      <w:r>
        <w:t>95.</w:t>
      </w:r>
      <w:r>
        <w:tab/>
        <w:t xml:space="preserve">Definida a metodologia, cumpre precisar o marco temporal do salário-mínimo aplicável ao ciclo 2023/2024, único em relação ao qual há controvérsia quanto ao exercício de referência, porquanto as faixas do artigo 85, § 3º, do Código de Processo Civil são estabelecidas em múltiplos dessa referência, de modo que a sua fixação constitui elemento constitutivo </w:t>
      </w:r>
      <w:r w:rsidR="00AD0F6F">
        <w:t>(</w:t>
      </w:r>
      <w:r>
        <w:t>e não acessório</w:t>
      </w:r>
      <w:r w:rsidR="00AD0F6F">
        <w:t>)</w:t>
      </w:r>
      <w:r>
        <w:t xml:space="preserve"> da própria aplicação do dispositivo.</w:t>
      </w:r>
    </w:p>
    <w:p w14:paraId="0C58CAAE" w14:textId="77777777" w:rsidR="00DF597F" w:rsidRDefault="008F60D8">
      <w:pPr>
        <w:pStyle w:val="Default"/>
        <w:spacing w:after="120" w:line="360" w:lineRule="auto"/>
        <w:jc w:val="both"/>
      </w:pPr>
      <w:r>
        <w:lastRenderedPageBreak/>
        <w:t>96.</w:t>
      </w:r>
      <w:r>
        <w:tab/>
        <w:t>O MPC, no Parecer nº 072/2025 (Evento 162), consignou expressamente que, “quanto ao cálculo, levou-se em consideração o salário-mínimo referente ao ano de 2024”, parâmetro que foi acolhido pelo Voto constante do Evento 189 e incorporado ao Acórdão nº 197/2026-TC. A recorrente, contudo, valeu-se do salário-mínimo de 2025 em suas memórias de cálculo, sem, todavia, apresentar qualquer fundamentação quanto ao critério de fixação do marco temporal.</w:t>
      </w:r>
    </w:p>
    <w:p w14:paraId="45641F78" w14:textId="77777777" w:rsidR="00DF597F" w:rsidRDefault="008F60D8">
      <w:pPr>
        <w:pStyle w:val="Default"/>
        <w:spacing w:after="120" w:line="360" w:lineRule="auto"/>
        <w:jc w:val="both"/>
      </w:pPr>
      <w:r>
        <w:t>97.</w:t>
      </w:r>
      <w:r>
        <w:tab/>
        <w:t>A adoção do exercício de 2024 para esse ciclo impõe-se por três razões. A primeira reside na correspondência entre a régua e o objeto medido: o dispositivo refere-se ao “proveito econômico obtido”, e a obtenção ocorreu no ciclo 2023/2024, tendo os desembolsos se realizado entre 28 de dezembro de 2023 e 10 de junho de 2024, consoante apurado na Informação Instrutiva do Evento 231. A segunda decorre da coerência interna da própria solução ora proposta, que determina a apuração do proveito por ciclo, sendo incongruente medir o proveito de um ciclo com a referência de exercício diverso. A terceira funda-se na circunstância de que o Parecer nº 072/2025 é datado de 22 de setembro de 2025, quando já vigorava o salário-mínimo daquele exercício, do que se extrai ter sido a escolha do Parquet Especial de Contas deliberada, e não inercial.</w:t>
      </w:r>
    </w:p>
    <w:p w14:paraId="2D182985" w14:textId="77777777" w:rsidR="00DF597F" w:rsidRDefault="008F60D8">
      <w:pPr>
        <w:pStyle w:val="Default"/>
        <w:spacing w:after="120" w:line="360" w:lineRule="auto"/>
        <w:jc w:val="both"/>
      </w:pPr>
      <w:r>
        <w:t>98.</w:t>
      </w:r>
      <w:r>
        <w:tab/>
        <w:t>Registre-se, outrossim, que, acaso se elegesse como critério o momento da fixação do parâmetro, o exercício aplicável seria o de 2026 (data da prolação do julgado guerreado), e não o de 2025, de sorte que a referência invocada pela recorrente não corresponde, quanto ao ciclo 2023/2024, a nenhum marco temporal juridicamente identificável.</w:t>
      </w:r>
    </w:p>
    <w:p w14:paraId="12FD8E83" w14:textId="77777777" w:rsidR="00DF597F" w:rsidRDefault="008F60D8">
      <w:pPr>
        <w:pStyle w:val="Default"/>
        <w:spacing w:after="120" w:line="360" w:lineRule="auto"/>
        <w:jc w:val="both"/>
      </w:pPr>
      <w:r>
        <w:t>99.</w:t>
      </w:r>
      <w:r>
        <w:tab/>
        <w:t xml:space="preserve">Não se desconhece que a adoção do exercício de 2024 para o ciclo 2023/2024 é menos favorável </w:t>
      </w:r>
      <w:proofErr w:type="gramStart"/>
      <w:r>
        <w:t>à</w:t>
      </w:r>
      <w:proofErr w:type="gramEnd"/>
      <w:r>
        <w:t xml:space="preserve"> recorrente. A diferença, contudo, é de R$ 19.575,26 (dezenove mil, quinhentos e setenta e cinco reais e vinte e seis centavos), montante que não configura desproporção apta a afastar o critério de correspondência temporal, notadamente porque a restituição de valores excedentes não ostenta natureza sancionatória (tanto que o item II, alínea “e”, do julgado afastou expressamente a responsabilização pecuniária dos gestores), mas de recomposição patrimonial fundada na vedação ao enriquecimento sem causa, não incidindo, por conseguinte, a restrição à analogia </w:t>
      </w:r>
      <w:r>
        <w:rPr>
          <w:i/>
          <w:iCs/>
        </w:rPr>
        <w:t>in malam partem</w:t>
      </w:r>
      <w:r>
        <w:t xml:space="preserve"> própria do direito administrativo sancionador.</w:t>
      </w:r>
    </w:p>
    <w:p>
      <w:pPr>
        <w:pStyle w:val="Default"/>
        <w:spacing w:after="120" w:line="360" w:lineRule="auto"/>
        <w:jc w:val="both"/>
      </w:pPr>
      <w:r>
        <w:t>100.</w:t>
        <w:tab/>
        <w:t xml:space="preserve">Definida a metodologia — incidência escalonada por faixas, com percentuais mínimos, sobre o proveito econômico efetivamente recebido —, cumpre aplicá-la a cada ciclo de atuação, individualmente considerado, com a régua do exercício correspondente. Quanto ao ciclo 2024/2025, inexiste controvérsia paralela à examinada quanto ao ciclo anterior: também a recorrente, em suas memórias de cálculo, valeu-se do salário-mínimo de 2025 para esse ciclo. São estes os parâmetros:</w:t>
      </w:r>
    </w:p>
    <w:p>
      <w:pPr>
        <w:pStyle w:val="Default"/>
        <w:spacing w:after="120" w:line="360" w:lineRule="auto"/>
      </w:pPr>
    </w:p>
    <w:p>
      <w:pPr>
        <w:pStyle w:val="Default"/>
        <w:spacing w:after="120"/>
        <w:jc w:val="center"/>
      </w:pPr>
      <w:r>
        <w:t>Tabela 1 – Parâmetros de cálculo por ciclo de atuação</w:t>
      </w:r>
    </w:p>
    <w:tbl>
      <w:tblPr>
        <w:tblW w:w="8880" w:type="dxa"/>
        <w:jc w:val="center"/>
        <w:tblLayout w:type="fixed"/>
        <w:tblLook w:val="04A0" w:firstRow="1" w:lastRow="0" w:firstColumn="1" w:lastColumn="0" w:noHBand="0" w:noVBand="1"/>
      </w:tblPr>
      <w:tblGrid>
        <w:gridCol w:w="2220"/>
        <w:gridCol w:w="1665"/>
        <w:gridCol w:w="2220"/>
        <w:gridCol w:w="2775"/>
      </w:tblGrid>
      <w:tr>
        <w:trPr>
          <w:tblHeader/>
          <w:jc w:val="center"/>
        </w:trPr>
        <w:tc>
          <w:tcPr>
            <w:tcW w:w="2220" w:type="dxa"/>
            <w:tcBorders>
              <w:top w:val="single" w:sz="12" w:space="0" w:color="008000"/>
              <w:bottom w:val="single" w:sz="6" w:space="0" w:color="008000"/>
            </w:tcBorders>
            <w:shd w:val="clear" w:color="auto" w:fill="D9D9D9"/>
            <w:vAlign w:val="center"/>
          </w:tcPr>
          <w:p>
            <w:pPr>
              <w:pStyle w:val="Default"/>
              <w:spacing w:after="120"/>
              <w:jc w:val="center"/>
              <w:rPr>
                <w:b/>
                <w:sz w:val="22"/>
              </w:rPr>
            </w:pPr>
            <w:r>
              <w:rPr>
                <w:b/>
                <w:sz w:val="22"/>
              </w:rPr>
              <w:t xml:space="preserve">Ciclo de CFEM</w:t>
            </w:r>
          </w:p>
        </w:tc>
        <w:tc>
          <w:tcPr>
            <w:tcW w:w="1665" w:type="dxa"/>
            <w:tcBorders>
              <w:top w:val="single" w:sz="12" w:space="0" w:color="008000"/>
              <w:bottom w:val="single" w:sz="6" w:space="0" w:color="008000"/>
            </w:tcBorders>
            <w:shd w:val="clear" w:color="auto" w:fill="D9D9D9"/>
            <w:vAlign w:val="center"/>
          </w:tcPr>
          <w:p>
            <w:pPr>
              <w:pStyle w:val="Default"/>
              <w:spacing w:after="120"/>
              <w:jc w:val="center"/>
              <w:rPr>
                <w:b/>
                <w:sz w:val="22"/>
              </w:rPr>
            </w:pPr>
            <w:r>
              <w:rPr>
                <w:b/>
                <w:sz w:val="22"/>
              </w:rPr>
              <w:t xml:space="preserve">Exercício</w:t>
            </w:r>
          </w:p>
        </w:tc>
        <w:tc>
          <w:tcPr>
            <w:tcW w:w="2220" w:type="dxa"/>
            <w:tcBorders>
              <w:top w:val="single" w:sz="12" w:space="0" w:color="008000"/>
              <w:bottom w:val="single" w:sz="6" w:space="0" w:color="008000"/>
            </w:tcBorders>
            <w:shd w:val="clear" w:color="auto" w:fill="D9D9D9"/>
            <w:vAlign w:val="center"/>
          </w:tcPr>
          <w:p>
            <w:pPr>
              <w:pStyle w:val="Default"/>
              <w:spacing w:after="120"/>
              <w:jc w:val="center"/>
              <w:rPr>
                <w:b/>
                <w:sz w:val="22"/>
              </w:rPr>
            </w:pPr>
            <w:r>
              <w:rPr>
                <w:b/>
                <w:sz w:val="22"/>
              </w:rPr>
              <w:t xml:space="preserve">Salário-mínimo</w:t>
            </w:r>
          </w:p>
        </w:tc>
        <w:tc>
          <w:tcPr>
            <w:tcW w:w="2775" w:type="dxa"/>
            <w:tcBorders>
              <w:top w:val="single" w:sz="12" w:space="0" w:color="008000"/>
              <w:bottom w:val="single" w:sz="6" w:space="0" w:color="008000"/>
            </w:tcBorders>
            <w:shd w:val="clear" w:color="auto" w:fill="D9D9D9"/>
            <w:vAlign w:val="center"/>
          </w:tcPr>
          <w:p>
            <w:pPr>
              <w:pStyle w:val="Default"/>
              <w:spacing w:after="120"/>
              <w:jc w:val="center"/>
              <w:rPr>
                <w:b/>
                <w:sz w:val="22"/>
              </w:rPr>
            </w:pPr>
            <w:r>
              <w:rPr>
                <w:b/>
                <w:sz w:val="22"/>
              </w:rPr>
              <w:t xml:space="preserve">Limites das faixas (inciso I / inciso II)</w:t>
            </w:r>
          </w:p>
        </w:tc>
      </w:tr>
      <w:tr>
        <w:trPr>
          <w:jc w:val="center"/>
        </w:trPr>
        <w:tc>
          <w:tcPr>
            <w:tcW w:w="2220" w:type="dxa"/>
            <w:vAlign w:val="center"/>
          </w:tcPr>
          <w:p>
            <w:pPr>
              <w:pStyle w:val="Default"/>
              <w:spacing w:after="120"/>
              <w:rPr>
                <w:sz w:val="22"/>
              </w:rPr>
            </w:pPr>
            <w:r>
              <w:rPr>
                <w:sz w:val="22"/>
              </w:rPr>
              <w:t xml:space="preserve">2023/2024</w:t>
            </w:r>
          </w:p>
        </w:tc>
        <w:tc>
          <w:tcPr>
            <w:tcW w:w="1665" w:type="dxa"/>
            <w:vAlign w:val="center"/>
          </w:tcPr>
          <w:p>
            <w:pPr>
              <w:pStyle w:val="Default"/>
              <w:spacing w:after="120"/>
              <w:jc w:val="center"/>
              <w:rPr>
                <w:sz w:val="22"/>
              </w:rPr>
            </w:pPr>
            <w:r>
              <w:rPr>
                <w:sz w:val="22"/>
              </w:rPr>
              <w:t xml:space="preserve">2024</w:t>
            </w:r>
          </w:p>
        </w:tc>
        <w:tc>
          <w:tcPr>
            <w:tcW w:w="2220" w:type="dxa"/>
            <w:vAlign w:val="center"/>
          </w:tcPr>
          <w:p>
            <w:pPr>
              <w:pStyle w:val="Default"/>
              <w:spacing w:after="120"/>
              <w:jc w:val="right"/>
              <w:rPr>
                <w:sz w:val="22"/>
              </w:rPr>
            </w:pPr>
            <w:r>
              <w:rPr>
                <w:sz w:val="22"/>
              </w:rPr>
              <w:t xml:space="preserve">R$ 1.412,00</w:t>
            </w:r>
          </w:p>
        </w:tc>
        <w:tc>
          <w:tcPr>
            <w:tcW w:w="2775" w:type="dxa"/>
            <w:vAlign w:val="center"/>
          </w:tcPr>
          <w:p>
            <w:pPr>
              <w:pStyle w:val="Default"/>
              <w:spacing w:after="120"/>
              <w:jc w:val="right"/>
              <w:rPr>
                <w:sz w:val="22"/>
              </w:rPr>
            </w:pPr>
            <w:r>
              <w:rPr>
                <w:sz w:val="22"/>
              </w:rPr>
              <w:t xml:space="preserve">R$ 282.400,00  /  R$ 2.824.000,00</w:t>
            </w:r>
          </w:p>
        </w:tc>
      </w:tr>
      <w:tr>
        <w:trPr>
          <w:jc w:val="center"/>
        </w:trPr>
        <w:tc>
          <w:tcPr>
            <w:tcW w:w="2220" w:type="dxa"/>
            <w:vAlign w:val="center"/>
          </w:tcPr>
          <w:p>
            <w:pPr>
              <w:pStyle w:val="Default"/>
              <w:spacing w:after="120"/>
              <w:rPr>
                <w:sz w:val="22"/>
              </w:rPr>
            </w:pPr>
            <w:r>
              <w:rPr>
                <w:sz w:val="22"/>
              </w:rPr>
              <w:t xml:space="preserve">2024/2025</w:t>
            </w:r>
          </w:p>
        </w:tc>
        <w:tc>
          <w:tcPr>
            <w:tcW w:w="1665" w:type="dxa"/>
            <w:vAlign w:val="center"/>
          </w:tcPr>
          <w:p>
            <w:pPr>
              <w:pStyle w:val="Default"/>
              <w:spacing w:after="120"/>
              <w:jc w:val="center"/>
              <w:rPr>
                <w:sz w:val="22"/>
              </w:rPr>
            </w:pPr>
            <w:r>
              <w:rPr>
                <w:sz w:val="22"/>
              </w:rPr>
              <w:t xml:space="preserve">2025</w:t>
            </w:r>
          </w:p>
        </w:tc>
        <w:tc>
          <w:tcPr>
            <w:tcW w:w="2220" w:type="dxa"/>
            <w:vAlign w:val="center"/>
          </w:tcPr>
          <w:p>
            <w:pPr>
              <w:pStyle w:val="Default"/>
              <w:spacing w:after="120"/>
              <w:jc w:val="right"/>
              <w:rPr>
                <w:sz w:val="22"/>
              </w:rPr>
            </w:pPr>
            <w:r>
              <w:rPr>
                <w:sz w:val="22"/>
              </w:rPr>
              <w:t xml:space="preserve">R$ 1.518,00</w:t>
            </w:r>
          </w:p>
        </w:tc>
        <w:tc>
          <w:tcPr>
            <w:tcW w:w="2775" w:type="dxa"/>
            <w:vAlign w:val="center"/>
          </w:tcPr>
          <w:p>
            <w:pPr>
              <w:pStyle w:val="Default"/>
              <w:spacing w:after="120"/>
              <w:jc w:val="right"/>
              <w:rPr>
                <w:sz w:val="22"/>
              </w:rPr>
            </w:pPr>
            <w:r>
              <w:rPr>
                <w:sz w:val="22"/>
              </w:rPr>
              <w:t xml:space="preserve">R$ 303.600,00  /  R$ 3.036.000,00</w:t>
            </w:r>
          </w:p>
        </w:tc>
      </w:tr>
    </w:tbl>
    <w:p>
      <w:pPr>
        <w:pStyle w:val="Default"/>
        <w:spacing w:after="120" w:line="360" w:lineRule="auto"/>
      </w:pPr>
    </w:p>
    <w:p>
      <w:pPr>
        <w:pStyle w:val="Default"/>
        <w:spacing w:after="120" w:line="360" w:lineRule="auto"/>
        <w:jc w:val="both"/>
      </w:pPr>
      <w:r>
        <w:t>101.</w:t>
        <w:tab/>
        <w:t xml:space="preserve">Aplicados tais parâmetros aos proveitos econômicos efetivamente auferidos pelos Municípios em cada ciclo, obtém-se a seguinte memória de cálculo, com discriminação da parcela de honorários correspondente a cada faixa legal:</w:t>
      </w:r>
    </w:p>
    <w:p>
      <w:pPr>
        <w:pStyle w:val="Default"/>
        <w:spacing w:after="120" w:line="360" w:lineRule="auto"/>
      </w:pPr>
    </w:p>
    <w:p>
      <w:pPr>
        <w:pStyle w:val="Default"/>
        <w:spacing w:after="120"/>
        <w:jc w:val="center"/>
      </w:pPr>
      <w:r>
        <w:t>Tabela 2 – Memória de cálculo escalonada, por ciclo e por Município</w:t>
      </w:r>
    </w:p>
    <w:tbl>
      <w:tblPr>
        <w:tblW w:w="8880" w:type="dxa"/>
        <w:jc w:val="center"/>
        <w:tblLayout w:type="fixed"/>
        <w:tblLook w:val="04A0" w:firstRow="1" w:lastRow="0" w:firstColumn="1" w:lastColumn="0" w:noHBand="0" w:noVBand="1"/>
      </w:tblPr>
      <w:tblGrid>
        <w:gridCol w:w="1480"/>
        <w:gridCol w:w="1600"/>
        <w:gridCol w:w="1450"/>
        <w:gridCol w:w="1450"/>
        <w:gridCol w:w="1450"/>
        <w:gridCol w:w="1450"/>
      </w:tblGrid>
      <w:tr>
        <w:trPr>
          <w:tblHeader/>
          <w:jc w:val="center"/>
        </w:trPr>
        <w:tc>
          <w:tcPr>
            <w:tcW w:w="1480" w:type="dxa"/>
            <w:tcBorders>
              <w:top w:val="single" w:sz="12" w:space="0" w:color="008000"/>
              <w:bottom w:val="single" w:sz="6" w:space="0" w:color="008000"/>
            </w:tcBorders>
            <w:shd w:val="clear" w:color="auto" w:fill="D9D9D9"/>
            <w:vAlign w:val="center"/>
          </w:tcPr>
          <w:p>
            <w:pPr>
              <w:pStyle w:val="Default"/>
              <w:spacing w:after="120"/>
              <w:jc w:val="center"/>
              <w:rPr>
                <w:b/>
                <w:sz w:val="22"/>
              </w:rPr>
            </w:pPr>
            <w:r>
              <w:rPr>
                <w:b/>
                <w:sz w:val="22"/>
              </w:rPr>
              <w:t xml:space="preserve">Município</w:t>
            </w:r>
          </w:p>
        </w:tc>
        <w:tc>
          <w:tcPr>
            <w:tcW w:w="1600" w:type="dxa"/>
            <w:tcBorders>
              <w:top w:val="single" w:sz="12" w:space="0" w:color="008000"/>
              <w:bottom w:val="single" w:sz="6" w:space="0" w:color="008000"/>
            </w:tcBorders>
            <w:shd w:val="clear" w:color="auto" w:fill="D9D9D9"/>
            <w:vAlign w:val="center"/>
          </w:tcPr>
          <w:p>
            <w:pPr>
              <w:pStyle w:val="Default"/>
              <w:spacing w:after="120"/>
              <w:jc w:val="center"/>
              <w:rPr>
                <w:b/>
                <w:sz w:val="22"/>
              </w:rPr>
            </w:pPr>
            <w:r>
              <w:rPr>
                <w:b/>
                <w:sz w:val="22"/>
              </w:rPr>
              <w:t xml:space="preserve">Proveito econômico do ciclo</w:t>
            </w:r>
          </w:p>
        </w:tc>
        <w:tc>
          <w:tcPr>
            <w:tcW w:w="1450" w:type="dxa"/>
            <w:tcBorders>
              <w:top w:val="single" w:sz="12" w:space="0" w:color="008000"/>
              <w:bottom w:val="single" w:sz="6" w:space="0" w:color="008000"/>
            </w:tcBorders>
            <w:shd w:val="clear" w:color="auto" w:fill="D9D9D9"/>
            <w:vAlign w:val="center"/>
          </w:tcPr>
          <w:p>
            <w:pPr>
              <w:pStyle w:val="Default"/>
              <w:spacing w:after="120"/>
              <w:jc w:val="center"/>
              <w:rPr>
                <w:b/>
                <w:sz w:val="22"/>
              </w:rPr>
            </w:pPr>
            <w:r>
              <w:rPr>
                <w:b/>
                <w:sz w:val="22"/>
              </w:rPr>
              <w:t xml:space="preserve">Inciso I (10%)</w:t>
            </w:r>
          </w:p>
        </w:tc>
        <w:tc>
          <w:tcPr>
            <w:tcW w:w="1450" w:type="dxa"/>
            <w:tcBorders>
              <w:top w:val="single" w:sz="12" w:space="0" w:color="008000"/>
              <w:bottom w:val="single" w:sz="6" w:space="0" w:color="008000"/>
            </w:tcBorders>
            <w:shd w:val="clear" w:color="auto" w:fill="D9D9D9"/>
            <w:vAlign w:val="center"/>
          </w:tcPr>
          <w:p>
            <w:pPr>
              <w:pStyle w:val="Default"/>
              <w:spacing w:after="120"/>
              <w:jc w:val="center"/>
              <w:rPr>
                <w:b/>
                <w:sz w:val="22"/>
              </w:rPr>
            </w:pPr>
            <w:r>
              <w:rPr>
                <w:b/>
                <w:sz w:val="22"/>
              </w:rPr>
              <w:t xml:space="preserve">Inciso II (8%)</w:t>
            </w:r>
          </w:p>
        </w:tc>
        <w:tc>
          <w:tcPr>
            <w:tcW w:w="1450" w:type="dxa"/>
            <w:tcBorders>
              <w:top w:val="single" w:sz="12" w:space="0" w:color="008000"/>
              <w:bottom w:val="single" w:sz="6" w:space="0" w:color="008000"/>
            </w:tcBorders>
            <w:shd w:val="clear" w:color="auto" w:fill="D9D9D9"/>
            <w:vAlign w:val="center"/>
          </w:tcPr>
          <w:p>
            <w:pPr>
              <w:pStyle w:val="Default"/>
              <w:spacing w:after="120"/>
              <w:jc w:val="center"/>
              <w:rPr>
                <w:b/>
                <w:sz w:val="22"/>
              </w:rPr>
            </w:pPr>
            <w:r>
              <w:rPr>
                <w:b/>
                <w:sz w:val="22"/>
              </w:rPr>
              <w:t xml:space="preserve">Inciso III (5%)</w:t>
            </w:r>
          </w:p>
        </w:tc>
        <w:tc>
          <w:tcPr>
            <w:tcW w:w="1450" w:type="dxa"/>
            <w:tcBorders>
              <w:top w:val="single" w:sz="12" w:space="0" w:color="008000"/>
              <w:bottom w:val="single" w:sz="6" w:space="0" w:color="008000"/>
            </w:tcBorders>
            <w:shd w:val="clear" w:color="auto" w:fill="D9D9D9"/>
            <w:vAlign w:val="center"/>
          </w:tcPr>
          <w:p>
            <w:pPr>
              <w:pStyle w:val="Default"/>
              <w:spacing w:after="120"/>
              <w:jc w:val="center"/>
              <w:rPr>
                <w:b/>
                <w:sz w:val="22"/>
              </w:rPr>
            </w:pPr>
            <w:r>
              <w:rPr>
                <w:b/>
                <w:sz w:val="22"/>
              </w:rPr>
              <w:t xml:space="preserve">Teto do ciclo</w:t>
            </w:r>
          </w:p>
        </w:tc>
      </w:tr>
      <w:tr>
        <w:trPr>
          <w:jc w:val="center"/>
        </w:trPr>
        <w:tc>
          <w:tcPr>
            <w:tcW w:w="8880" w:type="dxa"/>
            <w:gridSpan w:val="6"/>
            <w:tcBorders>
              <w:top w:val="single" w:sz="4" w:space="0" w:color="008000"/>
              <w:bottom w:val="single" w:sz="4" w:space="0" w:color="008000"/>
            </w:tcBorders>
            <w:shd w:val="clear" w:color="auto" w:fill="EAEAEA"/>
            <w:vAlign w:val="center"/>
          </w:tcPr>
          <w:p>
            <w:pPr>
              <w:pStyle w:val="Default"/>
              <w:spacing w:after="120"/>
              <w:jc w:val="center"/>
              <w:rPr>
                <w:b/>
                <w:sz w:val="22"/>
              </w:rPr>
            </w:pPr>
            <w:r>
              <w:rPr>
                <w:b/>
                <w:sz w:val="22"/>
              </w:rPr>
              <w:t xml:space="preserve">Ciclo 2023/2024  —  salário-mínimo de 2024 (R$ 1.412,00)</w:t>
            </w:r>
          </w:p>
        </w:tc>
      </w:tr>
      <w:tr>
        <w:trPr>
          <w:jc w:val="center"/>
        </w:trPr>
        <w:tc>
          <w:tcPr>
            <w:tcW w:w="1480" w:type="dxa"/>
            <w:vAlign w:val="center"/>
          </w:tcPr>
          <w:p>
            <w:pPr>
              <w:pStyle w:val="Default"/>
              <w:spacing w:after="120"/>
              <w:rPr>
                <w:sz w:val="22"/>
              </w:rPr>
            </w:pPr>
            <w:r>
              <w:rPr>
                <w:sz w:val="22"/>
              </w:rPr>
              <w:t xml:space="preserve">Cruzeta/RN</w:t>
            </w:r>
          </w:p>
        </w:tc>
        <w:tc>
          <w:tcPr>
            <w:tcW w:w="1600" w:type="dxa"/>
            <w:vAlign w:val="center"/>
          </w:tcPr>
          <w:p>
            <w:pPr>
              <w:pStyle w:val="Default"/>
              <w:spacing w:after="120"/>
              <w:jc w:val="right"/>
              <w:rPr>
                <w:sz w:val="22"/>
              </w:rPr>
            </w:pPr>
            <w:r>
              <w:rPr>
                <w:sz w:val="22"/>
              </w:rPr>
              <w:t xml:space="preserve">R$ 6.039.006,81</w:t>
            </w:r>
          </w:p>
        </w:tc>
        <w:tc>
          <w:tcPr>
            <w:tcW w:w="1450" w:type="dxa"/>
            <w:vAlign w:val="center"/>
          </w:tcPr>
          <w:p>
            <w:pPr>
              <w:pStyle w:val="Default"/>
              <w:spacing w:after="120"/>
              <w:jc w:val="right"/>
              <w:rPr>
                <w:sz w:val="22"/>
              </w:rPr>
            </w:pPr>
            <w:r>
              <w:rPr>
                <w:sz w:val="22"/>
              </w:rPr>
              <w:t xml:space="preserve">R$ 28.240,00</w:t>
            </w:r>
          </w:p>
        </w:tc>
        <w:tc>
          <w:tcPr>
            <w:tcW w:w="1450" w:type="dxa"/>
            <w:vAlign w:val="center"/>
          </w:tcPr>
          <w:p>
            <w:pPr>
              <w:pStyle w:val="Default"/>
              <w:spacing w:after="120"/>
              <w:jc w:val="right"/>
              <w:rPr>
                <w:sz w:val="22"/>
              </w:rPr>
            </w:pPr>
            <w:r>
              <w:rPr>
                <w:sz w:val="22"/>
              </w:rPr>
              <w:t xml:space="preserve">R$ 203.328,00</w:t>
            </w:r>
          </w:p>
        </w:tc>
        <w:tc>
          <w:tcPr>
            <w:tcW w:w="1450" w:type="dxa"/>
            <w:vAlign w:val="center"/>
          </w:tcPr>
          <w:p>
            <w:pPr>
              <w:pStyle w:val="Default"/>
              <w:spacing w:after="120"/>
              <w:jc w:val="right"/>
              <w:rPr>
                <w:sz w:val="22"/>
              </w:rPr>
            </w:pPr>
            <w:r>
              <w:rPr>
                <w:sz w:val="22"/>
              </w:rPr>
              <w:t xml:space="preserve">R$ 160.750,34</w:t>
            </w:r>
          </w:p>
        </w:tc>
        <w:tc>
          <w:tcPr>
            <w:tcW w:w="1450" w:type="dxa"/>
            <w:vAlign w:val="center"/>
          </w:tcPr>
          <w:p>
            <w:pPr>
              <w:pStyle w:val="Default"/>
              <w:spacing w:after="120"/>
              <w:jc w:val="right"/>
              <w:rPr>
                <w:sz w:val="22"/>
              </w:rPr>
            </w:pPr>
            <w:r>
              <w:rPr>
                <w:sz w:val="22"/>
              </w:rPr>
              <w:t xml:space="preserve">R$ 392.318,34</w:t>
            </w:r>
          </w:p>
        </w:tc>
      </w:tr>
      <w:tr>
        <w:trPr>
          <w:jc w:val="center"/>
        </w:trPr>
        <w:tc>
          <w:tcPr>
            <w:tcW w:w="1480" w:type="dxa"/>
            <w:vAlign w:val="center"/>
          </w:tcPr>
          <w:p>
            <w:pPr>
              <w:pStyle w:val="Default"/>
              <w:spacing w:after="120"/>
              <w:rPr>
                <w:sz w:val="22"/>
              </w:rPr>
            </w:pPr>
            <w:r>
              <w:rPr>
                <w:sz w:val="22"/>
              </w:rPr>
              <w:t xml:space="preserve">Lagoa Nova/RN</w:t>
            </w:r>
          </w:p>
        </w:tc>
        <w:tc>
          <w:tcPr>
            <w:tcW w:w="1600" w:type="dxa"/>
            <w:vAlign w:val="center"/>
          </w:tcPr>
          <w:p>
            <w:pPr>
              <w:pStyle w:val="Default"/>
              <w:spacing w:after="120"/>
              <w:jc w:val="right"/>
              <w:rPr>
                <w:sz w:val="22"/>
              </w:rPr>
            </w:pPr>
            <w:r>
              <w:rPr>
                <w:sz w:val="22"/>
              </w:rPr>
              <w:t xml:space="preserve">R$ 4.842.538,65</w:t>
            </w:r>
          </w:p>
        </w:tc>
        <w:tc>
          <w:tcPr>
            <w:tcW w:w="1450" w:type="dxa"/>
            <w:vAlign w:val="center"/>
          </w:tcPr>
          <w:p>
            <w:pPr>
              <w:pStyle w:val="Default"/>
              <w:spacing w:after="120"/>
              <w:jc w:val="right"/>
              <w:rPr>
                <w:sz w:val="22"/>
              </w:rPr>
            </w:pPr>
            <w:r>
              <w:rPr>
                <w:sz w:val="22"/>
              </w:rPr>
              <w:t xml:space="preserve">R$ 28.240,00</w:t>
            </w:r>
          </w:p>
        </w:tc>
        <w:tc>
          <w:tcPr>
            <w:tcW w:w="1450" w:type="dxa"/>
            <w:vAlign w:val="center"/>
          </w:tcPr>
          <w:p>
            <w:pPr>
              <w:pStyle w:val="Default"/>
              <w:spacing w:after="120"/>
              <w:jc w:val="right"/>
              <w:rPr>
                <w:sz w:val="22"/>
              </w:rPr>
            </w:pPr>
            <w:r>
              <w:rPr>
                <w:sz w:val="22"/>
              </w:rPr>
              <w:t xml:space="preserve">R$ 203.328,00</w:t>
            </w:r>
          </w:p>
        </w:tc>
        <w:tc>
          <w:tcPr>
            <w:tcW w:w="1450" w:type="dxa"/>
            <w:vAlign w:val="center"/>
          </w:tcPr>
          <w:p>
            <w:pPr>
              <w:pStyle w:val="Default"/>
              <w:spacing w:after="120"/>
              <w:jc w:val="right"/>
              <w:rPr>
                <w:sz w:val="22"/>
              </w:rPr>
            </w:pPr>
            <w:r>
              <w:rPr>
                <w:sz w:val="22"/>
              </w:rPr>
              <w:t xml:space="preserve">R$ 100.926,93</w:t>
            </w:r>
          </w:p>
        </w:tc>
        <w:tc>
          <w:tcPr>
            <w:tcW w:w="1450" w:type="dxa"/>
            <w:vAlign w:val="center"/>
          </w:tcPr>
          <w:p>
            <w:pPr>
              <w:pStyle w:val="Default"/>
              <w:spacing w:after="120"/>
              <w:jc w:val="right"/>
              <w:rPr>
                <w:sz w:val="22"/>
              </w:rPr>
            </w:pPr>
            <w:r>
              <w:rPr>
                <w:sz w:val="22"/>
              </w:rPr>
              <w:t xml:space="preserve">R$ 332.494,93</w:t>
            </w:r>
          </w:p>
        </w:tc>
      </w:tr>
      <w:tr>
        <w:trPr>
          <w:jc w:val="center"/>
        </w:trPr>
        <w:tc>
          <w:tcPr>
            <w:tcW w:w="1480" w:type="dxa"/>
            <w:vAlign w:val="center"/>
          </w:tcPr>
          <w:p>
            <w:pPr>
              <w:pStyle w:val="Default"/>
              <w:spacing w:after="120"/>
              <w:rPr>
                <w:sz w:val="22"/>
              </w:rPr>
            </w:pPr>
            <w:r>
              <w:rPr>
                <w:sz w:val="22"/>
              </w:rPr>
              <w:t xml:space="preserve">Jucurutu/RN</w:t>
            </w:r>
          </w:p>
        </w:tc>
        <w:tc>
          <w:tcPr>
            <w:tcW w:w="1600" w:type="dxa"/>
            <w:vAlign w:val="center"/>
          </w:tcPr>
          <w:p>
            <w:pPr>
              <w:pStyle w:val="Default"/>
              <w:spacing w:after="120"/>
              <w:jc w:val="right"/>
              <w:rPr>
                <w:sz w:val="22"/>
              </w:rPr>
            </w:pPr>
            <w:r>
              <w:rPr>
                <w:sz w:val="22"/>
              </w:rPr>
              <w:t xml:space="preserve">R$ 3.010.108,63</w:t>
            </w:r>
          </w:p>
        </w:tc>
        <w:tc>
          <w:tcPr>
            <w:tcW w:w="1450" w:type="dxa"/>
            <w:vAlign w:val="center"/>
          </w:tcPr>
          <w:p>
            <w:pPr>
              <w:pStyle w:val="Default"/>
              <w:spacing w:after="120"/>
              <w:jc w:val="right"/>
              <w:rPr>
                <w:sz w:val="22"/>
              </w:rPr>
            </w:pPr>
            <w:r>
              <w:rPr>
                <w:sz w:val="22"/>
              </w:rPr>
              <w:t xml:space="preserve">R$ 28.240,00</w:t>
            </w:r>
          </w:p>
        </w:tc>
        <w:tc>
          <w:tcPr>
            <w:tcW w:w="1450" w:type="dxa"/>
            <w:vAlign w:val="center"/>
          </w:tcPr>
          <w:p>
            <w:pPr>
              <w:pStyle w:val="Default"/>
              <w:spacing w:after="120"/>
              <w:jc w:val="right"/>
              <w:rPr>
                <w:sz w:val="22"/>
              </w:rPr>
            </w:pPr>
            <w:r>
              <w:rPr>
                <w:sz w:val="22"/>
              </w:rPr>
              <w:t xml:space="preserve">R$ 203.328,00</w:t>
            </w:r>
          </w:p>
        </w:tc>
        <w:tc>
          <w:tcPr>
            <w:tcW w:w="1450" w:type="dxa"/>
            <w:vAlign w:val="center"/>
          </w:tcPr>
          <w:p>
            <w:pPr>
              <w:pStyle w:val="Default"/>
              <w:spacing w:after="120"/>
              <w:jc w:val="right"/>
              <w:rPr>
                <w:sz w:val="22"/>
              </w:rPr>
            </w:pPr>
            <w:r>
              <w:rPr>
                <w:sz w:val="22"/>
              </w:rPr>
              <w:t xml:space="preserve">R$ 9.305,43</w:t>
            </w:r>
          </w:p>
        </w:tc>
        <w:tc>
          <w:tcPr>
            <w:tcW w:w="1450" w:type="dxa"/>
            <w:vAlign w:val="center"/>
          </w:tcPr>
          <w:p>
            <w:pPr>
              <w:pStyle w:val="Default"/>
              <w:spacing w:after="120"/>
              <w:jc w:val="right"/>
              <w:rPr>
                <w:sz w:val="22"/>
              </w:rPr>
            </w:pPr>
            <w:r>
              <w:rPr>
                <w:sz w:val="22"/>
              </w:rPr>
              <w:t xml:space="preserve">R$ 240.873,43</w:t>
            </w:r>
          </w:p>
        </w:tc>
      </w:tr>
      <w:tr>
        <w:trPr>
          <w:jc w:val="center"/>
        </w:trPr>
        <w:tc>
          <w:tcPr>
            <w:tcW w:w="7430" w:type="dxa"/>
            <w:gridSpan w:val="5"/>
            <w:tcBorders>
              <w:top w:val="single" w:sz="6" w:space="0" w:color="008000"/>
              <w:bottom w:val="single" w:sz="12" w:space="0" w:color="008000"/>
            </w:tcBorders>
            <w:shd w:val="clear" w:color="auto" w:fill="F2F2F2"/>
            <w:vAlign w:val="center"/>
          </w:tcPr>
          <w:p>
            <w:pPr>
              <w:pStyle w:val="Default"/>
              <w:spacing w:after="120"/>
              <w:jc w:val="right"/>
              <w:rPr>
                <w:b/>
                <w:sz w:val="22"/>
              </w:rPr>
            </w:pPr>
            <w:r>
              <w:rPr>
                <w:b/>
                <w:sz w:val="22"/>
              </w:rPr>
              <w:t xml:space="preserve">Subtotal do ciclo 2023/2024</w:t>
            </w:r>
          </w:p>
        </w:tc>
        <w:tc>
          <w:tcPr>
            <w:tcW w:w="1450" w:type="dxa"/>
            <w:tcBorders>
              <w:top w:val="single" w:sz="6" w:space="0" w:color="008000"/>
              <w:bottom w:val="single" w:sz="12" w:space="0" w:color="008000"/>
            </w:tcBorders>
            <w:shd w:val="clear" w:color="auto" w:fill="F2F2F2"/>
            <w:vAlign w:val="center"/>
          </w:tcPr>
          <w:p>
            <w:pPr>
              <w:pStyle w:val="Default"/>
              <w:spacing w:after="120"/>
              <w:jc w:val="right"/>
              <w:rPr>
                <w:b/>
                <w:sz w:val="22"/>
              </w:rPr>
            </w:pPr>
            <w:r>
              <w:rPr>
                <w:b/>
                <w:sz w:val="22"/>
              </w:rPr>
              <w:t xml:space="preserve">R$ 965.686,70</w:t>
            </w:r>
          </w:p>
        </w:tc>
      </w:tr>
      <w:tr>
        <w:trPr>
          <w:jc w:val="center"/>
        </w:trPr>
        <w:tc>
          <w:tcPr>
            <w:tcW w:w="8880" w:type="dxa"/>
            <w:gridSpan w:val="6"/>
            <w:tcBorders>
              <w:top w:val="single" w:sz="4" w:space="0" w:color="008000"/>
              <w:bottom w:val="single" w:sz="4" w:space="0" w:color="008000"/>
            </w:tcBorders>
            <w:shd w:val="clear" w:color="auto" w:fill="EAEAEA"/>
            <w:vAlign w:val="center"/>
          </w:tcPr>
          <w:p>
            <w:pPr>
              <w:pStyle w:val="Default"/>
              <w:spacing w:after="120"/>
              <w:jc w:val="center"/>
              <w:rPr>
                <w:b/>
                <w:sz w:val="22"/>
              </w:rPr>
            </w:pPr>
            <w:r>
              <w:rPr>
                <w:b/>
                <w:sz w:val="22"/>
              </w:rPr>
              <w:t xml:space="preserve">Ciclo 2024/2025  —  salário-mínimo de 2025 (R$ 1.518,00)  (**)</w:t>
            </w:r>
          </w:p>
        </w:tc>
      </w:tr>
      <w:tr>
        <w:trPr>
          <w:jc w:val="center"/>
        </w:trPr>
        <w:tc>
          <w:tcPr>
            <w:tcW w:w="1480" w:type="dxa"/>
            <w:vAlign w:val="center"/>
          </w:tcPr>
          <w:p>
            <w:pPr>
              <w:pStyle w:val="Default"/>
              <w:spacing w:after="120"/>
              <w:rPr>
                <w:sz w:val="22"/>
              </w:rPr>
            </w:pPr>
            <w:r>
              <w:rPr>
                <w:sz w:val="22"/>
              </w:rPr>
              <w:t xml:space="preserve">Cruzeta/RN</w:t>
            </w:r>
          </w:p>
        </w:tc>
        <w:tc>
          <w:tcPr>
            <w:tcW w:w="1600" w:type="dxa"/>
            <w:vAlign w:val="center"/>
          </w:tcPr>
          <w:p>
            <w:pPr>
              <w:pStyle w:val="Default"/>
              <w:spacing w:after="120"/>
              <w:jc w:val="right"/>
              <w:rPr>
                <w:sz w:val="22"/>
              </w:rPr>
            </w:pPr>
            <w:r>
              <w:rPr>
                <w:sz w:val="22"/>
              </w:rPr>
              <w:t xml:space="preserve">R$ 0,00</w:t>
            </w:r>
          </w:p>
        </w:tc>
        <w:tc>
          <w:tcPr>
            <w:tcW w:w="1450" w:type="dxa"/>
            <w:vAlign w:val="center"/>
          </w:tcPr>
          <w:p>
            <w:pPr>
              <w:pStyle w:val="Default"/>
              <w:spacing w:after="120"/>
              <w:jc w:val="center"/>
              <w:rPr>
                <w:sz w:val="22"/>
              </w:rPr>
            </w:pPr>
            <w:r>
              <w:rPr>
                <w:sz w:val="22"/>
              </w:rPr>
              <w:t xml:space="preserve">—</w:t>
            </w:r>
          </w:p>
        </w:tc>
        <w:tc>
          <w:tcPr>
            <w:tcW w:w="1450" w:type="dxa"/>
            <w:vAlign w:val="center"/>
          </w:tcPr>
          <w:p>
            <w:pPr>
              <w:pStyle w:val="Default"/>
              <w:spacing w:after="120"/>
              <w:jc w:val="center"/>
              <w:rPr>
                <w:sz w:val="22"/>
              </w:rPr>
            </w:pPr>
            <w:r>
              <w:rPr>
                <w:sz w:val="22"/>
              </w:rPr>
              <w:t xml:space="preserve">—</w:t>
            </w:r>
          </w:p>
        </w:tc>
        <w:tc>
          <w:tcPr>
            <w:tcW w:w="1450" w:type="dxa"/>
            <w:vAlign w:val="center"/>
          </w:tcPr>
          <w:p>
            <w:pPr>
              <w:pStyle w:val="Default"/>
              <w:spacing w:after="120"/>
              <w:jc w:val="center"/>
              <w:rPr>
                <w:sz w:val="22"/>
              </w:rPr>
            </w:pPr>
            <w:r>
              <w:rPr>
                <w:sz w:val="22"/>
              </w:rPr>
              <w:t xml:space="preserve">—</w:t>
            </w:r>
          </w:p>
        </w:tc>
        <w:tc>
          <w:tcPr>
            <w:tcW w:w="1450" w:type="dxa"/>
            <w:vAlign w:val="center"/>
          </w:tcPr>
          <w:p>
            <w:pPr>
              <w:pStyle w:val="Default"/>
              <w:spacing w:after="120"/>
              <w:jc w:val="right"/>
              <w:rPr>
                <w:sz w:val="22"/>
              </w:rPr>
            </w:pPr>
            <w:r>
              <w:rPr>
                <w:sz w:val="22"/>
              </w:rPr>
              <w:t xml:space="preserve">R$ 0,00</w:t>
            </w:r>
          </w:p>
        </w:tc>
      </w:tr>
      <w:tr>
        <w:trPr>
          <w:jc w:val="center"/>
        </w:trPr>
        <w:tc>
          <w:tcPr>
            <w:tcW w:w="1480" w:type="dxa"/>
            <w:vAlign w:val="center"/>
          </w:tcPr>
          <w:p>
            <w:pPr>
              <w:pStyle w:val="Default"/>
              <w:spacing w:after="120"/>
              <w:rPr>
                <w:sz w:val="22"/>
              </w:rPr>
            </w:pPr>
            <w:r>
              <w:rPr>
                <w:sz w:val="22"/>
              </w:rPr>
              <w:t xml:space="preserve">Lagoa Nova/RN</w:t>
            </w:r>
          </w:p>
        </w:tc>
        <w:tc>
          <w:tcPr>
            <w:tcW w:w="1600" w:type="dxa"/>
            <w:vAlign w:val="center"/>
          </w:tcPr>
          <w:p>
            <w:pPr>
              <w:pStyle w:val="Default"/>
              <w:spacing w:after="120"/>
              <w:jc w:val="right"/>
              <w:rPr>
                <w:sz w:val="22"/>
              </w:rPr>
            </w:pPr>
            <w:r>
              <w:rPr>
                <w:sz w:val="22"/>
              </w:rPr>
              <w:t xml:space="preserve">R$ 3.439.882,23</w:t>
            </w:r>
          </w:p>
        </w:tc>
        <w:tc>
          <w:tcPr>
            <w:tcW w:w="1450" w:type="dxa"/>
            <w:vAlign w:val="center"/>
          </w:tcPr>
          <w:p>
            <w:pPr>
              <w:pStyle w:val="Default"/>
              <w:spacing w:after="120"/>
              <w:jc w:val="right"/>
              <w:rPr>
                <w:sz w:val="22"/>
              </w:rPr>
            </w:pPr>
            <w:r>
              <w:rPr>
                <w:sz w:val="22"/>
              </w:rPr>
              <w:t xml:space="preserve">R$ 30.360,00</w:t>
            </w:r>
          </w:p>
        </w:tc>
        <w:tc>
          <w:tcPr>
            <w:tcW w:w="1450" w:type="dxa"/>
            <w:vAlign w:val="center"/>
          </w:tcPr>
          <w:p>
            <w:pPr>
              <w:pStyle w:val="Default"/>
              <w:spacing w:after="120"/>
              <w:jc w:val="right"/>
              <w:rPr>
                <w:sz w:val="22"/>
              </w:rPr>
            </w:pPr>
            <w:r>
              <w:rPr>
                <w:sz w:val="22"/>
              </w:rPr>
              <w:t xml:space="preserve">R$ 218.592,00</w:t>
            </w:r>
          </w:p>
        </w:tc>
        <w:tc>
          <w:tcPr>
            <w:tcW w:w="1450" w:type="dxa"/>
            <w:vAlign w:val="center"/>
          </w:tcPr>
          <w:p>
            <w:pPr>
              <w:pStyle w:val="Default"/>
              <w:spacing w:after="120"/>
              <w:jc w:val="right"/>
              <w:rPr>
                <w:sz w:val="22"/>
              </w:rPr>
            </w:pPr>
            <w:r>
              <w:rPr>
                <w:sz w:val="22"/>
              </w:rPr>
              <w:t xml:space="preserve">R$ 20.194,11</w:t>
            </w:r>
          </w:p>
        </w:tc>
        <w:tc>
          <w:tcPr>
            <w:tcW w:w="1450" w:type="dxa"/>
            <w:vAlign w:val="center"/>
          </w:tcPr>
          <w:p>
            <w:pPr>
              <w:pStyle w:val="Default"/>
              <w:spacing w:after="120"/>
              <w:jc w:val="right"/>
              <w:rPr>
                <w:sz w:val="22"/>
              </w:rPr>
            </w:pPr>
            <w:r>
              <w:rPr>
                <w:sz w:val="22"/>
              </w:rPr>
              <w:t xml:space="preserve">R$ 269.146,11</w:t>
            </w:r>
          </w:p>
        </w:tc>
      </w:tr>
      <w:tr>
        <w:trPr>
          <w:jc w:val="center"/>
        </w:trPr>
        <w:tc>
          <w:tcPr>
            <w:tcW w:w="1480" w:type="dxa"/>
            <w:vAlign w:val="center"/>
          </w:tcPr>
          <w:p>
            <w:pPr>
              <w:pStyle w:val="Default"/>
              <w:spacing w:after="120"/>
              <w:rPr>
                <w:sz w:val="22"/>
              </w:rPr>
            </w:pPr>
            <w:r>
              <w:rPr>
                <w:sz w:val="22"/>
              </w:rPr>
              <w:t xml:space="preserve">Jucurutu/RN</w:t>
            </w:r>
          </w:p>
        </w:tc>
        <w:tc>
          <w:tcPr>
            <w:tcW w:w="1600" w:type="dxa"/>
            <w:vAlign w:val="center"/>
          </w:tcPr>
          <w:p>
            <w:pPr>
              <w:pStyle w:val="Default"/>
              <w:spacing w:after="120"/>
              <w:jc w:val="right"/>
              <w:rPr>
                <w:sz w:val="22"/>
              </w:rPr>
            </w:pPr>
            <w:r>
              <w:rPr>
                <w:sz w:val="22"/>
              </w:rPr>
              <w:t xml:space="preserve">R$ 5.776.980,14</w:t>
            </w:r>
          </w:p>
        </w:tc>
        <w:tc>
          <w:tcPr>
            <w:tcW w:w="1450" w:type="dxa"/>
            <w:vAlign w:val="center"/>
          </w:tcPr>
          <w:p>
            <w:pPr>
              <w:pStyle w:val="Default"/>
              <w:spacing w:after="120"/>
              <w:jc w:val="right"/>
              <w:rPr>
                <w:sz w:val="22"/>
              </w:rPr>
            </w:pPr>
            <w:r>
              <w:rPr>
                <w:sz w:val="22"/>
              </w:rPr>
              <w:t xml:space="preserve">R$ 30.360,00</w:t>
            </w:r>
          </w:p>
        </w:tc>
        <w:tc>
          <w:tcPr>
            <w:tcW w:w="1450" w:type="dxa"/>
            <w:vAlign w:val="center"/>
          </w:tcPr>
          <w:p>
            <w:pPr>
              <w:pStyle w:val="Default"/>
              <w:spacing w:after="120"/>
              <w:jc w:val="right"/>
              <w:rPr>
                <w:sz w:val="22"/>
              </w:rPr>
            </w:pPr>
            <w:r>
              <w:rPr>
                <w:sz w:val="22"/>
              </w:rPr>
              <w:t xml:space="preserve">R$ 218.592,00</w:t>
            </w:r>
          </w:p>
        </w:tc>
        <w:tc>
          <w:tcPr>
            <w:tcW w:w="1450" w:type="dxa"/>
            <w:vAlign w:val="center"/>
          </w:tcPr>
          <w:p>
            <w:pPr>
              <w:pStyle w:val="Default"/>
              <w:spacing w:after="120"/>
              <w:jc w:val="right"/>
              <w:rPr>
                <w:sz w:val="22"/>
              </w:rPr>
            </w:pPr>
            <w:r>
              <w:rPr>
                <w:sz w:val="22"/>
              </w:rPr>
              <w:t xml:space="preserve">R$ 137.049,01</w:t>
            </w:r>
          </w:p>
        </w:tc>
        <w:tc>
          <w:tcPr>
            <w:tcW w:w="1450" w:type="dxa"/>
            <w:vAlign w:val="center"/>
          </w:tcPr>
          <w:p>
            <w:pPr>
              <w:pStyle w:val="Default"/>
              <w:spacing w:after="120"/>
              <w:jc w:val="right"/>
              <w:rPr>
                <w:sz w:val="22"/>
              </w:rPr>
            </w:pPr>
            <w:r>
              <w:rPr>
                <w:sz w:val="22"/>
              </w:rPr>
              <w:t xml:space="preserve">R$ 386.001,01</w:t>
            </w:r>
          </w:p>
        </w:tc>
      </w:tr>
      <w:tr>
        <w:trPr>
          <w:jc w:val="center"/>
        </w:trPr>
        <w:tc>
          <w:tcPr>
            <w:tcW w:w="7430" w:type="dxa"/>
            <w:gridSpan w:val="5"/>
            <w:tcBorders>
              <w:top w:val="single" w:sz="6" w:space="0" w:color="008000"/>
              <w:bottom w:val="single" w:sz="12" w:space="0" w:color="008000"/>
            </w:tcBorders>
            <w:shd w:val="clear" w:color="auto" w:fill="F2F2F2"/>
            <w:vAlign w:val="center"/>
          </w:tcPr>
          <w:p>
            <w:pPr>
              <w:pStyle w:val="Default"/>
              <w:spacing w:after="120"/>
              <w:jc w:val="right"/>
              <w:rPr>
                <w:b/>
                <w:sz w:val="22"/>
              </w:rPr>
            </w:pPr>
            <w:r>
              <w:rPr>
                <w:b/>
                <w:sz w:val="22"/>
              </w:rPr>
              <w:t xml:space="preserve">Subtotal do ciclo 2024/2025</w:t>
            </w:r>
          </w:p>
        </w:tc>
        <w:tc>
          <w:tcPr>
            <w:tcW w:w="1450" w:type="dxa"/>
            <w:tcBorders>
              <w:top w:val="single" w:sz="6" w:space="0" w:color="008000"/>
              <w:bottom w:val="single" w:sz="12" w:space="0" w:color="008000"/>
            </w:tcBorders>
            <w:shd w:val="clear" w:color="auto" w:fill="F2F2F2"/>
            <w:vAlign w:val="center"/>
          </w:tcPr>
          <w:p>
            <w:pPr>
              <w:pStyle w:val="Default"/>
              <w:spacing w:after="120"/>
              <w:jc w:val="right"/>
              <w:rPr>
                <w:b/>
                <w:sz w:val="22"/>
              </w:rPr>
            </w:pPr>
            <w:r>
              <w:rPr>
                <w:b/>
                <w:sz w:val="22"/>
              </w:rPr>
              <w:t xml:space="preserve">R$ 655.147,12</w:t>
            </w:r>
          </w:p>
        </w:tc>
      </w:tr>
    </w:tbl>
    <w:p>
      <w:pPr>
        <w:pStyle w:val="Default"/>
        <w:spacing w:after="120" w:line="360" w:lineRule="auto"/>
      </w:pPr>
    </w:p>
    <w:p>
      <w:pPr>
        <w:pStyle w:val="Default"/>
        <w:spacing w:after="120" w:line="276" w:lineRule="auto"/>
        <w:ind w:left="284"/>
        <w:jc w:val="both"/>
        <w:rPr>
          <w:i/>
          <w:iCs/>
          <w:sz w:val="20"/>
        </w:rPr>
      </w:pPr>
      <w:r>
        <w:rPr>
          <w:i/>
          <w:iCs/>
          <w:sz w:val="20"/>
        </w:rPr>
        <w:t xml:space="preserve">(**) Os proveitos econômicos do ciclo 2023/2024 encontram-se corroborados pela Informação Instrutiva do Evento 231, mediante verificação cruzada com os pagamentos efetivamente realizados. Já os valores atribuídos ao ciclo 2024/2025 — R$ 3.439.882,23 (Lagoa Nova/RN) e R$ 5.776.980,14 (Jucurutu/RN) — provêm das memórias de cálculo apresentadas pela própria recorrente no Evento 229, sem verificação cruzada possível contra o Sistema Integrado de Auditoria Informatizada, porquanto não houve, naquele ciclo, desembolso a conferir; sua confirmação fica remetida à fase de liquidação. O valor nulo atribuído a Cruzeta/RN no mesmo ciclo decorre de o Município não figurar na lista de distribuição de CFEM correspondente, consoante o voto-vista do Evento 219.</w:t>
      </w:r>
    </w:p>
    <w:p>
      <w:pPr>
        <w:pStyle w:val="Default"/>
        <w:spacing w:after="120" w:line="360" w:lineRule="auto"/>
        <w:jc w:val="both"/>
      </w:pPr>
      <w:r>
        <w:t>102.</w:t>
        <w:tab/>
        <w:t xml:space="preserve">Cumpre destacar que a apuração do valor a restituir há de ser feita ciclo a ciclo, sem compensação entre exercícios, tal como determinado no próprio Acórdão nº 197/2026-TC, que fixou “montantes máximos por ciclo”. Cada ciclo corresponde a nova lista de distribuição da Agência Nacional de Mineração e a nova atuação administrativa, constituindo unidade autônoma de aferição. Daí decorre que o teto apurado para o ciclo 2024/2025, no qual não houve desembolso algum, não se presta a absorver o excesso pago no ciclo 2023/2024: admitir tal compensação equivaleria a conferir eficácia remuneratória a cláusula declarada nula e a contornar a medida cautelar que, desde 04 de novembro de 2024, vedava novos pagamentos.</w:t>
      </w:r>
    </w:p>
    <w:p>
      <w:pPr>
        <w:pStyle w:val="Default"/>
        <w:spacing w:after="120" w:line="360" w:lineRule="auto"/>
        <w:jc w:val="both"/>
      </w:pPr>
      <w:r>
        <w:t>103.</w:t>
        <w:tab/>
        <w:t xml:space="preserve">Do confronto entre o teto de cada ciclo e os pagamentos nele realizados resulta o montante a restituir aos cofres municipais:</w:t>
      </w:r>
    </w:p>
    <w:p>
      <w:pPr>
        <w:pStyle w:val="Default"/>
        <w:spacing w:after="120" w:line="360" w:lineRule="auto"/>
      </w:pPr>
    </w:p>
    <w:p>
      <w:pPr>
        <w:pStyle w:val="Default"/>
        <w:spacing w:after="120"/>
        <w:jc w:val="center"/>
      </w:pPr>
      <w:r>
        <w:t>Tabela 3 – Apuração do valor a restituir, por ciclo</w:t>
      </w:r>
    </w:p>
    <w:tbl>
      <w:tblPr>
        <w:tblW w:w="8880" w:type="dxa"/>
        <w:jc w:val="center"/>
        <w:tblLayout w:type="fixed"/>
        <w:tblLook w:val="04A0" w:firstRow="1" w:lastRow="0" w:firstColumn="1" w:lastColumn="0" w:noHBand="0" w:noVBand="1"/>
      </w:tblPr>
      <w:tblGrid>
        <w:gridCol w:w="1850"/>
        <w:gridCol w:w="1480"/>
        <w:gridCol w:w="1850"/>
        <w:gridCol w:w="1850"/>
        <w:gridCol w:w="1850"/>
      </w:tblGrid>
      <w:tr>
        <w:trPr>
          <w:tblHeader/>
          <w:jc w:val="center"/>
        </w:trPr>
        <w:tc>
          <w:tcPr>
            <w:tcW w:w="1850" w:type="dxa"/>
            <w:tcBorders>
              <w:top w:val="single" w:sz="12" w:space="0" w:color="008000"/>
              <w:bottom w:val="single" w:sz="6" w:space="0" w:color="008000"/>
            </w:tcBorders>
            <w:shd w:val="clear" w:color="auto" w:fill="D9D9D9"/>
            <w:vAlign w:val="center"/>
          </w:tcPr>
          <w:p>
            <w:pPr>
              <w:pStyle w:val="Default"/>
              <w:spacing w:after="120"/>
              <w:jc w:val="center"/>
              <w:rPr>
                <w:b/>
                <w:sz w:val="22"/>
              </w:rPr>
            </w:pPr>
            <w:r>
              <w:rPr>
                <w:b/>
                <w:sz w:val="22"/>
              </w:rPr>
              <w:t xml:space="preserve">Município</w:t>
            </w:r>
          </w:p>
        </w:tc>
        <w:tc>
          <w:tcPr>
            <w:tcW w:w="1480" w:type="dxa"/>
            <w:tcBorders>
              <w:top w:val="single" w:sz="12" w:space="0" w:color="008000"/>
              <w:bottom w:val="single" w:sz="6" w:space="0" w:color="008000"/>
            </w:tcBorders>
            <w:shd w:val="clear" w:color="auto" w:fill="D9D9D9"/>
            <w:vAlign w:val="center"/>
          </w:tcPr>
          <w:p>
            <w:pPr>
              <w:pStyle w:val="Default"/>
              <w:spacing w:after="120"/>
              <w:jc w:val="center"/>
              <w:rPr>
                <w:b/>
                <w:sz w:val="22"/>
              </w:rPr>
            </w:pPr>
            <w:r>
              <w:rPr>
                <w:b/>
                <w:sz w:val="22"/>
              </w:rPr>
              <w:t xml:space="preserve">Ciclo</w:t>
            </w:r>
          </w:p>
        </w:tc>
        <w:tc>
          <w:tcPr>
            <w:tcW w:w="1850" w:type="dxa"/>
            <w:tcBorders>
              <w:top w:val="single" w:sz="12" w:space="0" w:color="008000"/>
              <w:bottom w:val="single" w:sz="6" w:space="0" w:color="008000"/>
            </w:tcBorders>
            <w:shd w:val="clear" w:color="auto" w:fill="D9D9D9"/>
            <w:vAlign w:val="center"/>
          </w:tcPr>
          <w:p>
            <w:pPr>
              <w:pStyle w:val="Default"/>
              <w:spacing w:after="120"/>
              <w:jc w:val="center"/>
              <w:rPr>
                <w:b/>
                <w:sz w:val="22"/>
              </w:rPr>
            </w:pPr>
            <w:r>
              <w:rPr>
                <w:b/>
                <w:sz w:val="22"/>
              </w:rPr>
              <w:t xml:space="preserve">Teto indenizatório do ciclo</w:t>
            </w:r>
          </w:p>
        </w:tc>
        <w:tc>
          <w:tcPr>
            <w:tcW w:w="1850" w:type="dxa"/>
            <w:tcBorders>
              <w:top w:val="single" w:sz="12" w:space="0" w:color="008000"/>
              <w:bottom w:val="single" w:sz="6" w:space="0" w:color="008000"/>
            </w:tcBorders>
            <w:shd w:val="clear" w:color="auto" w:fill="D9D9D9"/>
            <w:vAlign w:val="center"/>
          </w:tcPr>
          <w:p>
            <w:pPr>
              <w:pStyle w:val="Default"/>
              <w:spacing w:after="120"/>
              <w:jc w:val="center"/>
              <w:rPr>
                <w:b/>
                <w:sz w:val="22"/>
              </w:rPr>
            </w:pPr>
            <w:r>
              <w:rPr>
                <w:b/>
                <w:sz w:val="22"/>
              </w:rPr>
              <w:t xml:space="preserve">Pago no ciclo (Evento 231)</w:t>
            </w:r>
          </w:p>
        </w:tc>
        <w:tc>
          <w:tcPr>
            <w:tcW w:w="1850" w:type="dxa"/>
            <w:tcBorders>
              <w:top w:val="single" w:sz="12" w:space="0" w:color="008000"/>
              <w:bottom w:val="single" w:sz="6" w:space="0" w:color="008000"/>
            </w:tcBorders>
            <w:shd w:val="clear" w:color="auto" w:fill="D9D9D9"/>
            <w:vAlign w:val="center"/>
          </w:tcPr>
          <w:p>
            <w:pPr>
              <w:pStyle w:val="Default"/>
              <w:spacing w:after="120"/>
              <w:jc w:val="center"/>
              <w:rPr>
                <w:b/>
                <w:sz w:val="22"/>
              </w:rPr>
            </w:pPr>
            <w:r>
              <w:rPr>
                <w:b/>
                <w:sz w:val="22"/>
              </w:rPr>
              <w:t xml:space="preserve">A restituir</w:t>
            </w:r>
          </w:p>
        </w:tc>
      </w:tr>
      <w:tr>
        <w:trPr>
          <w:jc w:val="center"/>
        </w:trPr>
        <w:tc>
          <w:tcPr>
            <w:tcW w:w="1850" w:type="dxa"/>
            <w:vAlign w:val="center"/>
          </w:tcPr>
          <w:p>
            <w:pPr>
              <w:pStyle w:val="Default"/>
              <w:spacing w:after="120"/>
              <w:rPr>
                <w:sz w:val="22"/>
              </w:rPr>
            </w:pPr>
            <w:r>
              <w:rPr>
                <w:sz w:val="22"/>
              </w:rPr>
              <w:t xml:space="preserve">Cruzeta/RN</w:t>
            </w:r>
          </w:p>
        </w:tc>
        <w:tc>
          <w:tcPr>
            <w:tcW w:w="1480" w:type="dxa"/>
            <w:vAlign w:val="center"/>
          </w:tcPr>
          <w:p>
            <w:pPr>
              <w:pStyle w:val="Default"/>
              <w:spacing w:after="120"/>
              <w:jc w:val="center"/>
              <w:rPr>
                <w:sz w:val="22"/>
              </w:rPr>
            </w:pPr>
            <w:r>
              <w:rPr>
                <w:sz w:val="22"/>
              </w:rPr>
              <w:t xml:space="preserve">2023/2024</w:t>
            </w:r>
          </w:p>
        </w:tc>
        <w:tc>
          <w:tcPr>
            <w:tcW w:w="1850" w:type="dxa"/>
            <w:vAlign w:val="center"/>
          </w:tcPr>
          <w:p>
            <w:pPr>
              <w:pStyle w:val="Default"/>
              <w:spacing w:after="120"/>
              <w:jc w:val="right"/>
              <w:rPr>
                <w:sz w:val="22"/>
              </w:rPr>
            </w:pPr>
            <w:r>
              <w:rPr>
                <w:sz w:val="22"/>
              </w:rPr>
              <w:t xml:space="preserve">R$ 392.318,34</w:t>
            </w:r>
          </w:p>
        </w:tc>
        <w:tc>
          <w:tcPr>
            <w:tcW w:w="1850" w:type="dxa"/>
            <w:vAlign w:val="center"/>
          </w:tcPr>
          <w:p>
            <w:pPr>
              <w:pStyle w:val="Default"/>
              <w:spacing w:after="120"/>
              <w:jc w:val="right"/>
              <w:rPr>
                <w:sz w:val="22"/>
              </w:rPr>
            </w:pPr>
            <w:r>
              <w:rPr>
                <w:sz w:val="22"/>
              </w:rPr>
              <w:t xml:space="preserve">R$ 1.199.357,58</w:t>
            </w:r>
          </w:p>
        </w:tc>
        <w:tc>
          <w:tcPr>
            <w:tcW w:w="1850" w:type="dxa"/>
            <w:vAlign w:val="center"/>
          </w:tcPr>
          <w:p>
            <w:pPr>
              <w:pStyle w:val="Default"/>
              <w:spacing w:after="120"/>
              <w:jc w:val="right"/>
              <w:rPr>
                <w:sz w:val="22"/>
              </w:rPr>
            </w:pPr>
            <w:r>
              <w:rPr>
                <w:sz w:val="22"/>
              </w:rPr>
              <w:t xml:space="preserve">R$ 807.039,24</w:t>
            </w:r>
          </w:p>
        </w:tc>
      </w:tr>
      <w:tr>
        <w:trPr>
          <w:jc w:val="center"/>
        </w:trPr>
        <w:tc>
          <w:tcPr>
            <w:tcW w:w="1850" w:type="dxa"/>
            <w:vAlign w:val="center"/>
          </w:tcPr>
          <w:p>
            <w:pPr>
              <w:pStyle w:val="Default"/>
              <w:spacing w:after="120"/>
              <w:rPr>
                <w:sz w:val="22"/>
              </w:rPr>
            </w:pPr>
            <w:r>
              <w:rPr>
                <w:sz w:val="22"/>
              </w:rPr>
              <w:t xml:space="preserve"/>
            </w:r>
          </w:p>
        </w:tc>
        <w:tc>
          <w:tcPr>
            <w:tcW w:w="1480" w:type="dxa"/>
            <w:vAlign w:val="center"/>
          </w:tcPr>
          <w:p>
            <w:pPr>
              <w:pStyle w:val="Default"/>
              <w:spacing w:after="120"/>
              <w:jc w:val="center"/>
              <w:rPr>
                <w:sz w:val="22"/>
              </w:rPr>
            </w:pPr>
            <w:r>
              <w:rPr>
                <w:sz w:val="22"/>
              </w:rPr>
              <w:t xml:space="preserve">2024/2025</w:t>
            </w:r>
          </w:p>
        </w:tc>
        <w:tc>
          <w:tcPr>
            <w:tcW w:w="1850" w:type="dxa"/>
            <w:vAlign w:val="center"/>
          </w:tcPr>
          <w:p>
            <w:pPr>
              <w:pStyle w:val="Default"/>
              <w:spacing w:after="120"/>
              <w:jc w:val="right"/>
              <w:rPr>
                <w:sz w:val="22"/>
              </w:rPr>
            </w:pPr>
            <w:r>
              <w:rPr>
                <w:sz w:val="22"/>
              </w:rPr>
              <w:t xml:space="preserve">R$ 0,00</w:t>
            </w:r>
          </w:p>
        </w:tc>
        <w:tc>
          <w:tcPr>
            <w:tcW w:w="1850" w:type="dxa"/>
            <w:vAlign w:val="center"/>
          </w:tcPr>
          <w:p>
            <w:pPr>
              <w:pStyle w:val="Default"/>
              <w:spacing w:after="120"/>
              <w:jc w:val="right"/>
              <w:rPr>
                <w:sz w:val="22"/>
              </w:rPr>
            </w:pPr>
            <w:r>
              <w:rPr>
                <w:sz w:val="22"/>
              </w:rPr>
              <w:t xml:space="preserve">R$ 0,00</w:t>
            </w:r>
          </w:p>
        </w:tc>
        <w:tc>
          <w:tcPr>
            <w:tcW w:w="1850" w:type="dxa"/>
            <w:vAlign w:val="center"/>
          </w:tcPr>
          <w:p>
            <w:pPr>
              <w:pStyle w:val="Default"/>
              <w:spacing w:after="120"/>
              <w:jc w:val="right"/>
              <w:rPr>
                <w:sz w:val="22"/>
              </w:rPr>
            </w:pPr>
            <w:r>
              <w:rPr>
                <w:sz w:val="22"/>
              </w:rPr>
              <w:t xml:space="preserve">R$ 0,00</w:t>
            </w:r>
          </w:p>
        </w:tc>
      </w:tr>
      <w:tr>
        <w:trPr>
          <w:jc w:val="center"/>
        </w:trPr>
        <w:tc>
          <w:tcPr>
            <w:tcW w:w="1850" w:type="dxa"/>
            <w:vAlign w:val="center"/>
          </w:tcPr>
          <w:p>
            <w:pPr>
              <w:pStyle w:val="Default"/>
              <w:spacing w:after="120"/>
              <w:rPr>
                <w:sz w:val="22"/>
              </w:rPr>
            </w:pPr>
            <w:r>
              <w:rPr>
                <w:sz w:val="22"/>
              </w:rPr>
              <w:t xml:space="preserve">Lagoa Nova/RN</w:t>
            </w:r>
          </w:p>
        </w:tc>
        <w:tc>
          <w:tcPr>
            <w:tcW w:w="1480" w:type="dxa"/>
            <w:vAlign w:val="center"/>
          </w:tcPr>
          <w:p>
            <w:pPr>
              <w:pStyle w:val="Default"/>
              <w:spacing w:after="120"/>
              <w:jc w:val="center"/>
              <w:rPr>
                <w:sz w:val="22"/>
              </w:rPr>
            </w:pPr>
            <w:r>
              <w:rPr>
                <w:sz w:val="22"/>
              </w:rPr>
              <w:t xml:space="preserve">2023/2024</w:t>
            </w:r>
          </w:p>
        </w:tc>
        <w:tc>
          <w:tcPr>
            <w:tcW w:w="1850" w:type="dxa"/>
            <w:vAlign w:val="center"/>
          </w:tcPr>
          <w:p>
            <w:pPr>
              <w:pStyle w:val="Default"/>
              <w:spacing w:after="120"/>
              <w:jc w:val="right"/>
              <w:rPr>
                <w:sz w:val="22"/>
              </w:rPr>
            </w:pPr>
            <w:r>
              <w:rPr>
                <w:sz w:val="22"/>
              </w:rPr>
              <w:t xml:space="preserve">R$ 332.494,93</w:t>
            </w:r>
          </w:p>
        </w:tc>
        <w:tc>
          <w:tcPr>
            <w:tcW w:w="1850" w:type="dxa"/>
            <w:vAlign w:val="center"/>
          </w:tcPr>
          <w:p>
            <w:pPr>
              <w:pStyle w:val="Default"/>
              <w:spacing w:after="120"/>
              <w:jc w:val="right"/>
              <w:rPr>
                <w:sz w:val="22"/>
              </w:rPr>
            </w:pPr>
            <w:r>
              <w:rPr>
                <w:sz w:val="22"/>
              </w:rPr>
              <w:t xml:space="preserve">R$ 969.087,55</w:t>
            </w:r>
          </w:p>
        </w:tc>
        <w:tc>
          <w:tcPr>
            <w:tcW w:w="1850" w:type="dxa"/>
            <w:vAlign w:val="center"/>
          </w:tcPr>
          <w:p>
            <w:pPr>
              <w:pStyle w:val="Default"/>
              <w:spacing w:after="120"/>
              <w:jc w:val="right"/>
              <w:rPr>
                <w:sz w:val="22"/>
              </w:rPr>
            </w:pPr>
            <w:r>
              <w:rPr>
                <w:sz w:val="22"/>
              </w:rPr>
              <w:t xml:space="preserve">R$ 636.592,62</w:t>
            </w:r>
          </w:p>
        </w:tc>
      </w:tr>
      <w:tr>
        <w:trPr>
          <w:jc w:val="center"/>
        </w:trPr>
        <w:tc>
          <w:tcPr>
            <w:tcW w:w="1850" w:type="dxa"/>
            <w:vAlign w:val="center"/>
          </w:tcPr>
          <w:p>
            <w:pPr>
              <w:pStyle w:val="Default"/>
              <w:spacing w:after="120"/>
              <w:rPr>
                <w:sz w:val="22"/>
              </w:rPr>
            </w:pPr>
            <w:r>
              <w:rPr>
                <w:sz w:val="22"/>
              </w:rPr>
              <w:t xml:space="preserve"/>
            </w:r>
          </w:p>
        </w:tc>
        <w:tc>
          <w:tcPr>
            <w:tcW w:w="1480" w:type="dxa"/>
            <w:vAlign w:val="center"/>
          </w:tcPr>
          <w:p>
            <w:pPr>
              <w:pStyle w:val="Default"/>
              <w:spacing w:after="120"/>
              <w:jc w:val="center"/>
              <w:rPr>
                <w:sz w:val="22"/>
              </w:rPr>
            </w:pPr>
            <w:r>
              <w:rPr>
                <w:sz w:val="22"/>
              </w:rPr>
              <w:t xml:space="preserve">2024/2025</w:t>
            </w:r>
          </w:p>
        </w:tc>
        <w:tc>
          <w:tcPr>
            <w:tcW w:w="1850" w:type="dxa"/>
            <w:vAlign w:val="center"/>
          </w:tcPr>
          <w:p>
            <w:pPr>
              <w:pStyle w:val="Default"/>
              <w:spacing w:after="120"/>
              <w:jc w:val="right"/>
              <w:rPr>
                <w:sz w:val="22"/>
              </w:rPr>
            </w:pPr>
            <w:r>
              <w:rPr>
                <w:sz w:val="22"/>
              </w:rPr>
              <w:t xml:space="preserve">R$ 269.146,11</w:t>
            </w:r>
          </w:p>
        </w:tc>
        <w:tc>
          <w:tcPr>
            <w:tcW w:w="1850" w:type="dxa"/>
            <w:vAlign w:val="center"/>
          </w:tcPr>
          <w:p>
            <w:pPr>
              <w:pStyle w:val="Default"/>
              <w:spacing w:after="120"/>
              <w:jc w:val="right"/>
              <w:rPr>
                <w:sz w:val="22"/>
              </w:rPr>
            </w:pPr>
            <w:r>
              <w:rPr>
                <w:sz w:val="22"/>
              </w:rPr>
              <w:t xml:space="preserve">R$ 0,00</w:t>
            </w:r>
          </w:p>
        </w:tc>
        <w:tc>
          <w:tcPr>
            <w:tcW w:w="1850" w:type="dxa"/>
            <w:vAlign w:val="center"/>
          </w:tcPr>
          <w:p>
            <w:pPr>
              <w:pStyle w:val="Default"/>
              <w:spacing w:after="120"/>
              <w:jc w:val="right"/>
              <w:rPr>
                <w:sz w:val="22"/>
              </w:rPr>
            </w:pPr>
            <w:r>
              <w:rPr>
                <w:sz w:val="22"/>
              </w:rPr>
              <w:t xml:space="preserve">R$ 0,00</w:t>
            </w:r>
          </w:p>
        </w:tc>
      </w:tr>
      <w:tr>
        <w:trPr>
          <w:jc w:val="center"/>
        </w:trPr>
        <w:tc>
          <w:tcPr>
            <w:tcW w:w="1850" w:type="dxa"/>
            <w:vAlign w:val="center"/>
          </w:tcPr>
          <w:p>
            <w:pPr>
              <w:pStyle w:val="Default"/>
              <w:spacing w:after="120"/>
              <w:rPr>
                <w:sz w:val="22"/>
              </w:rPr>
            </w:pPr>
            <w:r>
              <w:rPr>
                <w:sz w:val="22"/>
              </w:rPr>
              <w:t xml:space="preserve">Jucurutu/RN</w:t>
            </w:r>
          </w:p>
        </w:tc>
        <w:tc>
          <w:tcPr>
            <w:tcW w:w="1480" w:type="dxa"/>
            <w:vAlign w:val="center"/>
          </w:tcPr>
          <w:p>
            <w:pPr>
              <w:pStyle w:val="Default"/>
              <w:spacing w:after="120"/>
              <w:jc w:val="center"/>
              <w:rPr>
                <w:sz w:val="22"/>
              </w:rPr>
            </w:pPr>
            <w:r>
              <w:rPr>
                <w:sz w:val="22"/>
              </w:rPr>
              <w:t xml:space="preserve">2023/2024</w:t>
            </w:r>
          </w:p>
        </w:tc>
        <w:tc>
          <w:tcPr>
            <w:tcW w:w="1850" w:type="dxa"/>
            <w:vAlign w:val="center"/>
          </w:tcPr>
          <w:p>
            <w:pPr>
              <w:pStyle w:val="Default"/>
              <w:spacing w:after="120"/>
              <w:jc w:val="right"/>
              <w:rPr>
                <w:sz w:val="22"/>
              </w:rPr>
            </w:pPr>
            <w:r>
              <w:rPr>
                <w:sz w:val="22"/>
              </w:rPr>
              <w:t xml:space="preserve">R$ 240.873,43</w:t>
            </w:r>
          </w:p>
        </w:tc>
        <w:tc>
          <w:tcPr>
            <w:tcW w:w="1850" w:type="dxa"/>
            <w:vAlign w:val="center"/>
          </w:tcPr>
          <w:p>
            <w:pPr>
              <w:pStyle w:val="Default"/>
              <w:spacing w:after="120"/>
              <w:jc w:val="right"/>
              <w:rPr>
                <w:sz w:val="22"/>
              </w:rPr>
            </w:pPr>
            <w:r>
              <w:rPr>
                <w:sz w:val="22"/>
              </w:rPr>
              <w:t xml:space="preserve">R$ 602.045,36</w:t>
            </w:r>
          </w:p>
        </w:tc>
        <w:tc>
          <w:tcPr>
            <w:tcW w:w="1850" w:type="dxa"/>
            <w:vAlign w:val="center"/>
          </w:tcPr>
          <w:p>
            <w:pPr>
              <w:pStyle w:val="Default"/>
              <w:spacing w:after="120"/>
              <w:jc w:val="right"/>
              <w:rPr>
                <w:sz w:val="22"/>
              </w:rPr>
            </w:pPr>
            <w:r>
              <w:rPr>
                <w:sz w:val="22"/>
              </w:rPr>
              <w:t xml:space="preserve">R$ 361.171,93</w:t>
            </w:r>
          </w:p>
        </w:tc>
      </w:tr>
      <w:tr>
        <w:trPr>
          <w:jc w:val="center"/>
        </w:trPr>
        <w:tc>
          <w:tcPr>
            <w:tcW w:w="1850" w:type="dxa"/>
            <w:vAlign w:val="center"/>
          </w:tcPr>
          <w:p>
            <w:pPr>
              <w:pStyle w:val="Default"/>
              <w:spacing w:after="120"/>
              <w:rPr>
                <w:sz w:val="22"/>
              </w:rPr>
            </w:pPr>
            <w:r>
              <w:rPr>
                <w:sz w:val="22"/>
              </w:rPr>
              <w:t xml:space="preserve"/>
            </w:r>
          </w:p>
        </w:tc>
        <w:tc>
          <w:tcPr>
            <w:tcW w:w="1480" w:type="dxa"/>
            <w:vAlign w:val="center"/>
          </w:tcPr>
          <w:p>
            <w:pPr>
              <w:pStyle w:val="Default"/>
              <w:spacing w:after="120"/>
              <w:jc w:val="center"/>
              <w:rPr>
                <w:sz w:val="22"/>
              </w:rPr>
            </w:pPr>
            <w:r>
              <w:rPr>
                <w:sz w:val="22"/>
              </w:rPr>
              <w:t xml:space="preserve">2024/2025</w:t>
            </w:r>
          </w:p>
        </w:tc>
        <w:tc>
          <w:tcPr>
            <w:tcW w:w="1850" w:type="dxa"/>
            <w:vAlign w:val="center"/>
          </w:tcPr>
          <w:p>
            <w:pPr>
              <w:pStyle w:val="Default"/>
              <w:spacing w:after="120"/>
              <w:jc w:val="right"/>
              <w:rPr>
                <w:sz w:val="22"/>
              </w:rPr>
            </w:pPr>
            <w:r>
              <w:rPr>
                <w:sz w:val="22"/>
              </w:rPr>
              <w:t xml:space="preserve">R$ 386.001,01</w:t>
            </w:r>
          </w:p>
        </w:tc>
        <w:tc>
          <w:tcPr>
            <w:tcW w:w="1850" w:type="dxa"/>
            <w:vAlign w:val="center"/>
          </w:tcPr>
          <w:p>
            <w:pPr>
              <w:pStyle w:val="Default"/>
              <w:spacing w:after="120"/>
              <w:jc w:val="right"/>
              <w:rPr>
                <w:sz w:val="22"/>
              </w:rPr>
            </w:pPr>
            <w:r>
              <w:rPr>
                <w:sz w:val="22"/>
              </w:rPr>
              <w:t xml:space="preserve">R$ 0,00</w:t>
            </w:r>
          </w:p>
        </w:tc>
        <w:tc>
          <w:tcPr>
            <w:tcW w:w="1850" w:type="dxa"/>
            <w:vAlign w:val="center"/>
          </w:tcPr>
          <w:p>
            <w:pPr>
              <w:pStyle w:val="Default"/>
              <w:spacing w:after="120"/>
              <w:jc w:val="right"/>
              <w:rPr>
                <w:sz w:val="22"/>
              </w:rPr>
            </w:pPr>
            <w:r>
              <w:rPr>
                <w:sz w:val="22"/>
              </w:rPr>
              <w:t xml:space="preserve">R$ 0,00</w:t>
            </w:r>
          </w:p>
        </w:tc>
      </w:tr>
      <w:tr>
        <w:trPr>
          <w:jc w:val="center"/>
        </w:trPr>
        <w:tc>
          <w:tcPr>
            <w:tcW w:w="3330" w:type="dxa"/>
            <w:gridSpan w:val="2"/>
            <w:tcBorders>
              <w:top w:val="single" w:sz="6" w:space="0" w:color="008000"/>
              <w:bottom w:val="single" w:sz="12" w:space="0" w:color="008000"/>
            </w:tcBorders>
            <w:shd w:val="clear" w:color="auto" w:fill="F2F2F2"/>
            <w:vAlign w:val="center"/>
          </w:tcPr>
          <w:p>
            <w:pPr>
              <w:pStyle w:val="Default"/>
              <w:spacing w:after="120"/>
              <w:jc w:val="right"/>
              <w:rPr>
                <w:b/>
                <w:sz w:val="22"/>
              </w:rPr>
            </w:pPr>
            <w:r>
              <w:rPr>
                <w:b/>
                <w:sz w:val="22"/>
              </w:rPr>
              <w:t xml:space="preserve">Total</w:t>
            </w:r>
          </w:p>
        </w:tc>
        <w:tc>
          <w:tcPr>
            <w:tcW w:w="1850" w:type="dxa"/>
            <w:tcBorders>
              <w:top w:val="single" w:sz="6" w:space="0" w:color="008000"/>
              <w:bottom w:val="single" w:sz="12" w:space="0" w:color="008000"/>
            </w:tcBorders>
            <w:shd w:val="clear" w:color="auto" w:fill="F2F2F2"/>
            <w:vAlign w:val="center"/>
          </w:tcPr>
          <w:p>
            <w:pPr>
              <w:pStyle w:val="Default"/>
              <w:spacing w:after="120"/>
              <w:jc w:val="right"/>
              <w:rPr>
                <w:b/>
                <w:sz w:val="22"/>
              </w:rPr>
            </w:pPr>
            <w:r>
              <w:rPr>
                <w:b/>
                <w:sz w:val="22"/>
              </w:rPr>
              <w:t xml:space="preserve">(*)</w:t>
            </w:r>
          </w:p>
        </w:tc>
        <w:tc>
          <w:tcPr>
            <w:tcW w:w="1850" w:type="dxa"/>
            <w:tcBorders>
              <w:top w:val="single" w:sz="6" w:space="0" w:color="008000"/>
              <w:bottom w:val="single" w:sz="12" w:space="0" w:color="008000"/>
            </w:tcBorders>
            <w:shd w:val="clear" w:color="auto" w:fill="F2F2F2"/>
            <w:vAlign w:val="center"/>
          </w:tcPr>
          <w:p>
            <w:pPr>
              <w:pStyle w:val="Default"/>
              <w:spacing w:after="120"/>
              <w:jc w:val="right"/>
              <w:rPr>
                <w:b/>
                <w:sz w:val="22"/>
              </w:rPr>
            </w:pPr>
            <w:r>
              <w:rPr>
                <w:b/>
                <w:sz w:val="22"/>
              </w:rPr>
              <w:t xml:space="preserve">R$ 2.770.490,49</w:t>
            </w:r>
          </w:p>
        </w:tc>
        <w:tc>
          <w:tcPr>
            <w:tcW w:w="1850" w:type="dxa"/>
            <w:tcBorders>
              <w:top w:val="single" w:sz="6" w:space="0" w:color="008000"/>
              <w:bottom w:val="single" w:sz="12" w:space="0" w:color="008000"/>
            </w:tcBorders>
            <w:shd w:val="clear" w:color="auto" w:fill="F2F2F2"/>
            <w:vAlign w:val="center"/>
          </w:tcPr>
          <w:p>
            <w:pPr>
              <w:pStyle w:val="Default"/>
              <w:spacing w:after="120"/>
              <w:jc w:val="right"/>
              <w:rPr>
                <w:b/>
                <w:sz w:val="22"/>
              </w:rPr>
            </w:pPr>
            <w:r>
              <w:rPr>
                <w:b/>
                <w:sz w:val="22"/>
              </w:rPr>
              <w:t xml:space="preserve">R$ 1.804.803,79</w:t>
            </w:r>
          </w:p>
        </w:tc>
      </w:tr>
    </w:tbl>
    <w:p>
      <w:pPr>
        <w:pStyle w:val="Default"/>
        <w:spacing w:after="120" w:line="360" w:lineRule="auto"/>
      </w:pPr>
    </w:p>
    <w:p>
      <w:pPr>
        <w:pStyle w:val="Default"/>
        <w:spacing w:after="120" w:line="276" w:lineRule="auto"/>
        <w:ind w:left="284"/>
        <w:jc w:val="both"/>
        <w:rPr>
          <w:i/>
          <w:iCs/>
          <w:sz w:val="20"/>
        </w:rPr>
      </w:pPr>
      <w:r>
        <w:rPr>
          <w:i/>
          <w:iCs/>
          <w:sz w:val="20"/>
        </w:rPr>
        <w:t xml:space="preserve">(*) A coluna do teto indenizatório não é objeto de totalização entre ciclos, dado que a restituição é apurada ciclo a ciclo, sem compensação entre exercícios, na forma do item 102. A soma aritmética dos tetos de ambos os ciclos (R$ 1.620.833,82) não corresponde a parâmetro de subtração válido em relação ao total pago ou ao total a restituir.</w:t>
      </w:r>
    </w:p>
    <w:p>
      <w:pPr>
        <w:pStyle w:val="Default"/>
        <w:spacing w:after="120" w:line="360" w:lineRule="auto"/>
        <w:jc w:val="both"/>
      </w:pPr>
      <w:r>
        <w:t>104.</w:t>
        <w:tab/>
        <w:t xml:space="preserve">Para fins elucidativos, registre-se que a adoção do salário-mínimo do exercício de 2024 para o ciclo 2023/2024, em lugar do de 2025 pretendido pela recorrente, importa diferença de R$ 19.575,26 (dezenove mil, quinhentos e setenta e cinco reais e vinte e seis centavos) no total a restituir, mantida a mesma metodologia de incidência escalonada e percentuais mínimos.</w:t>
      </w:r>
    </w:p>
    <w:p w14:paraId="0C897886" w14:textId="77777777" w:rsidR="00DF597F" w:rsidRDefault="008F60D8">
      <w:pPr>
        <w:pStyle w:val="Default"/>
        <w:spacing w:after="120" w:line="360" w:lineRule="auto"/>
        <w:jc w:val="both"/>
      </w:pPr>
      <w:r>
        <w:lastRenderedPageBreak/>
        <w:t>105.</w:t>
      </w:r>
      <w:r>
        <w:tab/>
        <w:t>Registre-se que o Município de Jucurutu/RN constitui, no ciclo 2023/2024, a única hipótese em que a escolha do marco temporal altera a faixa legal aplicável, e não apenas o montante: sob o salário-mínimo de 2024, o proveito de R$ 3.010.108,63 excede o limite de R$ 2.824.000,00 e ingressa no inciso III (5%); sob o de 2025, permanece abaixo de R$ 3.036.000,00 e mantém-se integralmente no inciso II (8%).</w:t>
      </w:r>
    </w:p>
    <w:p>
      <w:pPr>
        <w:pStyle w:val="Default"/>
        <w:spacing w:after="120" w:line="360" w:lineRule="auto"/>
        <w:jc w:val="both"/>
      </w:pPr>
      <w:r>
        <w:t>106.</w:t>
        <w:tab/>
        <w:t xml:space="preserve">A liquidação constante do Evento 231, elaborada com os tetos vigentes, apurou restituição de R$ 1.720.490,49 (um milhão, setecentos e vinte mil, quatrocentos e noventa reais e quarenta e nove centavos), ao passo que a aplicação da sistemática progressiva ora proposta, com percentuais mínimos e apuração ciclo a ciclo, resulta em R$ 1.804.803,79 (um milhão, oitocentos e quatro mil, oitocentos e três reais e setenta e nove centavos), vale dizer, montante superior em R$ 84.313,30 (oitenta e quatro mil, trezentos e treze reais e trinta centavos), do que se extrai que a correção metodológica ora proposta não se reverte, quanto ao montante total a restituir, em benefício material da recorrente.</w:t>
      </w:r>
    </w:p>
    <w:p>
      <w:pPr>
        <w:pStyle w:val="Default"/>
        <w:spacing w:after="120" w:line="360" w:lineRule="auto"/>
        <w:jc w:val="both"/>
      </w:pPr>
      <w:r>
        <w:t>107.</w:t>
        <w:tab/>
        <w:t xml:space="preserve">Ressalva-se, todavia, que o cotejo teto a teto revela elevação, em relação ao fixado no julgado guerreado, em duas das seis hipóteses: Lagoa Nova/RN, no ciclo 2023/2024 (de R$ 320.000,00 para R$ 332.494,93), e Jucurutu/RN, no ciclo 2024/2025 (de R$ 250.000,00 para R$ 386.001,01). Quanto a esta última, por não ter havido desembolso no respectivo ciclo, o teto ora apurado não gera direito autônomo a pagamento, dada a nulidade contratual declarada e a subsistência da medida cautelar que, desde 04 de novembro de 2024, veda novos desembolsos.</w:t>
      </w:r>
    </w:p>
    <w:p w14:paraId="32CDBDB6" w14:textId="77777777" w:rsidR="00DF597F" w:rsidRDefault="008F60D8">
      <w:pPr>
        <w:pStyle w:val="Default"/>
        <w:spacing w:after="120" w:line="360" w:lineRule="auto"/>
        <w:jc w:val="both"/>
      </w:pPr>
      <w:r>
        <w:t>108.</w:t>
      </w:r>
      <w:r>
        <w:tab/>
        <w:t xml:space="preserve">Advirta-se, por fim, que os valores acima constituem teto indenizatório, e não </w:t>
      </w:r>
      <w:proofErr w:type="gramStart"/>
      <w:r>
        <w:t>resultado final</w:t>
      </w:r>
      <w:proofErr w:type="gramEnd"/>
      <w:r>
        <w:t xml:space="preserve"> da liquidação, cabendo à Coordenadoria de Controle de Decisões apurar os montantes definitivos a restituir.</w:t>
      </w:r>
    </w:p>
    <w:p>
      <w:pPr>
        <w:pStyle w:val="Default"/>
        <w:spacing w:after="120" w:line="360" w:lineRule="auto"/>
        <w:jc w:val="both"/>
      </w:pPr>
      <w:r>
        <w:t>109.</w:t>
        <w:tab/>
        <w:t xml:space="preserve">Impõem-se, pois, a rejeição das alegações constantes dos capítulos V e VIII e o acolhimento parcial das constantes dos capítulos III e IX, exclusivamente para que a liquidação observe a incidência progressiva por faixas, com percentuais mínimos, tomando por base o proveito econômico efetivamente recebido em cada ciclo, com faixas dimensionadas pelo salário-mínimo do exercício correspondente e sem compensação entre ciclos.</w:t>
      </w:r>
    </w:p>
    <w:p w14:paraId="364C2961" w14:textId="77777777" w:rsidR="00DF597F" w:rsidRDefault="008F60D8">
      <w:pPr>
        <w:pStyle w:val="Default"/>
        <w:shd w:val="clear" w:color="auto" w:fill="D9D9D9"/>
        <w:spacing w:after="120" w:line="360" w:lineRule="auto"/>
        <w:rPr>
          <w:b/>
          <w:bCs/>
        </w:rPr>
      </w:pPr>
      <w:r>
        <w:rPr>
          <w:b/>
          <w:bCs/>
        </w:rPr>
        <w:t>3.3.4 – Da alegada divergência entre Câmaras (capítulo XI, alínea "a")</w:t>
      </w:r>
    </w:p>
    <w:p w14:paraId="22DC351F" w14:textId="77777777" w:rsidR="00DF597F" w:rsidRDefault="008F60D8">
      <w:pPr>
        <w:pStyle w:val="Default"/>
        <w:spacing w:after="120" w:line="360" w:lineRule="auto"/>
        <w:jc w:val="both"/>
      </w:pPr>
      <w:r>
        <w:t>110.</w:t>
      </w:r>
      <w:r>
        <w:tab/>
        <w:t>Sustenta a recorrente que o Acórdão nº 149/2026-TC, prolatado pela 1ª Câmara de Contas doze dias antes do julgado guerreado, teria firmado entendimento diametralmente oposto, sem que houvesse alteração do cenário jurídico a justificá-lo.</w:t>
      </w:r>
    </w:p>
    <w:p w14:paraId="74EEB9A7" w14:textId="77777777" w:rsidR="00DF597F" w:rsidRDefault="008F60D8">
      <w:pPr>
        <w:pStyle w:val="Default"/>
        <w:spacing w:after="120" w:line="360" w:lineRule="auto"/>
        <w:jc w:val="both"/>
      </w:pPr>
      <w:r>
        <w:t>111.</w:t>
      </w:r>
      <w:r>
        <w:tab/>
        <w:t>A alegação não se sustenta, por quatro razões autônomas.</w:t>
      </w:r>
    </w:p>
    <w:p w14:paraId="0555423E" w14:textId="77777777" w:rsidR="00DF597F" w:rsidRDefault="008F60D8">
      <w:pPr>
        <w:pStyle w:val="Default"/>
        <w:spacing w:after="120" w:line="360" w:lineRule="auto"/>
        <w:jc w:val="both"/>
      </w:pPr>
      <w:r>
        <w:t>112.</w:t>
      </w:r>
      <w:r>
        <w:tab/>
        <w:t xml:space="preserve">Em primeiro lugar, o Acórdão nº 149/2026-TC foi prolatado em julgamento de Pedido de Revisão de Medida Cautelar, em juízo de cognição sumária. O próprio Relator consignou expressamente que os autos se encontravam em fase de cognição sumária e que a análise de mérito do pleito principal será realizada em momento oportuno, quando efetuada melhor </w:t>
      </w:r>
      <w:r>
        <w:lastRenderedPageBreak/>
        <w:t>instrução processual. Não se cuida, pois, de decisão de mérito apta a configurar precedente em sentido contrário</w:t>
      </w:r>
      <w:r>
        <w:rPr>
          <w:rStyle w:val="Refdenotaderodap"/>
        </w:rPr>
        <w:footnoteReference w:id="22"/>
      </w:r>
      <w:r>
        <w:t>.</w:t>
      </w:r>
    </w:p>
    <w:p w14:paraId="32DB00B1" w14:textId="77777777" w:rsidR="00DF597F" w:rsidRDefault="008F60D8">
      <w:pPr>
        <w:pStyle w:val="Default"/>
        <w:spacing w:after="120" w:line="360" w:lineRule="auto"/>
        <w:jc w:val="both"/>
      </w:pPr>
      <w:r>
        <w:t>113.</w:t>
      </w:r>
      <w:r>
        <w:tab/>
        <w:t xml:space="preserve">Em segundo lugar, inexiste, na 1ª Câmara de Contas, orientação consolidada favorável à cláusula </w:t>
      </w:r>
      <w:r>
        <w:rPr>
          <w:i/>
          <w:iCs/>
        </w:rPr>
        <w:t xml:space="preserve">ad </w:t>
      </w:r>
      <w:proofErr w:type="spellStart"/>
      <w:r>
        <w:rPr>
          <w:i/>
          <w:iCs/>
        </w:rPr>
        <w:t>exitum</w:t>
      </w:r>
      <w:proofErr w:type="spellEnd"/>
      <w:r>
        <w:t xml:space="preserve">. O mesmo Relator, no mesmo colegiado, prolatou o Acórdão nº 230/2025-TC, cuja ementa destaca, entre os pontos a apurar, a estrutura do termo contratual da cláusula </w:t>
      </w:r>
      <w:r>
        <w:rPr>
          <w:i/>
          <w:iCs/>
        </w:rPr>
        <w:t>quota litis</w:t>
      </w:r>
      <w:r>
        <w:t xml:space="preserve"> (ajuste que atrela a remuneração do advogado a parcela do proveito obtido), determinando a continuidade da instrução em razão de pagamentos públicos potencialmente fundados na indevida antecipação de honorários advocatícios firmados sob a sistemática da cláusula </w:t>
      </w:r>
      <w:r>
        <w:rPr>
          <w:i/>
          <w:iCs/>
        </w:rPr>
        <w:t xml:space="preserve">ad </w:t>
      </w:r>
      <w:proofErr w:type="spellStart"/>
      <w:r>
        <w:rPr>
          <w:i/>
          <w:iCs/>
        </w:rPr>
        <w:t>exitum</w:t>
      </w:r>
      <w:proofErr w:type="spellEnd"/>
      <w:r>
        <w:t>, com expressa indagação acerca de ter sido, ou não, o contratado proporcionalmente onerado pela eventual devolução dos valores</w:t>
      </w:r>
      <w:r>
        <w:rPr>
          <w:rStyle w:val="Refdenotaderodap"/>
        </w:rPr>
        <w:footnoteReference w:id="23"/>
      </w:r>
      <w:r>
        <w:t xml:space="preserve">. </w:t>
      </w:r>
    </w:p>
    <w:p w14:paraId="16B65AAC" w14:textId="77777777" w:rsidR="00DF597F" w:rsidRDefault="008F60D8">
      <w:pPr>
        <w:pStyle w:val="Default"/>
        <w:spacing w:after="120" w:line="360" w:lineRule="auto"/>
        <w:jc w:val="both"/>
      </w:pPr>
      <w:r>
        <w:t>114.</w:t>
      </w:r>
      <w:r>
        <w:tab/>
        <w:t xml:space="preserve">Idêntico padrão, consistente no indeferimento de cautelar em cognição sumária, com citação para defesa e mérito reservado, verifica-se no Acórdão nº 214/2025-TC (Processo nº 000162/2025-TC. Sessão de 04/09/2025. Publicado em 09/09/2025) e no Acórdão nº 20/2026-TC (Processo nº 003355/2023-TC. Sessão de 05/02/2026. Publicado em 26/02/2026). Cumpre registrar, ainda, que </w:t>
      </w:r>
      <w:r>
        <w:rPr>
          <w:b/>
          <w:bCs/>
        </w:rPr>
        <w:t>os dois precedentes em que se assenta a alegação de divergência</w:t>
      </w:r>
      <w:r>
        <w:t xml:space="preserve"> (os Acórdãos nº 214/2025-TC e nº 149/2026-TC, ambos do Processo nº 000162/2025-TC) </w:t>
      </w:r>
      <w:r>
        <w:rPr>
          <w:b/>
          <w:bCs/>
        </w:rPr>
        <w:t>foram relatados pelo mesmo Conselheiro Substituto</w:t>
      </w:r>
      <w:r>
        <w:t xml:space="preserve">, Marco Antônio de Moraes Rêgo Montenegro, e, em ambos os casos, </w:t>
      </w:r>
      <w:r>
        <w:rPr>
          <w:b/>
          <w:bCs/>
        </w:rPr>
        <w:t>exarados em expressa dissonância com o Corpo Técnico e com o Ministério Público de Contas, que opinavam pela suspensão cautelar dos pagamentos</w:t>
      </w:r>
      <w:r>
        <w:t xml:space="preserve">. </w:t>
      </w:r>
    </w:p>
    <w:p w14:paraId="6CC14030" w14:textId="77777777" w:rsidR="00DF597F" w:rsidRDefault="008F60D8">
      <w:pPr>
        <w:pStyle w:val="Default"/>
        <w:spacing w:after="120" w:line="360" w:lineRule="auto"/>
        <w:jc w:val="both"/>
      </w:pPr>
      <w:r>
        <w:t>115.</w:t>
      </w:r>
      <w:r>
        <w:tab/>
        <w:t xml:space="preserve">O dispositivo do Acórdão nº 149/2026-TC registra ter sido proferido "em dissonância com o Corpo Técnico e o entendimento do Ministério Público Especial", e a proposta de voto que precedeu o Acórdão nº 214/2025-TC consigna estar o julgador "discordando do entendimento do Corpo Técnico e Ministério Público Especial". </w:t>
      </w:r>
    </w:p>
    <w:p w14:paraId="4CC86B1F" w14:textId="77777777" w:rsidR="00DF597F" w:rsidRDefault="008F60D8">
      <w:pPr>
        <w:pStyle w:val="Default"/>
        <w:spacing w:after="120" w:line="360" w:lineRule="auto"/>
        <w:jc w:val="both"/>
      </w:pPr>
      <w:r>
        <w:t>116.</w:t>
      </w:r>
      <w:r>
        <w:tab/>
        <w:t>Não se está, portanto, diante de orientação consolidada da 1ª Câmara de Contas, mas de manifestação isolada de um único julgador, em processo ainda pendente de instrução e de decisão de mérito, insuficiente para caracterizar o quadro de insegurança jurídica institucional invocado pela recorrente.</w:t>
      </w:r>
    </w:p>
    <w:p w14:paraId="3FC25D80" w14:textId="77777777" w:rsidR="00DF597F" w:rsidRDefault="008F60D8">
      <w:pPr>
        <w:pStyle w:val="Default"/>
        <w:spacing w:after="120" w:line="360" w:lineRule="auto"/>
        <w:jc w:val="both"/>
      </w:pPr>
      <w:r>
        <w:lastRenderedPageBreak/>
        <w:t>117.</w:t>
      </w:r>
      <w:r>
        <w:tab/>
        <w:t xml:space="preserve">Em terceiro lugar, o acórdão invocado não enfrentou os fundamentos que constituem a </w:t>
      </w:r>
      <w:proofErr w:type="spellStart"/>
      <w:r>
        <w:rPr>
          <w:i/>
          <w:iCs/>
        </w:rPr>
        <w:t>ratio</w:t>
      </w:r>
      <w:proofErr w:type="spellEnd"/>
      <w:r>
        <w:rPr>
          <w:i/>
          <w:iCs/>
        </w:rPr>
        <w:t xml:space="preserve"> </w:t>
      </w:r>
      <w:proofErr w:type="spellStart"/>
      <w:r>
        <w:rPr>
          <w:i/>
          <w:iCs/>
        </w:rPr>
        <w:t>decidendi</w:t>
      </w:r>
      <w:proofErr w:type="spellEnd"/>
      <w:r>
        <w:t xml:space="preserve"> do julgado guerreado, quais sejam, a ausência de preço certo, a violação ao princípio orçamentário da universalidade e o requisito da compatibilidade do preço, integrante do Tema nº 309 do Supremo Tribunal Federal.</w:t>
      </w:r>
    </w:p>
    <w:p w14:paraId="1E89DE27" w14:textId="77777777" w:rsidR="00DF597F" w:rsidRDefault="008F60D8">
      <w:pPr>
        <w:pStyle w:val="Default"/>
        <w:spacing w:after="120" w:line="360" w:lineRule="auto"/>
        <w:jc w:val="both"/>
      </w:pPr>
      <w:r>
        <w:t>118.</w:t>
      </w:r>
      <w:r>
        <w:tab/>
        <w:t>Em quarto lugar, o acórdão invocado não enfrentou tampouco superou orientação firmada por este Excelso Plenário em sede de Consulta, segundo a qual o contrato que tenha por objeto a prestação de serviços de consultoria sobre arrecadação de imposto deve estabelecer valor fixo, não podendo haver previsão percentual sobre as receitas auferidas pela entidade política</w:t>
      </w:r>
      <w:r>
        <w:rPr>
          <w:rStyle w:val="Refdenotaderodap"/>
        </w:rPr>
        <w:footnoteReference w:id="24"/>
      </w:r>
      <w:r>
        <w:t xml:space="preserve">. </w:t>
      </w:r>
    </w:p>
    <w:p w14:paraId="2A1C522A" w14:textId="77777777" w:rsidR="00DF597F" w:rsidRDefault="008F60D8">
      <w:pPr>
        <w:pStyle w:val="Default"/>
        <w:spacing w:after="120" w:line="360" w:lineRule="auto"/>
        <w:jc w:val="both"/>
      </w:pPr>
      <w:r>
        <w:t>119.</w:t>
      </w:r>
      <w:r>
        <w:tab/>
        <w:t>Conquanto o objeto daquela Consulta, consistente em consultoria sobre arrecadação tributária, corresponda precisamente ao do Processo nº 000162/2025-TC, o precedente plenário não foi ali examinado.</w:t>
      </w:r>
    </w:p>
    <w:p w14:paraId="1B88E07D" w14:textId="77777777" w:rsidR="00DF597F" w:rsidRDefault="008F60D8">
      <w:pPr>
        <w:pStyle w:val="Default"/>
        <w:spacing w:after="120" w:line="360" w:lineRule="auto"/>
        <w:jc w:val="both"/>
      </w:pPr>
      <w:r>
        <w:t>120.</w:t>
      </w:r>
      <w:r>
        <w:tab/>
        <w:t xml:space="preserve">Demais disso, cumpre anotar que a própria </w:t>
      </w:r>
      <w:proofErr w:type="spellStart"/>
      <w:r>
        <w:rPr>
          <w:i/>
          <w:iCs/>
        </w:rPr>
        <w:t>ratio</w:t>
      </w:r>
      <w:proofErr w:type="spellEnd"/>
      <w:r>
        <w:rPr>
          <w:i/>
          <w:iCs/>
        </w:rPr>
        <w:t xml:space="preserve"> </w:t>
      </w:r>
      <w:proofErr w:type="spellStart"/>
      <w:r>
        <w:rPr>
          <w:i/>
          <w:iCs/>
        </w:rPr>
        <w:t>decidendi</w:t>
      </w:r>
      <w:proofErr w:type="spellEnd"/>
      <w:r>
        <w:t xml:space="preserve"> do Acórdão nº 149/2026-TC condicionou a validade da cláusula ao fato de que o percentual de 15% (quinze por cento) ali examinado não representaria risco de lesão aos cofres públicos, consignando que o Supremo Tribunal Federal impõe limites rigorosos, como a proibição de honorários de êxito milionários. </w:t>
      </w:r>
    </w:p>
    <w:p w14:paraId="6D18DCF8" w14:textId="77777777" w:rsidR="00DF597F" w:rsidRDefault="008F60D8">
      <w:pPr>
        <w:pStyle w:val="Default"/>
        <w:spacing w:after="120" w:line="360" w:lineRule="auto"/>
        <w:jc w:val="both"/>
      </w:pPr>
      <w:r>
        <w:t>121.</w:t>
      </w:r>
      <w:r>
        <w:tab/>
        <w:t>A ressalva, nestes autos, milita em sentido contrário à pretensão recursal, dado que os desembolsos comprovados nos registros oficiais superam dois milhões e setecentos mil reais e o percentual pactuado é de 20% (vinte por cento), acrescido de bônus cumulativo sobre valores retroativos.</w:t>
      </w:r>
    </w:p>
    <w:p w14:paraId="6DE213D2" w14:textId="77777777" w:rsidR="00DF597F" w:rsidRDefault="008F60D8">
      <w:pPr>
        <w:pStyle w:val="Default"/>
        <w:spacing w:after="120" w:line="360" w:lineRule="auto"/>
        <w:jc w:val="both"/>
      </w:pPr>
      <w:r>
        <w:t>122.</w:t>
      </w:r>
      <w:r>
        <w:tab/>
        <w:t>Registre-se, por fim, que o MPC já havia advertido, no Parecer nº 105/2025 (Evento 173), que a fase de conhecimento do Processo nº 000162/2025-TC era totalmente diversa e que naqueles autos inexistia decisão de mérito ou trânsito em julgado.</w:t>
      </w:r>
    </w:p>
    <w:p w14:paraId="151F578D" w14:textId="77777777" w:rsidR="00DF597F" w:rsidRDefault="008F60D8">
      <w:pPr>
        <w:pStyle w:val="Default"/>
        <w:spacing w:after="120" w:line="360" w:lineRule="auto"/>
        <w:jc w:val="both"/>
      </w:pPr>
      <w:r>
        <w:t>123.</w:t>
      </w:r>
      <w:r>
        <w:tab/>
        <w:t>Impõe-se, pois, a rejeição da alegação constante do capítulo XI, alínea "a", da peça recursal.</w:t>
      </w:r>
    </w:p>
    <w:p w14:paraId="6E6E843A" w14:textId="77777777" w:rsidR="00DF597F" w:rsidRDefault="008F60D8">
      <w:pPr>
        <w:pStyle w:val="Default"/>
        <w:shd w:val="clear" w:color="auto" w:fill="F2F2F2"/>
        <w:spacing w:after="120" w:line="360" w:lineRule="auto"/>
        <w:rPr>
          <w:b/>
          <w:bCs/>
        </w:rPr>
      </w:pPr>
      <w:r>
        <w:rPr>
          <w:b/>
          <w:bCs/>
        </w:rPr>
        <w:t>3.3.5 – Dos precedentes judiciais invocados (capítulo XI, alínea "b")</w:t>
      </w:r>
    </w:p>
    <w:p w14:paraId="20D39444" w14:textId="77777777" w:rsidR="00DF597F" w:rsidRDefault="008F60D8">
      <w:pPr>
        <w:pStyle w:val="Default"/>
        <w:spacing w:after="120" w:line="360" w:lineRule="auto"/>
        <w:jc w:val="both"/>
      </w:pPr>
      <w:r>
        <w:t>124.</w:t>
      </w:r>
      <w:r>
        <w:tab/>
        <w:t>Invoca a recorrente sentença da Vara Única da Comarca de Monte Alegre/RN, mantida em sede de apelação, que teria desconstituído acórdão desta Corte em caso análogo.</w:t>
      </w:r>
    </w:p>
    <w:p w14:paraId="6FEBBD75" w14:textId="77777777" w:rsidR="00DF597F" w:rsidRDefault="008F60D8">
      <w:pPr>
        <w:pStyle w:val="Default"/>
        <w:spacing w:after="120" w:line="360" w:lineRule="auto"/>
        <w:jc w:val="both"/>
      </w:pPr>
      <w:r>
        <w:lastRenderedPageBreak/>
        <w:t>125.</w:t>
      </w:r>
      <w:r>
        <w:tab/>
        <w:t>Cuida-se das Apelações Cíveis nº 0800665-39.2023.8.20.5144, julgada pela 2ª Câmara Cível, 1ª Turma, do Tribunal de Justiça do Estado do Rio Grande do Norte em 14/08/2025, publicada em 15/08/2025, sob a relatoria do Desembargador João Batista Rodrigues Rebouças, e nº 0800852-47.2023.8.20.5144, julgada pelo mesmo órgão em 01/08/2025, publicada em 04/08/2025, sob a relatoria do Juiz Convocado Cícero Martins de Macedo Filho, ambas versando sobre o Contrato nº 073/2015, celebrado entre o Município de Monte Alegre/RN e advogado, e sobre o Acórdão nº 118/2022-TC, prolatado no Processo nº 018170/2015-TC.</w:t>
      </w:r>
    </w:p>
    <w:p w14:paraId="41D019A8" w14:textId="77777777" w:rsidR="00DF597F" w:rsidRDefault="008F60D8">
      <w:pPr>
        <w:pStyle w:val="Default"/>
        <w:spacing w:after="120" w:line="360" w:lineRule="auto"/>
        <w:jc w:val="both"/>
      </w:pPr>
      <w:r>
        <w:t>126.</w:t>
      </w:r>
      <w:r>
        <w:tab/>
        <w:t>A invocação não aproveita à recorrente, por três fundamentos autônomos.</w:t>
      </w:r>
    </w:p>
    <w:p w14:paraId="677507F0" w14:textId="77777777" w:rsidR="00DF597F" w:rsidRDefault="008F60D8">
      <w:pPr>
        <w:pStyle w:val="Default"/>
        <w:spacing w:after="120" w:line="360" w:lineRule="auto"/>
        <w:jc w:val="both"/>
      </w:pPr>
      <w:r>
        <w:t>127.</w:t>
      </w:r>
      <w:r>
        <w:tab/>
        <w:t xml:space="preserve">O primeiro reside na ausência de definitividade. </w:t>
      </w:r>
      <w:r>
        <w:rPr>
          <w:b/>
          <w:bCs/>
        </w:rPr>
        <w:t>Ambos os feitos se encontram sobrestados</w:t>
      </w:r>
      <w:r>
        <w:t>: a Apelação Cível nº 0800852-47.2023.8.20.5144 teve seu curso suspenso em 15 de janeiro de 2026, e a Apelação Cível nº 0800665-39.2023.8.20.5144 em 29 de janeiro de 2026, em ambos os casos por força do Tema nº 1.255 da repercussão geral do Supremo Tribunal Federal. Inexiste, portanto, pronunciamento judicial definitivo, tampouco trânsito em julgado, a desconstituir o precedente desta Corte.</w:t>
      </w:r>
    </w:p>
    <w:p w14:paraId="0FBE6E16" w14:textId="77777777" w:rsidR="00DF597F" w:rsidRDefault="008F60D8">
      <w:pPr>
        <w:pStyle w:val="Default"/>
        <w:spacing w:after="120" w:line="360" w:lineRule="auto"/>
        <w:jc w:val="both"/>
      </w:pPr>
      <w:r>
        <w:t>128.</w:t>
      </w:r>
      <w:r>
        <w:tab/>
        <w:t xml:space="preserve">O segundo diz respeito à delimitação do objeto controvertido. O próprio motivo do sobrestamento evidencia que a controvérsia submetida ao crivo do Supremo Tribunal Federal concerne à metodologia de fixação da verba honorária, e não à validade abstrata da cláusula </w:t>
      </w:r>
      <w:r>
        <w:rPr>
          <w:i/>
          <w:iCs/>
        </w:rPr>
        <w:t xml:space="preserve">ad </w:t>
      </w:r>
      <w:proofErr w:type="spellStart"/>
      <w:r>
        <w:rPr>
          <w:i/>
          <w:iCs/>
        </w:rPr>
        <w:t>exitum</w:t>
      </w:r>
      <w:proofErr w:type="spellEnd"/>
      <w:r>
        <w:t xml:space="preserve"> ou à competência desta Corte de Contas para declarar a nulidade contratual. Corrobora essa leitura a própria ementa da Apelação Cível nº 0800852-47.2023.8.20.5144, que destaca a impossibilidade de fixação por equidade e a observância do artigo 85, §§ 3º e 5º, do Código de Processo Civil.</w:t>
      </w:r>
    </w:p>
    <w:p w14:paraId="17920B0D" w14:textId="77777777" w:rsidR="00DF597F" w:rsidRDefault="008F60D8">
      <w:pPr>
        <w:pStyle w:val="Default"/>
        <w:spacing w:after="120" w:line="360" w:lineRule="auto"/>
        <w:jc w:val="both"/>
      </w:pPr>
      <w:r>
        <w:t>129.</w:t>
      </w:r>
      <w:r>
        <w:tab/>
        <w:t>Cumpre consignar, com a devida transparência analítica, que nesse ponto metodológico específico a orientação do Tribunal de Justiça converge com a solução ora proposta no subcapítulo 3.3.3 desta manifestação. O que dos julgados não se extrai, todavia, é reconhecimento judicial da validade da cláusula remuneratória impugnada nestes autos.</w:t>
      </w:r>
    </w:p>
    <w:p w14:paraId="58BEA905" w14:textId="77777777" w:rsidR="00DF597F" w:rsidRDefault="008F60D8">
      <w:pPr>
        <w:pStyle w:val="Default"/>
        <w:spacing w:after="120" w:line="360" w:lineRule="auto"/>
        <w:jc w:val="both"/>
      </w:pPr>
      <w:r>
        <w:t>130.</w:t>
      </w:r>
      <w:r>
        <w:tab/>
        <w:t xml:space="preserve">O terceiro fundamento atine aos limites do controle judicial. O Superior Tribunal de Justiça assentou que as decisões dos Tribunais de Contas, por se tratar de processo e decisão de natureza administrativa, apenas podem ser apreciadas pelo Poder Judiciário quanto a aspectos </w:t>
      </w:r>
      <w:r>
        <w:lastRenderedPageBreak/>
        <w:t>formais, sendo vedada a incursão no mérito administrativo, salvo eventual ilegalidade manifesta</w:t>
      </w:r>
      <w:r>
        <w:rPr>
          <w:rStyle w:val="Refdenotaderodap"/>
        </w:rPr>
        <w:footnoteReference w:id="25"/>
      </w:r>
      <w:r>
        <w:t>.</w:t>
      </w:r>
    </w:p>
    <w:p w14:paraId="2567009B" w14:textId="77777777" w:rsidR="00DF597F" w:rsidRDefault="008F60D8">
      <w:pPr>
        <w:pStyle w:val="Default"/>
        <w:spacing w:after="120" w:line="360" w:lineRule="auto"/>
        <w:jc w:val="both"/>
      </w:pPr>
      <w:r>
        <w:t>131.</w:t>
      </w:r>
      <w:r>
        <w:tab/>
        <w:t>Reforça esse entendimento o próprio histórico do precedente invocado: as medidas cautelares adotadas por esta Corte no Processo nº 018170/2015-TC, inicialmente suspensas por decisão do Tribunal de Justiça estadual, foram restabelecidas pelo Supremo Tribunal Federal, ao fundamento de grave risco de lesão à ordem pública e econômica</w:t>
      </w:r>
      <w:r>
        <w:rPr>
          <w:rStyle w:val="Refdenotaderodap"/>
        </w:rPr>
        <w:footnoteReference w:id="26"/>
      </w:r>
      <w:r>
        <w:t>, tendo o Pleno do Tribunal de Justiça, em 10 de março de 2021, denegado à unanimidade os Mandados de Segurança nº 0804438-43.2019.8.20.0000, nº 0806274-51.2019.8.20.0000 e nº 0804498-16.2019.8.20.0000.</w:t>
      </w:r>
    </w:p>
    <w:p w14:paraId="7B8F0156" w14:textId="77777777" w:rsidR="00DF597F" w:rsidRDefault="008F60D8">
      <w:pPr>
        <w:pStyle w:val="Default"/>
        <w:spacing w:after="120" w:line="360" w:lineRule="auto"/>
        <w:jc w:val="both"/>
      </w:pPr>
      <w:r>
        <w:t>132.</w:t>
      </w:r>
      <w:r>
        <w:tab/>
        <w:t>Impõe-se, pois, a rejeição da alegação constante do capítulo XI, alínea "b", da peça recursal.</w:t>
      </w:r>
    </w:p>
    <w:p w14:paraId="383347F0" w14:textId="77777777" w:rsidR="00DF597F" w:rsidRDefault="008F60D8">
      <w:pPr>
        <w:pStyle w:val="Default"/>
        <w:shd w:val="clear" w:color="auto" w:fill="F2F2F2"/>
        <w:spacing w:after="120" w:line="360" w:lineRule="auto"/>
      </w:pPr>
      <w:r>
        <w:rPr>
          <w:b/>
          <w:bCs/>
        </w:rPr>
        <w:t xml:space="preserve">3.3.6 – Dos </w:t>
      </w:r>
      <w:proofErr w:type="spellStart"/>
      <w:r>
        <w:rPr>
          <w:b/>
          <w:bCs/>
          <w:i/>
          <w:iCs/>
        </w:rPr>
        <w:t>distinguishings</w:t>
      </w:r>
      <w:proofErr w:type="spellEnd"/>
      <w:r>
        <w:rPr>
          <w:b/>
          <w:bCs/>
        </w:rPr>
        <w:t xml:space="preserve"> suscitados</w:t>
      </w:r>
    </w:p>
    <w:p w14:paraId="225B9A3B" w14:textId="77777777" w:rsidR="00DF597F" w:rsidRDefault="008F60D8">
      <w:pPr>
        <w:pStyle w:val="Default"/>
        <w:spacing w:after="120" w:line="360" w:lineRule="auto"/>
        <w:jc w:val="both"/>
      </w:pPr>
      <w:r>
        <w:t>133.</w:t>
      </w:r>
      <w:r>
        <w:tab/>
        <w:t xml:space="preserve">Quanto ao Tema nº 309 do Supremo Tribunal Federal, assiste razão à recorrente ao afirmar que o </w:t>
      </w:r>
      <w:proofErr w:type="spellStart"/>
      <w:r>
        <w:rPr>
          <w:i/>
          <w:iCs/>
        </w:rPr>
        <w:t>leading</w:t>
      </w:r>
      <w:proofErr w:type="spellEnd"/>
      <w:r>
        <w:rPr>
          <w:i/>
          <w:iCs/>
        </w:rPr>
        <w:t xml:space="preserve"> case</w:t>
      </w:r>
      <w:r>
        <w:t xml:space="preserve"> não apreciou cláusula remuneratória </w:t>
      </w:r>
      <w:r>
        <w:rPr>
          <w:i/>
          <w:iCs/>
        </w:rPr>
        <w:t xml:space="preserve">ad </w:t>
      </w:r>
      <w:proofErr w:type="spellStart"/>
      <w:r>
        <w:rPr>
          <w:i/>
          <w:iCs/>
        </w:rPr>
        <w:t>exitum</w:t>
      </w:r>
      <w:proofErr w:type="spellEnd"/>
      <w:r>
        <w:t xml:space="preserve">, porquanto o ajuste ali examinado previa valor fixo. A premissa, contudo, não conduz à conclusão pretendida: o julgado guerreado não invocou o Tema nº 309 para vedar, em abstrato, a cláusula de êxito, mas para exigir o quinto requisito da contratação direta, atinente à compatibilidade do preço. </w:t>
      </w:r>
    </w:p>
    <w:p w14:paraId="2F388D52" w14:textId="77777777" w:rsidR="00DF597F" w:rsidRDefault="008F60D8">
      <w:pPr>
        <w:pStyle w:val="Default"/>
        <w:spacing w:after="120" w:line="360" w:lineRule="auto"/>
        <w:jc w:val="both"/>
      </w:pPr>
      <w:r>
        <w:t>134.</w:t>
      </w:r>
      <w:r>
        <w:tab/>
        <w:t>E esse requisito, na redação vinculante decorrente da republicação de 26 de fevereiro de 2025, impõe a observância do valor médio cobrado pelo escritório de advocacia contratado em situações similares anteriores, cotejo que não consta dos procedimentos de inexigibilidade examinados, conquanto os autos registrem atuação anterior da recorrente perante outras unidades municipais.</w:t>
      </w:r>
    </w:p>
    <w:p w14:paraId="27924BFF" w14:textId="77777777" w:rsidR="00DF597F" w:rsidRDefault="008F60D8">
      <w:pPr>
        <w:pStyle w:val="Default"/>
        <w:spacing w:after="120" w:line="360" w:lineRule="auto"/>
        <w:jc w:val="both"/>
      </w:pPr>
      <w:r>
        <w:t>135.</w:t>
      </w:r>
      <w:r>
        <w:tab/>
        <w:t xml:space="preserve">Quanto ao Acórdão nº 1.285/2018 – TCU – Plenário, igualmente correta a premissa de que o precedente versou sobre verbas do FUNDEF e do FUNDEB, constitucionalmente vinculadas. Sucede que o julgado guerreado </w:t>
      </w:r>
      <w:proofErr w:type="gramStart"/>
      <w:r>
        <w:t>apoiou-se</w:t>
      </w:r>
      <w:proofErr w:type="gramEnd"/>
      <w:r>
        <w:t xml:space="preserve"> em fundamento autônomo, qual seja, a ausência de preço certo, aplicável independentemente da natureza vinculada ou originária da receita.</w:t>
      </w:r>
    </w:p>
    <w:p w14:paraId="327A3ADF" w14:textId="77777777" w:rsidR="00DF597F" w:rsidRDefault="008F60D8">
      <w:pPr>
        <w:pStyle w:val="Default"/>
        <w:spacing w:after="120" w:line="360" w:lineRule="auto"/>
        <w:jc w:val="both"/>
      </w:pPr>
      <w:r>
        <w:lastRenderedPageBreak/>
        <w:t>136.</w:t>
      </w:r>
      <w:r>
        <w:tab/>
        <w:t>Quanto ao princípio da universalidade orçamentária, a alegação de que disciplinaria a lei orçamentária anual, e não contratos administrativos, é contraposta pela orientação firmada no Acórdão nº 118/2022-TC e, sobretudo, pelo Acórdão nº 398/2023-TC do Excelso Plenário, já referido, que vedou expressamente a previsão de contraprestação percentual sobre receitas auferidas pela entidade política.</w:t>
      </w:r>
    </w:p>
    <w:p w14:paraId="1631508F" w14:textId="77777777" w:rsidR="00DF597F" w:rsidRDefault="008F60D8">
      <w:pPr>
        <w:pStyle w:val="Default"/>
        <w:spacing w:after="120" w:line="360" w:lineRule="auto"/>
        <w:jc w:val="both"/>
      </w:pPr>
      <w:r>
        <w:t>137.</w:t>
      </w:r>
      <w:r>
        <w:tab/>
        <w:t>Quanto ao artigo 92, inciso V, da Lei Federal nº 14.133/2021, sustenta a recorrente que o dispositivo exigiria critérios objetivos, e não valor absoluto. Ocorre que os ajustes examinados não fornecem nem um nem outro: o percentual de 20% (vinte por cento) incide sobre base indeterminada, acrescido de bônus cumulativo de igual monta sobre valores retroativos, com supressão do próprio limitador mensal nessa hipótese, conforme cláusulas 4.2 e 4.3 dos Contratos nº 057/2023 e nº 136/2023.</w:t>
      </w:r>
    </w:p>
    <w:p w14:paraId="7CEC45BA" w14:textId="77777777" w:rsidR="00DF597F" w:rsidRDefault="008F60D8">
      <w:pPr>
        <w:pStyle w:val="Default"/>
        <w:spacing w:after="120" w:line="360" w:lineRule="auto"/>
        <w:jc w:val="both"/>
      </w:pPr>
      <w:r>
        <w:t>138.</w:t>
      </w:r>
      <w:r>
        <w:tab/>
        <w:t xml:space="preserve">Impõe-se, pois, a rejeição integral dos </w:t>
      </w:r>
      <w:proofErr w:type="spellStart"/>
      <w:r>
        <w:rPr>
          <w:i/>
          <w:iCs/>
        </w:rPr>
        <w:t>distinguishings</w:t>
      </w:r>
      <w:proofErr w:type="spellEnd"/>
      <w:r>
        <w:t xml:space="preserve"> suscitados.</w:t>
      </w:r>
    </w:p>
    <w:p w14:paraId="0F3BF13A" w14:textId="77777777" w:rsidR="00DF597F" w:rsidRDefault="00DF597F">
      <w:pPr>
        <w:pStyle w:val="Default"/>
        <w:spacing w:after="120"/>
      </w:pPr>
    </w:p>
    <w:tbl>
      <w:tblPr>
        <w:tblW w:w="9072" w:type="dxa"/>
        <w:tblInd w:w="108" w:type="dxa"/>
        <w:tblLayout w:type="fixed"/>
        <w:tblLook w:val="04A0" w:firstRow="1" w:lastRow="0" w:firstColumn="1" w:lastColumn="0" w:noHBand="0" w:noVBand="1"/>
      </w:tblPr>
      <w:tblGrid>
        <w:gridCol w:w="9072"/>
      </w:tblGrid>
      <w:tr w:rsidR="00DF597F" w14:paraId="240A218D" w14:textId="77777777">
        <w:tc>
          <w:tcPr>
            <w:tcW w:w="9072" w:type="dxa"/>
            <w:tcBorders>
              <w:top w:val="single" w:sz="4" w:space="0" w:color="BFBFBF"/>
              <w:bottom w:val="single" w:sz="4" w:space="0" w:color="BFBFBF"/>
            </w:tcBorders>
            <w:shd w:val="clear" w:color="auto" w:fill="D9D9D9"/>
            <w:vAlign w:val="center"/>
          </w:tcPr>
          <w:p w14:paraId="09A1ECE7" w14:textId="77777777" w:rsidR="00DF597F" w:rsidRDefault="008F60D8">
            <w:pPr>
              <w:keepNext/>
              <w:spacing w:after="120"/>
              <w:ind w:hanging="8"/>
              <w:rPr>
                <w:b/>
                <w:smallCaps/>
                <w:color w:val="000000"/>
                <w:sz w:val="26"/>
              </w:rPr>
            </w:pPr>
            <w:r>
              <w:rPr>
                <w:b/>
                <w:smallCaps/>
                <w:color w:val="000000"/>
                <w:sz w:val="26"/>
              </w:rPr>
              <w:t>4. Conclusão e Proposta de Encaminhamento</w:t>
            </w:r>
          </w:p>
        </w:tc>
      </w:tr>
    </w:tbl>
    <w:p w14:paraId="33B5EA93" w14:textId="77777777" w:rsidR="00DF597F" w:rsidRDefault="008F60D8">
      <w:pPr>
        <w:pStyle w:val="Default"/>
        <w:spacing w:after="120" w:line="360" w:lineRule="auto"/>
        <w:jc w:val="both"/>
      </w:pPr>
      <w:r>
        <w:t>139.</w:t>
      </w:r>
      <w:r>
        <w:tab/>
        <w:t>Ante todo o exposto, submetem-se os autos à consideração do Excelentíssimo Conselheiro Relator, propondo:</w:t>
      </w:r>
    </w:p>
    <w:p w14:paraId="64F4E6C3" w14:textId="77777777" w:rsidR="00DF597F" w:rsidRDefault="008F60D8">
      <w:pPr>
        <w:pStyle w:val="Default"/>
        <w:spacing w:after="120" w:line="360" w:lineRule="auto"/>
        <w:ind w:left="709"/>
        <w:jc w:val="both"/>
      </w:pPr>
      <w:r>
        <w:t xml:space="preserve">I – </w:t>
      </w:r>
      <w:proofErr w:type="gramStart"/>
      <w:r>
        <w:t>o</w:t>
      </w:r>
      <w:proofErr w:type="gramEnd"/>
      <w:r>
        <w:t xml:space="preserve"> </w:t>
      </w:r>
      <w:r>
        <w:rPr>
          <w:b/>
          <w:bCs/>
        </w:rPr>
        <w:t>CONHECIMENTO</w:t>
      </w:r>
      <w:r>
        <w:t xml:space="preserve"> do Pedido de Reconsideração interposto por Fernanda de Paula Sociedade Individual de Advocacia (CNPJ nº 48.581.488/0001-14) para, no mérito, dar-lhe </w:t>
      </w:r>
      <w:r>
        <w:rPr>
          <w:b/>
          <w:bCs/>
        </w:rPr>
        <w:t>PROVIMENTO PARCIAL</w:t>
      </w:r>
      <w:r>
        <w:t>, exclusivamente para determinar que a liquidação prevista no item II, alínea "d", do Acórdão nº 197/2026-TC observe:</w:t>
      </w:r>
    </w:p>
    <w:p w14:paraId="2245AD1E" w14:textId="77777777" w:rsidR="00DF597F" w:rsidRDefault="008F60D8">
      <w:pPr>
        <w:pStyle w:val="Default"/>
        <w:spacing w:after="120" w:line="360" w:lineRule="auto"/>
        <w:ind w:left="1134"/>
        <w:jc w:val="both"/>
      </w:pPr>
      <w:r>
        <w:t>a) a incidência progressiva por faixas prevista no artigo 85, §§ 3º e 5º, do Código de Processo Civil, aplicando-se o percentual mínimo do inciso correspondente e, no que exceder, o do inciso subsequente, sucessivamente, na forma firmada pela Primeira Seção do Superior Tribunal de Justiça nos Agravos Internos nos Embargos de Declaração nas Reclamações nº 41.149/PE e nº 40.910/PE, ambos julgados em 30/08/2022 e publicados em 05/09/2022, afastada a pretensão recursal de adoção dos percentuais máximos;</w:t>
      </w:r>
    </w:p>
    <w:p>
      <w:pPr>
        <w:pStyle w:val="Default"/>
        <w:spacing w:after="120" w:line="360" w:lineRule="auto"/>
        <w:ind w:left="1134"/>
        <w:jc w:val="both"/>
      </w:pPr>
      <w:r>
        <w:t xml:space="preserve">b) como referência para o dimensionamento das faixas legais, o salário-mínimo vigente no exercício correspondente a cada ciclo de atuação — o de 2024 para o ciclo 2023/2024, já expressamente adotado no Parecer nº 072/2025 (Evento 162), e o de 2025 para o ciclo 2024/2025 —, afastada a pretensão de adoção do salário-mínimo de 2025 para o ciclo 2023/2024, desacompanhada de fundamentação quanto ao critério de fixação do marco temporal;</w:t>
      </w:r>
    </w:p>
    <w:p>
      <w:pPr>
        <w:pStyle w:val="Default"/>
        <w:spacing w:after="120" w:line="360" w:lineRule="auto"/>
        <w:ind w:left="1134"/>
        <w:jc w:val="both"/>
      </w:pPr>
      <w:r>
        <w:t xml:space="preserve">c) que a apuração se faça ciclo a ciclo, vedada a compensação entre exercícios, de modo que, observados os parâmetros das alíneas anteriores e tomados por base os pagamentos apurados na Informação Instrutiva do Evento 231, os montantes a restituir aos cofres municipais não excedam R$ 807.039,24 (oitocentos e sete mil, trinta e nove reais e vinte e quatro centavos) quanto ao Município de Cruzeta/RN, R$ 636.592,62 (seiscentos e trinta e seis mil, quinhentos e noventa e dois reais e sessenta e dois centavos) quanto ao Município de Lagoa Nova/RN, e R$ 361.171,93 (trezentos e sessenta e um mil, cento e setenta e um reais e noventa e três centavos) quanto ao Município de Jucurutu/RN, perfazendo o total de R$ 1.804.803,79 (um milhão, oitocentos e quatro mil, oitocentos e três reais e setenta e nove centavos), sem prejuízo da apuração definitiva pela Coordenadoria de Controle de Decisões;</w:t>
      </w:r>
    </w:p>
    <w:p w14:paraId="21F750A9" w14:textId="77777777" w:rsidR="00DF597F" w:rsidRDefault="008F60D8">
      <w:pPr>
        <w:pStyle w:val="Default"/>
        <w:spacing w:after="120" w:line="360" w:lineRule="auto"/>
        <w:ind w:left="709"/>
        <w:jc w:val="both"/>
      </w:pPr>
      <w:r>
        <w:t xml:space="preserve">II – </w:t>
      </w:r>
      <w:proofErr w:type="gramStart"/>
      <w:r>
        <w:t>pela</w:t>
      </w:r>
      <w:proofErr w:type="gramEnd"/>
      <w:r>
        <w:t xml:space="preserve"> </w:t>
      </w:r>
      <w:r>
        <w:rPr>
          <w:b/>
          <w:bCs/>
        </w:rPr>
        <w:t>MANUTENÇÃO</w:t>
      </w:r>
      <w:r>
        <w:t>, no mais, de todos os termos do Acórdão nº 197/2026-TC, notadamente do juízo de irregularidade da matéria, da declaração de nulidade integral dos contratos, da obrigação de restituição do excedente, do afastamento da responsabilização pecuniária dos gestores, da medida cautelar e das determinações dirigidas aos Municípios de Cruzeta/RN, Jucurutu/RN e Lagoa Nova/RN;</w:t>
      </w:r>
    </w:p>
    <w:p w14:paraId="27DE2602" w14:textId="77777777" w:rsidR="00DF597F" w:rsidRDefault="008F60D8">
      <w:pPr>
        <w:pStyle w:val="Default"/>
        <w:spacing w:after="120" w:line="360" w:lineRule="auto"/>
        <w:ind w:left="709"/>
        <w:jc w:val="both"/>
      </w:pPr>
      <w:r>
        <w:t xml:space="preserve">III – pelo </w:t>
      </w:r>
      <w:r>
        <w:rPr>
          <w:b/>
          <w:bCs/>
        </w:rPr>
        <w:t>RETORNO</w:t>
      </w:r>
      <w:r>
        <w:t xml:space="preserve"> dos autos à Coordenadoria de Controle de Decisões – CCD, vinculada a esta Diretoria de Instrução Processual, para elaboração de nova liquidação, observados os parâmetros fixados no item II supra;</w:t>
      </w:r>
    </w:p>
    <w:p w14:paraId="1064E090" w14:textId="77777777" w:rsidR="00DF597F" w:rsidRDefault="008F60D8">
      <w:pPr>
        <w:pStyle w:val="Default"/>
        <w:spacing w:after="120" w:line="360" w:lineRule="auto"/>
        <w:ind w:left="709"/>
        <w:jc w:val="both"/>
      </w:pPr>
      <w:r>
        <w:t xml:space="preserve">IV – </w:t>
      </w:r>
      <w:proofErr w:type="gramStart"/>
      <w:r>
        <w:t>pela</w:t>
      </w:r>
      <w:proofErr w:type="gramEnd"/>
      <w:r>
        <w:t xml:space="preserve"> </w:t>
      </w:r>
      <w:r>
        <w:rPr>
          <w:b/>
          <w:bCs/>
        </w:rPr>
        <w:t>REMESSA</w:t>
      </w:r>
      <w:r>
        <w:t xml:space="preserve"> dos autos ao Ministério Público junto ao Tribunal de Contas, para manifestação regimental.</w:t>
      </w:r>
    </w:p>
    <w:p w14:paraId="0907B2E2" w14:textId="3AAD6E1F" w:rsidR="00DF597F" w:rsidRDefault="008F60D8">
      <w:pPr>
        <w:spacing w:after="120"/>
        <w:jc w:val="center"/>
      </w:pPr>
      <w:r>
        <w:t xml:space="preserve">Natal/RN, </w:t>
      </w:r>
      <w:r>
        <w:fldChar w:fldCharType="begin"/>
      </w:r>
      <w:r>
        <w:instrText xml:space="preserve"> DATE \@"d' de 'MMMM' de 'yyyy" </w:instrText>
      </w:r>
      <w:r>
        <w:fldChar w:fldCharType="separate"/>
      </w:r>
      <w:r w:rsidR="007838ED">
        <w:rPr>
          <w:noProof/>
        </w:rPr>
        <w:t>8 de setembro de 2026</w:t>
      </w:r>
      <w:r>
        <w:fldChar w:fldCharType="end"/>
      </w:r>
      <w:r>
        <w:t>.</w:t>
      </w:r>
    </w:p>
    <w:tbl>
      <w:tblPr>
        <w:tblW w:w="8613" w:type="dxa"/>
        <w:jc w:val="center"/>
        <w:tblLayout w:type="fixed"/>
        <w:tblCellMar>
          <w:left w:w="70" w:type="dxa"/>
          <w:right w:w="70" w:type="dxa"/>
        </w:tblCellMar>
        <w:tblLook w:val="04A0" w:firstRow="1" w:lastRow="0" w:firstColumn="1" w:lastColumn="0" w:noHBand="0" w:noVBand="1"/>
      </w:tblPr>
      <w:tblGrid>
        <w:gridCol w:w="4025"/>
        <w:gridCol w:w="174"/>
        <w:gridCol w:w="4414"/>
      </w:tblGrid>
      <w:tr w:rsidR="00DF597F" w14:paraId="11D7A1D6" w14:textId="77777777">
        <w:trPr>
          <w:trHeight w:val="315"/>
          <w:jc w:val="center"/>
        </w:trPr>
        <w:tc>
          <w:tcPr>
            <w:tcW w:w="4025" w:type="dxa"/>
            <w:vAlign w:val="center"/>
          </w:tcPr>
          <w:p w14:paraId="07662EEB" w14:textId="77777777" w:rsidR="00DF597F" w:rsidRDefault="00DF597F">
            <w:pPr>
              <w:snapToGrid w:val="0"/>
              <w:spacing w:after="120" w:line="220" w:lineRule="auto"/>
              <w:jc w:val="center"/>
              <w:rPr>
                <w:iCs/>
                <w:color w:val="000000"/>
                <w:lang w:eastAsia="en-US"/>
              </w:rPr>
            </w:pPr>
          </w:p>
          <w:p w14:paraId="7622A44A" w14:textId="77777777" w:rsidR="00DF597F" w:rsidRDefault="008F60D8">
            <w:pPr>
              <w:spacing w:after="120" w:line="220" w:lineRule="auto"/>
              <w:jc w:val="center"/>
              <w:rPr>
                <w:color w:val="000000"/>
              </w:rPr>
            </w:pPr>
            <w:r>
              <w:rPr>
                <w:iCs/>
                <w:color w:val="000000"/>
                <w:lang w:eastAsia="en-US"/>
              </w:rPr>
              <w:t>[</w:t>
            </w:r>
            <w:r>
              <w:rPr>
                <w:i/>
                <w:iCs/>
                <w:color w:val="000000"/>
                <w:lang w:eastAsia="en-US"/>
              </w:rPr>
              <w:t>assinado digitalmente</w:t>
            </w:r>
            <w:r>
              <w:rPr>
                <w:color w:val="000000"/>
                <w:lang w:eastAsia="en-US"/>
              </w:rPr>
              <w:t>]</w:t>
            </w:r>
          </w:p>
        </w:tc>
        <w:tc>
          <w:tcPr>
            <w:tcW w:w="174" w:type="dxa"/>
            <w:vAlign w:val="bottom"/>
          </w:tcPr>
          <w:p w14:paraId="2A05B08E" w14:textId="77777777" w:rsidR="00DF597F" w:rsidRDefault="00DF597F">
            <w:pPr>
              <w:snapToGrid w:val="0"/>
              <w:spacing w:after="120" w:line="220" w:lineRule="auto"/>
              <w:jc w:val="center"/>
              <w:rPr>
                <w:color w:val="000000"/>
              </w:rPr>
            </w:pPr>
          </w:p>
        </w:tc>
        <w:tc>
          <w:tcPr>
            <w:tcW w:w="4414" w:type="dxa"/>
            <w:vAlign w:val="center"/>
          </w:tcPr>
          <w:p w14:paraId="37531339" w14:textId="77777777" w:rsidR="00DF597F" w:rsidRDefault="00DF597F">
            <w:pPr>
              <w:snapToGrid w:val="0"/>
              <w:spacing w:after="120" w:line="220" w:lineRule="auto"/>
              <w:jc w:val="center"/>
              <w:rPr>
                <w:iCs/>
                <w:color w:val="000000"/>
                <w:lang w:eastAsia="en-US"/>
              </w:rPr>
            </w:pPr>
          </w:p>
          <w:p w14:paraId="0915512B" w14:textId="77777777" w:rsidR="00DF597F" w:rsidRDefault="008F60D8">
            <w:pPr>
              <w:spacing w:after="120" w:line="220" w:lineRule="auto"/>
              <w:jc w:val="center"/>
              <w:rPr>
                <w:color w:val="000000"/>
              </w:rPr>
            </w:pPr>
            <w:r>
              <w:rPr>
                <w:iCs/>
                <w:color w:val="000000"/>
                <w:lang w:eastAsia="en-US"/>
              </w:rPr>
              <w:t>[</w:t>
            </w:r>
            <w:r>
              <w:rPr>
                <w:i/>
                <w:iCs/>
                <w:color w:val="000000"/>
                <w:lang w:eastAsia="en-US"/>
              </w:rPr>
              <w:t>assinado digitalmente</w:t>
            </w:r>
            <w:r>
              <w:rPr>
                <w:color w:val="000000"/>
                <w:lang w:eastAsia="en-US"/>
              </w:rPr>
              <w:t>]</w:t>
            </w:r>
          </w:p>
        </w:tc>
      </w:tr>
      <w:tr w:rsidR="00DF597F" w14:paraId="04AB4F9A" w14:textId="77777777">
        <w:trPr>
          <w:trHeight w:val="315"/>
          <w:jc w:val="center"/>
        </w:trPr>
        <w:tc>
          <w:tcPr>
            <w:tcW w:w="4025" w:type="dxa"/>
            <w:vAlign w:val="center"/>
          </w:tcPr>
          <w:p w14:paraId="18683F99" w14:textId="77777777" w:rsidR="00DF597F" w:rsidRDefault="008F60D8">
            <w:pPr>
              <w:spacing w:after="120" w:line="220" w:lineRule="auto"/>
              <w:jc w:val="center"/>
              <w:rPr>
                <w:b/>
                <w:bCs/>
                <w:color w:val="000000"/>
              </w:rPr>
            </w:pPr>
            <w:r>
              <w:rPr>
                <w:b/>
                <w:bCs/>
                <w:color w:val="000000"/>
                <w:lang w:eastAsia="en-US"/>
              </w:rPr>
              <w:t>José Anderson Souza de Salles</w:t>
            </w:r>
          </w:p>
        </w:tc>
        <w:tc>
          <w:tcPr>
            <w:tcW w:w="174" w:type="dxa"/>
            <w:vAlign w:val="bottom"/>
          </w:tcPr>
          <w:p w14:paraId="725C948A" w14:textId="77777777" w:rsidR="00DF597F" w:rsidRDefault="00DF597F">
            <w:pPr>
              <w:snapToGrid w:val="0"/>
              <w:spacing w:after="120" w:line="220" w:lineRule="auto"/>
              <w:jc w:val="center"/>
              <w:rPr>
                <w:b/>
                <w:bCs/>
                <w:color w:val="000000"/>
              </w:rPr>
            </w:pPr>
          </w:p>
        </w:tc>
        <w:tc>
          <w:tcPr>
            <w:tcW w:w="4414" w:type="dxa"/>
            <w:vAlign w:val="center"/>
          </w:tcPr>
          <w:p w14:paraId="64BB68AB" w14:textId="77777777" w:rsidR="00DF597F" w:rsidRDefault="008F60D8">
            <w:pPr>
              <w:spacing w:after="120" w:line="220" w:lineRule="auto"/>
              <w:jc w:val="center"/>
              <w:rPr>
                <w:b/>
                <w:bCs/>
                <w:color w:val="000000"/>
              </w:rPr>
            </w:pPr>
            <w:r>
              <w:rPr>
                <w:b/>
                <w:bCs/>
                <w:color w:val="000000"/>
              </w:rPr>
              <w:t>Rodrigo Alves da Silva Rodrigues Gentil</w:t>
            </w:r>
          </w:p>
        </w:tc>
      </w:tr>
      <w:tr w:rsidR="00DF597F" w14:paraId="57C83FB1" w14:textId="77777777">
        <w:trPr>
          <w:trHeight w:val="315"/>
          <w:jc w:val="center"/>
        </w:trPr>
        <w:tc>
          <w:tcPr>
            <w:tcW w:w="4025" w:type="dxa"/>
            <w:vAlign w:val="center"/>
          </w:tcPr>
          <w:p w14:paraId="3B197481" w14:textId="77777777" w:rsidR="00DF597F" w:rsidRDefault="008F60D8">
            <w:pPr>
              <w:spacing w:after="120" w:line="220" w:lineRule="auto"/>
              <w:jc w:val="center"/>
              <w:rPr>
                <w:color w:val="000000"/>
              </w:rPr>
            </w:pPr>
            <w:r>
              <w:rPr>
                <w:color w:val="000000"/>
                <w:lang w:eastAsia="en-US"/>
              </w:rPr>
              <w:t>Auditor de Controle Externo</w:t>
            </w:r>
          </w:p>
        </w:tc>
        <w:tc>
          <w:tcPr>
            <w:tcW w:w="174" w:type="dxa"/>
            <w:vAlign w:val="bottom"/>
          </w:tcPr>
          <w:p w14:paraId="5A973D1F" w14:textId="77777777" w:rsidR="00DF597F" w:rsidRDefault="00DF597F">
            <w:pPr>
              <w:snapToGrid w:val="0"/>
              <w:spacing w:after="120" w:line="220" w:lineRule="auto"/>
              <w:jc w:val="center"/>
              <w:rPr>
                <w:color w:val="000000"/>
              </w:rPr>
            </w:pPr>
          </w:p>
        </w:tc>
        <w:tc>
          <w:tcPr>
            <w:tcW w:w="4414" w:type="dxa"/>
            <w:vAlign w:val="center"/>
          </w:tcPr>
          <w:p w14:paraId="7710BA4E" w14:textId="77777777" w:rsidR="00DF597F" w:rsidRDefault="008F60D8">
            <w:pPr>
              <w:spacing w:after="120" w:line="220" w:lineRule="auto"/>
              <w:jc w:val="center"/>
              <w:rPr>
                <w:color w:val="000000"/>
              </w:rPr>
            </w:pPr>
            <w:r>
              <w:rPr>
                <w:color w:val="000000"/>
                <w:lang w:eastAsia="en-US"/>
              </w:rPr>
              <w:t>Auditor de Controle Externo</w:t>
            </w:r>
          </w:p>
        </w:tc>
      </w:tr>
    </w:tbl>
    <w:p w14:paraId="38403ECB" w14:textId="77777777" w:rsidR="00DF597F" w:rsidRDefault="00DF597F">
      <w:pPr>
        <w:spacing w:after="120"/>
      </w:pPr>
    </w:p>
    <w:sectPr w:rsidR="00DF597F">
      <w:headerReference w:type="default" r:id="rId8"/>
      <w:footerReference w:type="default" r:id="rId9"/>
      <w:headerReference w:type="first" r:id="rId10"/>
      <w:footerReference w:type="first" r:id="rId11"/>
      <w:pgSz w:w="11906" w:h="16838"/>
      <w:pgMar w:top="1560" w:right="1418" w:bottom="1276" w:left="1418" w:header="561" w:footer="41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74059" w14:textId="77777777" w:rsidR="008C6B5B" w:rsidRDefault="008C6B5B">
      <w:r>
        <w:separator/>
      </w:r>
    </w:p>
  </w:endnote>
  <w:endnote w:type="continuationSeparator" w:id="0">
    <w:p w14:paraId="2649F65E" w14:textId="77777777" w:rsidR="008C6B5B" w:rsidRDefault="008C6B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charset w:val="00"/>
    <w:family w:val="roman"/>
    <w:pitch w:val="default"/>
  </w:font>
  <w:font w:name="Free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Roboto-Bold;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Times-Roman;Times New Roman">
    <w:panose1 w:val="00000000000000000000"/>
    <w:charset w:val="00"/>
    <w:family w:val="roman"/>
    <w:notTrueType/>
    <w:pitch w:val="default"/>
  </w:font>
  <w:font w:name="CIDFont+F3;Times New Roman">
    <w:panose1 w:val="00000000000000000000"/>
    <w:charset w:val="00"/>
    <w:family w:val="roman"/>
    <w:notTrueType/>
    <w:pitch w:val="default"/>
  </w:font>
  <w:font w:name="Liberation Sans">
    <w:altName w:val="Arial"/>
    <w:charset w:val="01"/>
    <w:family w:val="swiss"/>
    <w:pitch w:val="variable"/>
  </w:font>
  <w:font w:name="Noto Sans CJK SC">
    <w:charset w:val="00"/>
    <w:family w:val="roman"/>
    <w:pitch w:val="default"/>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7DF86" w14:textId="77777777" w:rsidR="00DF597F" w:rsidRDefault="008F60D8">
    <w:pPr>
      <w:pStyle w:val="Rodap"/>
      <w:jc w:val="center"/>
      <w:rPr>
        <w:color w:val="808080"/>
        <w:sz w:val="28"/>
        <w:szCs w:val="16"/>
        <w:lang w:eastAsia="en-US"/>
      </w:rPr>
    </w:pPr>
    <w:r>
      <w:rPr>
        <w:noProof/>
      </w:rPr>
      <mc:AlternateContent>
        <mc:Choice Requires="wps">
          <w:drawing>
            <wp:anchor distT="0" distB="0" distL="114935" distR="114935" simplePos="0" relativeHeight="251659264" behindDoc="1" locked="0" layoutInCell="0" allowOverlap="1" wp14:anchorId="61979E7A" wp14:editId="72022FC8">
              <wp:simplePos x="0" y="0"/>
              <wp:positionH relativeFrom="page">
                <wp:posOffset>3557905</wp:posOffset>
              </wp:positionH>
              <wp:positionV relativeFrom="page">
                <wp:posOffset>9932035</wp:posOffset>
              </wp:positionV>
              <wp:extent cx="401320" cy="948055"/>
              <wp:effectExtent l="0" t="0" r="0" b="0"/>
              <wp:wrapNone/>
              <wp:docPr id="19245767"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5400000">
                        <a:off x="0" y="0"/>
                        <a:ext cx="401320" cy="948055"/>
                      </a:xfrm>
                      <a:prstGeom prst="rect">
                        <a:avLst/>
                      </a:prstGeom>
                      <a:noFill/>
                      <a:ln w="0">
                        <a:noFill/>
                      </a:ln>
                    </wps:spPr>
                    <wps:txbx>
                      <w:txbxContent>
                        <w:p w14:paraId="6602ADC2" w14:textId="77777777" w:rsidR="00DF597F" w:rsidRDefault="008F60D8">
                          <w:pPr>
                            <w:overflowPunct w:val="0"/>
                          </w:pPr>
                          <w:r>
                            <w:rPr>
                              <w:b/>
                              <w:color w:val="595959"/>
                              <w:kern w:val="2"/>
                              <w:sz w:val="22"/>
                              <w:szCs w:val="22"/>
                              <w:lang w:val="en-US"/>
                            </w:rPr>
                            <w:t>Página | 3</w:t>
                          </w:r>
                        </w:p>
                      </w:txbxContent>
                    </wps:txbx>
                    <wps:bodyPr wrap="square" anchor="ctr">
                      <a:noAutofit/>
                    </wps:bodyPr>
                  </wps:wsp>
                </a:graphicData>
              </a:graphic>
              <wp14:sizeRelH relativeFrom="page">
                <wp14:pctWidth>0</wp14:pctWidth>
              </wp14:sizeRelH>
              <wp14:sizeRelV relativeFrom="page">
                <wp14:pctHeight>0</wp14:pctHeight>
              </wp14:sizeRelV>
            </wp:anchor>
          </w:drawing>
        </mc:Choice>
        <mc:Fallback>
          <w:pict>
            <v:shapetype w14:anchorId="61979E7A" id="_x0000_t202" coordsize="21600,21600" o:spt="202" path="m,l,21600r21600,l21600,xe">
              <v:stroke joinstyle="miter"/>
              <v:path gradientshapeok="t" o:connecttype="rect"/>
            </v:shapetype>
            <v:shape id="Caixa de Texto 1" o:spid="_x0000_s1026" type="#_x0000_t202" style="position:absolute;left:0;text-align:left;margin-left:280.15pt;margin-top:782.05pt;width:31.6pt;height:74.65pt;rotation:90;z-index:-251657216;visibility:visible;mso-wrap-style:square;mso-width-percent:0;mso-height-percent:0;mso-wrap-distance-left:9.05pt;mso-wrap-distance-top:0;mso-wrap-distance-right:9.05pt;mso-wrap-distance-bottom:0;mso-position-horizontal:absolute;mso-position-horizontal-relative:page;mso-position-vertical:absolute;mso-position-vertical-relative:page;mso-width-percent:0;mso-height-percent:0;mso-width-relative:page;mso-height-relative:page;v-text-anchor:midd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" o:allowincell="f" filled="f" stroked="f" strokeweight="0">
              <v:textbox>
                <w:txbxContent>
                  <w:p w14:paraId="6602ADC2" w14:textId="77777777" w:rsidR="00DF597F" w:rsidRDefault="008F60D8">
                    <w:pPr>
                      <w:overflowPunct w:val="0"/>
                    </w:pPr>
                    <w:r>
                      <w:rPr>
                        <w:b/>
                        <w:color w:val="595959"/>
                        <w:kern w:val="2"/>
                        <w:sz w:val="22"/>
                        <w:szCs w:val="22"/>
                        <w:lang w:val="en-US"/>
                      </w:rPr>
                      <w:t>Página | 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31C16" w14:textId="77777777" w:rsidR="00DF597F" w:rsidRDefault="008F60D8">
    <w:pPr>
      <w:pStyle w:val="Rodap"/>
      <w:rPr>
        <w:lang w:eastAsia="en-US"/>
      </w:rPr>
    </w:pPr>
    <w:r>
      <w:rPr>
        <w:noProof/>
      </w:rPr>
      <w:drawing>
        <wp:anchor distT="0" distB="0" distL="114935" distR="114935" simplePos="0" relativeHeight="251656192" behindDoc="1" locked="0" layoutInCell="1" allowOverlap="1" wp14:anchorId="6F84BF6D" wp14:editId="0A463CA5">
          <wp:simplePos x="0" y="0"/>
          <wp:positionH relativeFrom="column">
            <wp:posOffset>-907415</wp:posOffset>
          </wp:positionH>
          <wp:positionV relativeFrom="paragraph">
            <wp:posOffset>-1022350</wp:posOffset>
          </wp:positionV>
          <wp:extent cx="7616825" cy="1463675"/>
          <wp:effectExtent l="0" t="0" r="0" b="0"/>
          <wp:wrapNone/>
          <wp:docPr id="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a:picLocks/>
                  </pic:cNvPicPr>
                </pic:nvPicPr>
                <pic:blipFill>
                  <a:blip r:embed="rId1">
                    <a:extLst>
                      <a:ext uri="{28A0092B-C50C-407E-A947-70E740481C1C}">
                        <a14:useLocalDpi xmlns:a14="http://schemas.microsoft.com/office/drawing/2010/main" val="0"/>
                      </a:ext>
                    </a:extLst>
                  </a:blip>
                  <a:srcRect l="-5" t="89909" r="25809" b="-3"/>
                  <a:stretch>
                    <a:fillRect/>
                  </a:stretch>
                </pic:blipFill>
                <pic:spPr bwMode="auto">
                  <a:xfrm>
                    <a:off x="0" y="0"/>
                    <a:ext cx="4112895" cy="78994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50968" w14:textId="77777777" w:rsidR="008C6B5B" w:rsidRDefault="008C6B5B">
      <w:pPr>
        <w:rPr>
          <w:sz w:val="12"/>
        </w:rPr>
      </w:pPr>
      <w:r>
        <w:separator/>
      </w:r>
    </w:p>
  </w:footnote>
  <w:footnote w:type="continuationSeparator" w:id="0">
    <w:p w14:paraId="4EC65A3F" w14:textId="77777777" w:rsidR="008C6B5B" w:rsidRDefault="008C6B5B">
      <w:pPr>
        <w:rPr>
          <w:sz w:val="12"/>
        </w:rPr>
      </w:pPr>
      <w:r>
        <w:continuationSeparator/>
      </w:r>
    </w:p>
  </w:footnote>
  <w:footnote w:id="1">
    <w:p w14:paraId="43912B8E" w14:textId="77777777" w:rsidR="00DF597F" w:rsidRDefault="008F60D8">
      <w:pPr>
        <w:pStyle w:val="Textodenotaderodap"/>
        <w:jc w:val="both"/>
      </w:pPr>
      <w:r>
        <w:rPr>
          <w:rStyle w:val="FootnoteCharacters"/>
        </w:rPr>
        <w:footnoteRef/>
      </w:r>
      <w:r>
        <w:t xml:space="preserve"> </w:t>
      </w:r>
      <w:r>
        <w:rPr>
          <w:lang w:val="pt-BR"/>
        </w:rPr>
        <w:t xml:space="preserve">STF. Arguição de Descumprimento de Preceito Fundamental nº 1.178/DF – Medida Cautelar. Relator: Ministro Flávio Dino. Tribunal Pleno. Julgado em 06/11/2024. </w:t>
      </w:r>
      <w:proofErr w:type="spellStart"/>
      <w:r>
        <w:rPr>
          <w:lang w:val="pt-BR"/>
        </w:rPr>
        <w:t>DJe</w:t>
      </w:r>
      <w:proofErr w:type="spellEnd"/>
      <w:r>
        <w:rPr>
          <w:lang w:val="pt-BR"/>
        </w:rPr>
        <w:t xml:space="preserve"> divulgado em 09/12/2024 e publicado em 10/12/2024.</w:t>
      </w:r>
    </w:p>
  </w:footnote>
  <w:footnote w:id="2">
    <w:p w14:paraId="3340C778" w14:textId="77777777" w:rsidR="00DF597F" w:rsidRDefault="008F60D8">
      <w:pPr>
        <w:pStyle w:val="Textodenotaderodap"/>
        <w:jc w:val="both"/>
      </w:pPr>
      <w:r>
        <w:rPr>
          <w:rStyle w:val="FootnoteCharacters"/>
        </w:rPr>
        <w:footnoteRef/>
      </w:r>
      <w:r>
        <w:t xml:space="preserve"> </w:t>
      </w:r>
      <w:r>
        <w:rPr>
          <w:lang w:val="pt-BR"/>
        </w:rPr>
        <w:t>TCU. Processo TC nº 033.637/2020-2. Acórdão nº 391/2024 – Plenário. Relator: Ministro Benjamin Zymler. Sessão Ordinária de 06/03/2024.</w:t>
      </w:r>
    </w:p>
  </w:footnote>
  <w:footnote w:id="3">
    <w:p w14:paraId="57311B1D" w14:textId="77777777" w:rsidR="00DF597F" w:rsidRDefault="008F60D8">
      <w:pPr>
        <w:pStyle w:val="Textodenotaderodap"/>
        <w:jc w:val="both"/>
      </w:pPr>
      <w:r>
        <w:rPr>
          <w:rStyle w:val="FootnoteCharacters"/>
        </w:rPr>
        <w:footnoteRef/>
      </w:r>
      <w:r>
        <w:t xml:space="preserve"> </w:t>
      </w:r>
      <w:r>
        <w:rPr>
          <w:lang w:val="pt-BR"/>
        </w:rPr>
        <w:t xml:space="preserve">COASE, Ronald H. The </w:t>
      </w:r>
      <w:proofErr w:type="spellStart"/>
      <w:r>
        <w:rPr>
          <w:lang w:val="pt-BR"/>
        </w:rPr>
        <w:t>problem</w:t>
      </w:r>
      <w:proofErr w:type="spellEnd"/>
      <w:r>
        <w:rPr>
          <w:lang w:val="pt-BR"/>
        </w:rPr>
        <w:t xml:space="preserve"> </w:t>
      </w:r>
      <w:proofErr w:type="spellStart"/>
      <w:r>
        <w:rPr>
          <w:lang w:val="pt-BR"/>
        </w:rPr>
        <w:t>of</w:t>
      </w:r>
      <w:proofErr w:type="spellEnd"/>
      <w:r>
        <w:rPr>
          <w:lang w:val="pt-BR"/>
        </w:rPr>
        <w:t xml:space="preserve"> social cost. </w:t>
      </w:r>
      <w:proofErr w:type="spellStart"/>
      <w:r>
        <w:rPr>
          <w:lang w:val="pt-BR"/>
        </w:rPr>
        <w:t>Journal</w:t>
      </w:r>
      <w:proofErr w:type="spellEnd"/>
      <w:r>
        <w:rPr>
          <w:lang w:val="pt-BR"/>
        </w:rPr>
        <w:t xml:space="preserve"> </w:t>
      </w:r>
      <w:proofErr w:type="spellStart"/>
      <w:r>
        <w:rPr>
          <w:lang w:val="pt-BR"/>
        </w:rPr>
        <w:t>of</w:t>
      </w:r>
      <w:proofErr w:type="spellEnd"/>
      <w:r>
        <w:rPr>
          <w:lang w:val="pt-BR"/>
        </w:rPr>
        <w:t xml:space="preserve"> Law </w:t>
      </w:r>
      <w:proofErr w:type="spellStart"/>
      <w:r>
        <w:rPr>
          <w:lang w:val="pt-BR"/>
        </w:rPr>
        <w:t>and</w:t>
      </w:r>
      <w:proofErr w:type="spellEnd"/>
      <w:r>
        <w:rPr>
          <w:lang w:val="pt-BR"/>
        </w:rPr>
        <w:t xml:space="preserve"> </w:t>
      </w:r>
      <w:proofErr w:type="spellStart"/>
      <w:r>
        <w:rPr>
          <w:lang w:val="pt-BR"/>
        </w:rPr>
        <w:t>Economics</w:t>
      </w:r>
      <w:proofErr w:type="spellEnd"/>
      <w:r>
        <w:rPr>
          <w:lang w:val="pt-BR"/>
        </w:rPr>
        <w:t>, v. 3, p. 1-44, 1961.</w:t>
      </w:r>
    </w:p>
  </w:footnote>
  <w:footnote w:id="4">
    <w:p w14:paraId="11E9FD2E" w14:textId="77777777" w:rsidR="00DF597F" w:rsidRDefault="008F60D8">
      <w:pPr>
        <w:pStyle w:val="Textodenotaderodap"/>
        <w:jc w:val="both"/>
      </w:pPr>
      <w:r>
        <w:rPr>
          <w:rStyle w:val="FootnoteCharacters"/>
        </w:rPr>
        <w:footnoteRef/>
      </w:r>
      <w:r>
        <w:t xml:space="preserve"> </w:t>
      </w:r>
      <w:r>
        <w:rPr>
          <w:lang w:val="pt-BR"/>
        </w:rPr>
        <w:t xml:space="preserve">JENSEN, Michael C.; MECKLING, William H. </w:t>
      </w:r>
      <w:proofErr w:type="spellStart"/>
      <w:r>
        <w:rPr>
          <w:lang w:val="pt-BR"/>
        </w:rPr>
        <w:t>Theory</w:t>
      </w:r>
      <w:proofErr w:type="spellEnd"/>
      <w:r>
        <w:rPr>
          <w:lang w:val="pt-BR"/>
        </w:rPr>
        <w:t xml:space="preserve"> </w:t>
      </w:r>
      <w:proofErr w:type="spellStart"/>
      <w:r>
        <w:rPr>
          <w:lang w:val="pt-BR"/>
        </w:rPr>
        <w:t>of</w:t>
      </w:r>
      <w:proofErr w:type="spellEnd"/>
      <w:r>
        <w:rPr>
          <w:lang w:val="pt-BR"/>
        </w:rPr>
        <w:t xml:space="preserve"> </w:t>
      </w:r>
      <w:proofErr w:type="spellStart"/>
      <w:r>
        <w:rPr>
          <w:lang w:val="pt-BR"/>
        </w:rPr>
        <w:t>the</w:t>
      </w:r>
      <w:proofErr w:type="spellEnd"/>
      <w:r>
        <w:rPr>
          <w:lang w:val="pt-BR"/>
        </w:rPr>
        <w:t xml:space="preserve"> Firm: </w:t>
      </w:r>
      <w:proofErr w:type="spellStart"/>
      <w:r>
        <w:rPr>
          <w:lang w:val="pt-BR"/>
        </w:rPr>
        <w:t>Managerial</w:t>
      </w:r>
      <w:proofErr w:type="spellEnd"/>
      <w:r>
        <w:rPr>
          <w:lang w:val="pt-BR"/>
        </w:rPr>
        <w:t xml:space="preserve"> </w:t>
      </w:r>
      <w:proofErr w:type="spellStart"/>
      <w:r>
        <w:rPr>
          <w:lang w:val="pt-BR"/>
        </w:rPr>
        <w:t>Behavior</w:t>
      </w:r>
      <w:proofErr w:type="spellEnd"/>
      <w:r>
        <w:rPr>
          <w:lang w:val="pt-BR"/>
        </w:rPr>
        <w:t xml:space="preserve">, </w:t>
      </w:r>
      <w:proofErr w:type="spellStart"/>
      <w:r>
        <w:rPr>
          <w:lang w:val="pt-BR"/>
        </w:rPr>
        <w:t>Agency</w:t>
      </w:r>
      <w:proofErr w:type="spellEnd"/>
      <w:r>
        <w:rPr>
          <w:lang w:val="pt-BR"/>
        </w:rPr>
        <w:t xml:space="preserve"> </w:t>
      </w:r>
      <w:proofErr w:type="spellStart"/>
      <w:r>
        <w:rPr>
          <w:lang w:val="pt-BR"/>
        </w:rPr>
        <w:t>Costs</w:t>
      </w:r>
      <w:proofErr w:type="spellEnd"/>
      <w:r>
        <w:rPr>
          <w:lang w:val="pt-BR"/>
        </w:rPr>
        <w:t xml:space="preserve"> </w:t>
      </w:r>
      <w:proofErr w:type="spellStart"/>
      <w:r>
        <w:rPr>
          <w:lang w:val="pt-BR"/>
        </w:rPr>
        <w:t>and</w:t>
      </w:r>
      <w:proofErr w:type="spellEnd"/>
      <w:r>
        <w:rPr>
          <w:lang w:val="pt-BR"/>
        </w:rPr>
        <w:t xml:space="preserve"> </w:t>
      </w:r>
      <w:proofErr w:type="spellStart"/>
      <w:r>
        <w:rPr>
          <w:lang w:val="pt-BR"/>
        </w:rPr>
        <w:t>Ownership</w:t>
      </w:r>
      <w:proofErr w:type="spellEnd"/>
      <w:r>
        <w:rPr>
          <w:lang w:val="pt-BR"/>
        </w:rPr>
        <w:t xml:space="preserve"> </w:t>
      </w:r>
      <w:proofErr w:type="spellStart"/>
      <w:r>
        <w:rPr>
          <w:lang w:val="pt-BR"/>
        </w:rPr>
        <w:t>Structure</w:t>
      </w:r>
      <w:proofErr w:type="spellEnd"/>
      <w:r>
        <w:rPr>
          <w:lang w:val="pt-BR"/>
        </w:rPr>
        <w:t xml:space="preserve">. </w:t>
      </w:r>
      <w:proofErr w:type="spellStart"/>
      <w:r>
        <w:rPr>
          <w:lang w:val="pt-BR"/>
        </w:rPr>
        <w:t>Journal</w:t>
      </w:r>
      <w:proofErr w:type="spellEnd"/>
      <w:r>
        <w:rPr>
          <w:lang w:val="pt-BR"/>
        </w:rPr>
        <w:t xml:space="preserve"> </w:t>
      </w:r>
      <w:proofErr w:type="spellStart"/>
      <w:r>
        <w:rPr>
          <w:lang w:val="pt-BR"/>
        </w:rPr>
        <w:t>of</w:t>
      </w:r>
      <w:proofErr w:type="spellEnd"/>
      <w:r>
        <w:rPr>
          <w:lang w:val="pt-BR"/>
        </w:rPr>
        <w:t xml:space="preserve"> Financial </w:t>
      </w:r>
      <w:proofErr w:type="spellStart"/>
      <w:r>
        <w:rPr>
          <w:lang w:val="pt-BR"/>
        </w:rPr>
        <w:t>Economics</w:t>
      </w:r>
      <w:proofErr w:type="spellEnd"/>
      <w:r>
        <w:rPr>
          <w:lang w:val="pt-BR"/>
        </w:rPr>
        <w:t>, v. 3, n. 4, p. 305-360, 1976.</w:t>
      </w:r>
    </w:p>
  </w:footnote>
  <w:footnote w:id="5">
    <w:p w14:paraId="58A298CA" w14:textId="77777777" w:rsidR="00DF597F" w:rsidRDefault="008F60D8">
      <w:pPr>
        <w:pStyle w:val="Textodenotaderodap"/>
        <w:jc w:val="both"/>
      </w:pPr>
      <w:r>
        <w:rPr>
          <w:rStyle w:val="FootnoteCharacters"/>
        </w:rPr>
        <w:footnoteRef/>
      </w:r>
      <w:r>
        <w:t xml:space="preserve"> </w:t>
      </w:r>
      <w:r>
        <w:rPr>
          <w:lang w:val="pt-BR"/>
        </w:rPr>
        <w:t xml:space="preserve">BINENBOJM, Gustavo. Uma teoria do direito administrativo: direitos fundamentais, democracia e constitucionalização. 3. ed. rev. e atual. Rio de Janeiro: Renovar, 2014, p. 32-35 e 37-65, apud VORONOFF, Alice. Direito administrativo sancionador no Brasil. 2. </w:t>
      </w:r>
      <w:proofErr w:type="spellStart"/>
      <w:r>
        <w:rPr>
          <w:lang w:val="pt-BR"/>
        </w:rPr>
        <w:t>reimpr</w:t>
      </w:r>
      <w:proofErr w:type="spellEnd"/>
      <w:r>
        <w:rPr>
          <w:lang w:val="pt-BR"/>
        </w:rPr>
        <w:t>. Belo Horizonte: Fórum, 2019, p. 111.</w:t>
      </w:r>
    </w:p>
  </w:footnote>
  <w:footnote w:id="6">
    <w:p w14:paraId="70CC575E" w14:textId="77777777" w:rsidR="00DF597F" w:rsidRDefault="008F60D8">
      <w:pPr>
        <w:pStyle w:val="Textodenotaderodap"/>
        <w:jc w:val="both"/>
      </w:pPr>
      <w:r>
        <w:rPr>
          <w:rStyle w:val="FootnoteCharacters"/>
        </w:rPr>
        <w:footnoteRef/>
      </w:r>
      <w:r>
        <w:t xml:space="preserve"> </w:t>
      </w:r>
      <w:r>
        <w:rPr>
          <w:lang w:val="pt-BR"/>
        </w:rPr>
        <w:t xml:space="preserve">TCE/RN. Processo nº 018170/2015-TC. Acórdão nº 118/2022-TC. Relator: Conselheiro Substituto </w:t>
      </w:r>
      <w:proofErr w:type="spellStart"/>
      <w:r>
        <w:rPr>
          <w:lang w:val="pt-BR"/>
        </w:rPr>
        <w:t>Antonio</w:t>
      </w:r>
      <w:proofErr w:type="spellEnd"/>
      <w:r>
        <w:rPr>
          <w:lang w:val="pt-BR"/>
        </w:rPr>
        <w:t xml:space="preserve"> Ed Souza Santana. 2ª Câmara de Contas. 14ª Sessão Ordinária de 03/05/2022. Publicado em 17/05/2022.</w:t>
      </w:r>
    </w:p>
  </w:footnote>
  <w:footnote w:id="7">
    <w:p w14:paraId="3656F5EB" w14:textId="2ADB1F4F" w:rsidR="00A43F35" w:rsidRPr="00A43F35" w:rsidRDefault="00A43F35" w:rsidP="00A43F35">
      <w:pPr>
        <w:pStyle w:val="Textodenotaderodap"/>
        <w:jc w:val="both"/>
        <w:rPr>
          <w:lang w:val="pt-BR"/>
        </w:rPr>
      </w:pPr>
      <w:r>
        <w:rPr>
          <w:rStyle w:val="Refdenotaderodap"/>
        </w:rPr>
        <w:footnoteRef/>
      </w:r>
      <w:r>
        <w:t xml:space="preserve"> </w:t>
      </w:r>
      <w:r>
        <w:t xml:space="preserve">TCU. </w:t>
      </w:r>
      <w:proofErr w:type="spellStart"/>
      <w:r>
        <w:t>Processo</w:t>
      </w:r>
      <w:proofErr w:type="spellEnd"/>
      <w:r>
        <w:t xml:space="preserve"> TC </w:t>
      </w:r>
      <w:proofErr w:type="gramStart"/>
      <w:r>
        <w:t>nº</w:t>
      </w:r>
      <w:proofErr w:type="gramEnd"/>
      <w:r>
        <w:t xml:space="preserve"> 018.830/2021-8. </w:t>
      </w:r>
      <w:proofErr w:type="spellStart"/>
      <w:r>
        <w:t>Acórdão</w:t>
      </w:r>
      <w:proofErr w:type="spellEnd"/>
      <w:r>
        <w:t xml:space="preserve"> nº 447/2024 – </w:t>
      </w:r>
      <w:proofErr w:type="spellStart"/>
      <w:r>
        <w:t>Plenário</w:t>
      </w:r>
      <w:proofErr w:type="spellEnd"/>
      <w:r>
        <w:t>. Relator: Ministro-</w:t>
      </w:r>
      <w:proofErr w:type="spellStart"/>
      <w:r>
        <w:t>Substituto</w:t>
      </w:r>
      <w:proofErr w:type="spellEnd"/>
      <w:r>
        <w:t xml:space="preserve"> Augusto Sherman. </w:t>
      </w:r>
      <w:proofErr w:type="spellStart"/>
      <w:r>
        <w:t>Sessão</w:t>
      </w:r>
      <w:proofErr w:type="spellEnd"/>
      <w:r>
        <w:t xml:space="preserve"> </w:t>
      </w:r>
      <w:proofErr w:type="spellStart"/>
      <w:r>
        <w:t>Ordinária</w:t>
      </w:r>
      <w:proofErr w:type="spellEnd"/>
      <w:r>
        <w:t xml:space="preserve"> de 13/03/2024, </w:t>
      </w:r>
      <w:proofErr w:type="spellStart"/>
      <w:r>
        <w:t>na</w:t>
      </w:r>
      <w:proofErr w:type="spellEnd"/>
      <w:r>
        <w:t xml:space="preserve"> </w:t>
      </w:r>
      <w:proofErr w:type="spellStart"/>
      <w:r>
        <w:t>linha</w:t>
      </w:r>
      <w:proofErr w:type="spellEnd"/>
      <w:r>
        <w:t xml:space="preserve"> </w:t>
      </w:r>
      <w:proofErr w:type="spellStart"/>
      <w:r>
        <w:t>inaugurada</w:t>
      </w:r>
      <w:proofErr w:type="spellEnd"/>
      <w:r>
        <w:t xml:space="preserve"> </w:t>
      </w:r>
      <w:proofErr w:type="spellStart"/>
      <w:r>
        <w:t>pelo</w:t>
      </w:r>
      <w:proofErr w:type="spellEnd"/>
      <w:r>
        <w:t xml:space="preserve"> </w:t>
      </w:r>
      <w:proofErr w:type="spellStart"/>
      <w:r>
        <w:t>Acórdão</w:t>
      </w:r>
      <w:proofErr w:type="spellEnd"/>
      <w:r>
        <w:t xml:space="preserve"> nº 946/2013 – </w:t>
      </w:r>
      <w:proofErr w:type="spellStart"/>
      <w:r>
        <w:t>Plenário</w:t>
      </w:r>
      <w:proofErr w:type="spellEnd"/>
      <w:r>
        <w:t>, Relator Ministro Benjamin Zymler</w:t>
      </w:r>
      <w:r>
        <w:t>.</w:t>
      </w:r>
    </w:p>
  </w:footnote>
  <w:footnote w:id="8">
    <w:p w14:paraId="6A40B71E" w14:textId="77777777" w:rsidR="00DF597F" w:rsidRDefault="008F60D8" w:rsidP="00A43F35">
      <w:pPr>
        <w:pStyle w:val="Textodenotaderodap"/>
        <w:jc w:val="both"/>
      </w:pPr>
      <w:r>
        <w:rPr>
          <w:rStyle w:val="FootnoteCharacters"/>
        </w:rPr>
        <w:footnoteRef/>
      </w:r>
      <w:r>
        <w:t xml:space="preserve"> </w:t>
      </w:r>
      <w:r>
        <w:rPr>
          <w:lang w:val="pt-BR"/>
        </w:rPr>
        <w:t xml:space="preserve">STJ. Recurso Especial nº 488.842/SP. Relator: Ministro João Otávio de Noronha. Segunda Turma. Julgado em 17/04/2008. </w:t>
      </w:r>
      <w:proofErr w:type="spellStart"/>
      <w:r>
        <w:rPr>
          <w:lang w:val="pt-BR"/>
        </w:rPr>
        <w:t>DJe</w:t>
      </w:r>
      <w:proofErr w:type="spellEnd"/>
      <w:r>
        <w:rPr>
          <w:lang w:val="pt-BR"/>
        </w:rPr>
        <w:t xml:space="preserve"> de 05/12/2008.</w:t>
      </w:r>
    </w:p>
  </w:footnote>
  <w:footnote w:id="9">
    <w:p w14:paraId="4FBDF169" w14:textId="77777777" w:rsidR="00DF597F" w:rsidRDefault="008F60D8">
      <w:pPr>
        <w:pStyle w:val="Textodenotaderodap"/>
        <w:jc w:val="both"/>
      </w:pPr>
      <w:r>
        <w:rPr>
          <w:rStyle w:val="FootnoteCharacters"/>
        </w:rPr>
        <w:footnoteRef/>
      </w:r>
      <w:r>
        <w:rPr>
          <w:lang w:val="pt-BR"/>
        </w:rPr>
        <w:t xml:space="preserve"> TCE/RN. Processo nº 000774/2022-TC. Acórdão nº 291/2022-TC. Relator: Conselheiro </w:t>
      </w:r>
      <w:proofErr w:type="spellStart"/>
      <w:r>
        <w:rPr>
          <w:lang w:val="pt-BR"/>
        </w:rPr>
        <w:t>Antonio</w:t>
      </w:r>
      <w:proofErr w:type="spellEnd"/>
      <w:r>
        <w:rPr>
          <w:lang w:val="pt-BR"/>
        </w:rPr>
        <w:t xml:space="preserve"> Gilberto de Oliveira Jales. 2ª Câmara de Contas. Sessão de 06/09/2022. Publicado em 20/09/2022; no mesmo sentido, Processo nº 300467/2020-TC. Acórdão nº 89/2021-TC. Mesmo Relator e órgão. Sessão de 16/03/2021. Publicado em 24/03/2021.</w:t>
      </w:r>
    </w:p>
  </w:footnote>
  <w:footnote w:id="10">
    <w:p w14:paraId="44E3181E" w14:textId="77777777" w:rsidR="00DF597F" w:rsidRDefault="008F60D8">
      <w:pPr>
        <w:pStyle w:val="Textodenotaderodap"/>
        <w:jc w:val="both"/>
      </w:pPr>
      <w:r>
        <w:rPr>
          <w:rStyle w:val="FootnoteCharacters"/>
        </w:rPr>
        <w:footnoteRef/>
      </w:r>
      <w:r>
        <w:t xml:space="preserve"> </w:t>
      </w:r>
      <w:r>
        <w:rPr>
          <w:lang w:val="pt-BR"/>
        </w:rPr>
        <w:t xml:space="preserve">STJ. Recurso Especial nº 1.749.626/SP. Relator: Ministro Herman Benjamin. Segunda Turma. Julgado em 12/02/2019. </w:t>
      </w:r>
      <w:proofErr w:type="spellStart"/>
      <w:r>
        <w:rPr>
          <w:lang w:val="pt-BR"/>
        </w:rPr>
        <w:t>DJe</w:t>
      </w:r>
      <w:proofErr w:type="spellEnd"/>
      <w:r>
        <w:rPr>
          <w:lang w:val="pt-BR"/>
        </w:rPr>
        <w:t xml:space="preserve"> de 11/03/2019.</w:t>
      </w:r>
    </w:p>
  </w:footnote>
  <w:footnote w:id="11">
    <w:p w14:paraId="572121F8" w14:textId="77777777" w:rsidR="00DF597F" w:rsidRDefault="008F60D8">
      <w:pPr>
        <w:pStyle w:val="Textodenotaderodap"/>
        <w:jc w:val="both"/>
      </w:pPr>
      <w:r>
        <w:rPr>
          <w:rStyle w:val="FootnoteCharacters"/>
        </w:rPr>
        <w:footnoteRef/>
      </w:r>
      <w:r>
        <w:t xml:space="preserve"> </w:t>
      </w:r>
      <w:r>
        <w:rPr>
          <w:lang w:val="pt-BR"/>
        </w:rPr>
        <w:t xml:space="preserve">STJ. Agravo Interno nos Embargos de Declaração no Recurso Especial nº 1.895.508/SP. Relatora: Ministra Regina Helena Costa. Primeira Turma. Julgado em 22/03/2021. </w:t>
      </w:r>
      <w:proofErr w:type="spellStart"/>
      <w:r>
        <w:rPr>
          <w:lang w:val="pt-BR"/>
        </w:rPr>
        <w:t>DJe</w:t>
      </w:r>
      <w:proofErr w:type="spellEnd"/>
      <w:r>
        <w:rPr>
          <w:lang w:val="pt-BR"/>
        </w:rPr>
        <w:t xml:space="preserve"> de 25/03/2021.</w:t>
      </w:r>
    </w:p>
  </w:footnote>
  <w:footnote w:id="12">
    <w:p w14:paraId="2D211697" w14:textId="77777777" w:rsidR="00DF597F" w:rsidRDefault="008F60D8">
      <w:pPr>
        <w:pStyle w:val="Textodenotaderodap"/>
        <w:jc w:val="both"/>
      </w:pPr>
      <w:r>
        <w:rPr>
          <w:rStyle w:val="FootnoteCharacters"/>
        </w:rPr>
        <w:footnoteRef/>
      </w:r>
      <w:r>
        <w:t xml:space="preserve"> </w:t>
      </w:r>
      <w:r>
        <w:rPr>
          <w:lang w:val="pt-BR"/>
        </w:rPr>
        <w:t xml:space="preserve">RAGAZZO, Carlos Emmanuel Joppert. Regulação jurídica, racionalidade econômica e saneamento básico. Rio de Janeiro: Renovar, 2011, p. 91-92, apud VORONOFF, Alice. Direito administrativo sancionador no Brasil. 2. </w:t>
      </w:r>
      <w:proofErr w:type="spellStart"/>
      <w:r>
        <w:rPr>
          <w:lang w:val="pt-BR"/>
        </w:rPr>
        <w:t>reimpr</w:t>
      </w:r>
      <w:proofErr w:type="spellEnd"/>
      <w:r>
        <w:rPr>
          <w:lang w:val="pt-BR"/>
        </w:rPr>
        <w:t>. Belo Horizonte: Fórum, 2019, p. 85.</w:t>
      </w:r>
    </w:p>
  </w:footnote>
  <w:footnote w:id="13">
    <w:p w14:paraId="696C5D1E" w14:textId="77777777" w:rsidR="00DF597F" w:rsidRDefault="008F60D8">
      <w:pPr>
        <w:pStyle w:val="Textodenotaderodap"/>
        <w:jc w:val="both"/>
      </w:pPr>
      <w:r>
        <w:rPr>
          <w:rStyle w:val="FootnoteCharacters"/>
        </w:rPr>
        <w:footnoteRef/>
      </w:r>
      <w:r>
        <w:t xml:space="preserve"> </w:t>
      </w:r>
      <w:r>
        <w:rPr>
          <w:lang w:val="pt-BR"/>
        </w:rPr>
        <w:t xml:space="preserve">STJ. Embargos de Divergência em Recurso Especial nº 1.872.187/RS. Relator: Ministro Raul Araújo. Corte Especial. Julgado em 02/04/2025. DJEN de 30/04/2025. No mesmo sentido: STJ. Agravo Interno no Recurso Especial nº 2.100.620/SP. Relatora: Ministra Maria Isabel Gallotti. Quarta Turma. Julgado em 04/03/2024. </w:t>
      </w:r>
      <w:proofErr w:type="spellStart"/>
      <w:r>
        <w:rPr>
          <w:lang w:val="pt-BR"/>
        </w:rPr>
        <w:t>DJe</w:t>
      </w:r>
      <w:proofErr w:type="spellEnd"/>
      <w:r>
        <w:rPr>
          <w:lang w:val="pt-BR"/>
        </w:rPr>
        <w:t xml:space="preserve"> de 07/03/2024</w:t>
      </w:r>
    </w:p>
  </w:footnote>
  <w:footnote w:id="14">
    <w:p w14:paraId="7D3D45ED" w14:textId="77777777" w:rsidR="00DF597F" w:rsidRDefault="008F60D8">
      <w:pPr>
        <w:pStyle w:val="Textodenotaderodap"/>
        <w:jc w:val="both"/>
      </w:pPr>
      <w:r>
        <w:rPr>
          <w:rStyle w:val="FootnoteCharacters"/>
        </w:rPr>
        <w:footnoteRef/>
      </w:r>
      <w:r>
        <w:t xml:space="preserve"> </w:t>
      </w:r>
      <w:r>
        <w:rPr>
          <w:lang w:val="pt-BR"/>
        </w:rPr>
        <w:t xml:space="preserve">STJ. Recurso Especial nº 1.155.200/DF. Relator: Ministro Massami </w:t>
      </w:r>
      <w:proofErr w:type="spellStart"/>
      <w:r>
        <w:rPr>
          <w:lang w:val="pt-BR"/>
        </w:rPr>
        <w:t>Uyeda</w:t>
      </w:r>
      <w:proofErr w:type="spellEnd"/>
      <w:r>
        <w:rPr>
          <w:lang w:val="pt-BR"/>
        </w:rPr>
        <w:t xml:space="preserve">. Relatora para o Acórdão: Ministra Nancy Andrighi. Terceira Turma. Julgado em 22/02/2011. </w:t>
      </w:r>
      <w:proofErr w:type="spellStart"/>
      <w:r>
        <w:rPr>
          <w:lang w:val="pt-BR"/>
        </w:rPr>
        <w:t>DJe</w:t>
      </w:r>
      <w:proofErr w:type="spellEnd"/>
      <w:r>
        <w:rPr>
          <w:lang w:val="pt-BR"/>
        </w:rPr>
        <w:t xml:space="preserve"> de 02/03/2011.</w:t>
      </w:r>
    </w:p>
  </w:footnote>
  <w:footnote w:id="15">
    <w:p w14:paraId="32B082DE" w14:textId="604F265E" w:rsidR="00DF597F" w:rsidRDefault="008F60D8">
      <w:pPr>
        <w:pStyle w:val="Textodenotaderodap"/>
        <w:jc w:val="both"/>
      </w:pPr>
      <w:r>
        <w:rPr>
          <w:rStyle w:val="FootnoteCharacters"/>
        </w:rPr>
        <w:footnoteRef/>
      </w:r>
      <w:r>
        <w:t xml:space="preserve"> </w:t>
      </w:r>
      <w:r>
        <w:rPr>
          <w:lang w:val="pt-BR"/>
        </w:rPr>
        <w:t xml:space="preserve">STJ. Agravo Interno no Recurso Especial nº 2.095.078/SP. Relator: Ministro Ricardo Villas Bôas </w:t>
      </w:r>
      <w:proofErr w:type="spellStart"/>
      <w:r>
        <w:rPr>
          <w:lang w:val="pt-BR"/>
        </w:rPr>
        <w:t>Cueva</w:t>
      </w:r>
      <w:proofErr w:type="spellEnd"/>
      <w:r>
        <w:rPr>
          <w:lang w:val="pt-BR"/>
        </w:rPr>
        <w:t xml:space="preserve">. Terceira Turma. Julgado em 16/09/2024. </w:t>
      </w:r>
      <w:proofErr w:type="spellStart"/>
      <w:r>
        <w:rPr>
          <w:lang w:val="pt-BR"/>
        </w:rPr>
        <w:t>DJe</w:t>
      </w:r>
      <w:proofErr w:type="spellEnd"/>
      <w:r>
        <w:rPr>
          <w:lang w:val="pt-BR"/>
        </w:rPr>
        <w:t xml:space="preserve"> de 18/09/2024</w:t>
      </w:r>
      <w:r w:rsidR="005A1DC3">
        <w:rPr>
          <w:lang w:val="pt-BR"/>
        </w:rPr>
        <w:t>.</w:t>
      </w:r>
    </w:p>
  </w:footnote>
  <w:footnote w:id="16">
    <w:p w14:paraId="38995C89" w14:textId="2677E313" w:rsidR="00DF597F" w:rsidRDefault="008F60D8">
      <w:pPr>
        <w:pStyle w:val="Textodenotaderodap"/>
        <w:jc w:val="both"/>
      </w:pPr>
      <w:r>
        <w:rPr>
          <w:rStyle w:val="FootnoteCharacters"/>
        </w:rPr>
        <w:footnoteRef/>
      </w:r>
      <w:r>
        <w:t xml:space="preserve"> </w:t>
      </w:r>
      <w:r>
        <w:rPr>
          <w:lang w:val="pt-BR"/>
        </w:rPr>
        <w:t xml:space="preserve">STJ. Agravo Interno no Agravo em Recurso Especial nº 1.276.142/DF. Relator: Ministro </w:t>
      </w:r>
      <w:proofErr w:type="spellStart"/>
      <w:r>
        <w:rPr>
          <w:lang w:val="pt-BR"/>
        </w:rPr>
        <w:t>Antonio</w:t>
      </w:r>
      <w:proofErr w:type="spellEnd"/>
      <w:r>
        <w:rPr>
          <w:lang w:val="pt-BR"/>
        </w:rPr>
        <w:t xml:space="preserve"> Carlos Ferreira. Quarta Turma. Julgado em 01/03/2021. </w:t>
      </w:r>
      <w:proofErr w:type="spellStart"/>
      <w:r>
        <w:rPr>
          <w:lang w:val="pt-BR"/>
        </w:rPr>
        <w:t>DJe</w:t>
      </w:r>
      <w:proofErr w:type="spellEnd"/>
      <w:r>
        <w:rPr>
          <w:lang w:val="pt-BR"/>
        </w:rPr>
        <w:t xml:space="preserve"> de 03/03/2021</w:t>
      </w:r>
      <w:r w:rsidR="005A1DC3">
        <w:rPr>
          <w:lang w:val="pt-BR"/>
        </w:rPr>
        <w:t>.</w:t>
      </w:r>
    </w:p>
  </w:footnote>
  <w:footnote w:id="17">
    <w:p w14:paraId="5AAC5DA1" w14:textId="77777777" w:rsidR="00DF597F" w:rsidRDefault="008F60D8">
      <w:pPr>
        <w:pStyle w:val="Textodenotaderodap"/>
        <w:jc w:val="both"/>
      </w:pPr>
      <w:r>
        <w:rPr>
          <w:rStyle w:val="FootnoteCharacters"/>
        </w:rPr>
        <w:footnoteRef/>
      </w:r>
      <w:r>
        <w:t xml:space="preserve">STJ. Agravo em Recurso Especial nº 3.053.339/RJ. Relator: Ministro Marco Aurélio Bellizze. Decisão de 04/02/2026. Publicação no DJEN/CNJ de 06/02/2026. No mesmo sentido, quanto à aplicação dos percentuais do § 3º independentemente da posição processual da Fazenda Pública: STJ. Recurso Especial nº 1.769.017/RS. Relator: Ministro Mauro Campbell Marques. Segunda Turma. Julgado em 23/05/2023.</w:t>
      </w:r>
      <w:r>
        <w:rPr>
          <w:lang w:val="pt-BR"/>
        </w:rPr>
        <w:t xml:space="preserve"/>
      </w:r>
    </w:p>
  </w:footnote>
  <w:footnote w:id="18">
    <w:p w14:paraId="6E7FBE19" w14:textId="77777777" w:rsidR="00DF597F" w:rsidRDefault="008F60D8">
      <w:pPr>
        <w:pStyle w:val="Textodenotaderodap"/>
        <w:jc w:val="both"/>
      </w:pPr>
      <w:r>
        <w:rPr>
          <w:rStyle w:val="FootnoteCharacters"/>
        </w:rPr>
        <w:footnoteRef/>
      </w:r>
      <w:r>
        <w:t xml:space="preserve"> </w:t>
      </w:r>
      <w:r>
        <w:rPr>
          <w:lang w:val="pt-BR"/>
        </w:rPr>
        <w:t xml:space="preserve">POSNER, Richard A. Economic </w:t>
      </w:r>
      <w:proofErr w:type="spellStart"/>
      <w:r>
        <w:rPr>
          <w:lang w:val="pt-BR"/>
        </w:rPr>
        <w:t>Analysis</w:t>
      </w:r>
      <w:proofErr w:type="spellEnd"/>
      <w:r>
        <w:rPr>
          <w:lang w:val="pt-BR"/>
        </w:rPr>
        <w:t xml:space="preserve"> </w:t>
      </w:r>
      <w:proofErr w:type="spellStart"/>
      <w:r>
        <w:rPr>
          <w:lang w:val="pt-BR"/>
        </w:rPr>
        <w:t>of</w:t>
      </w:r>
      <w:proofErr w:type="spellEnd"/>
      <w:r>
        <w:rPr>
          <w:lang w:val="pt-BR"/>
        </w:rPr>
        <w:t xml:space="preserve"> Law. New York: Aspen </w:t>
      </w:r>
      <w:proofErr w:type="spellStart"/>
      <w:r>
        <w:rPr>
          <w:lang w:val="pt-BR"/>
        </w:rPr>
        <w:t>Publishers</w:t>
      </w:r>
      <w:proofErr w:type="spellEnd"/>
      <w:r>
        <w:rPr>
          <w:lang w:val="pt-BR"/>
        </w:rPr>
        <w:t>, 2007.</w:t>
      </w:r>
    </w:p>
  </w:footnote>
  <w:footnote w:id="19">
    <w:p w14:paraId="35ACA61D" w14:textId="77777777" w:rsidR="00DF597F" w:rsidRDefault="008F60D8">
      <w:pPr>
        <w:pStyle w:val="Textodenotaderodap"/>
        <w:jc w:val="both"/>
      </w:pPr>
      <w:r>
        <w:rPr>
          <w:rStyle w:val="FootnoteCharacters"/>
        </w:rPr>
        <w:footnoteRef/>
      </w:r>
      <w:r>
        <w:t xml:space="preserve"> </w:t>
      </w:r>
      <w:r>
        <w:rPr>
          <w:lang w:val="pt-BR"/>
        </w:rPr>
        <w:t>STJ. Recursos Especiais nº 1.850.512/SP, nº 1.877.883/SP, nº 1.906.623/SP e nº 1.906.618/SP. Corte Especial. Julgados em 16/03/2022. Acórdãos publicados em 31/05/2022.</w:t>
      </w:r>
    </w:p>
  </w:footnote>
  <w:footnote w:id="20">
    <w:p w14:paraId="3B6D8911" w14:textId="77777777" w:rsidR="00DF597F" w:rsidRDefault="008F60D8">
      <w:pPr>
        <w:pStyle w:val="Textodenotaderodap"/>
        <w:jc w:val="both"/>
      </w:pPr>
      <w:r>
        <w:rPr>
          <w:rStyle w:val="FootnoteCharacters"/>
        </w:rPr>
        <w:footnoteRef/>
      </w:r>
      <w:r>
        <w:t xml:space="preserve"> </w:t>
      </w:r>
      <w:r>
        <w:rPr>
          <w:lang w:val="pt-BR"/>
        </w:rPr>
        <w:t xml:space="preserve">STF. Recurso Extraordinário nº 1.412.069/PR. Tribunal Pleno. Repercussão geral reconhecida em 08/08/2023. </w:t>
      </w:r>
      <w:proofErr w:type="spellStart"/>
      <w:r>
        <w:rPr>
          <w:lang w:val="pt-BR"/>
        </w:rPr>
        <w:t>DJe</w:t>
      </w:r>
      <w:proofErr w:type="spellEnd"/>
      <w:r>
        <w:rPr>
          <w:lang w:val="pt-BR"/>
        </w:rPr>
        <w:t xml:space="preserve"> de 24/05/2024.</w:t>
      </w:r>
    </w:p>
  </w:footnote>
  <w:footnote w:id="21">
    <w:p w14:paraId="7430258B" w14:textId="77777777" w:rsidR="00DF597F" w:rsidRDefault="008F60D8">
      <w:pPr>
        <w:pStyle w:val="Textodenotaderodap"/>
        <w:jc w:val="both"/>
      </w:pPr>
      <w:r>
        <w:rPr>
          <w:rStyle w:val="FootnoteCharacters"/>
        </w:rPr>
        <w:footnoteRef/>
      </w:r>
      <w:r>
        <w:t xml:space="preserve"> </w:t>
      </w:r>
      <w:r>
        <w:rPr>
          <w:lang w:val="pt-BR"/>
        </w:rPr>
        <w:t xml:space="preserve">STF. Recurso Extraordinário nº 1.412.069/PR – Questão de Ordem. Relator: Ministro André Mendonça. Tribunal Pleno. Julgado em 12/03/2025. </w:t>
      </w:r>
      <w:proofErr w:type="spellStart"/>
      <w:r>
        <w:rPr>
          <w:lang w:val="pt-BR"/>
        </w:rPr>
        <w:t>DJe</w:t>
      </w:r>
      <w:proofErr w:type="spellEnd"/>
      <w:r>
        <w:rPr>
          <w:lang w:val="pt-BR"/>
        </w:rPr>
        <w:t xml:space="preserve"> de 07/04/2025.</w:t>
      </w:r>
    </w:p>
  </w:footnote>
  <w:footnote w:id="22">
    <w:p w14:paraId="761D3390" w14:textId="77777777" w:rsidR="00DF597F" w:rsidRDefault="008F60D8">
      <w:pPr>
        <w:pStyle w:val="Textodenotaderodap"/>
        <w:jc w:val="both"/>
      </w:pPr>
      <w:r>
        <w:rPr>
          <w:rStyle w:val="FootnoteCharacters"/>
        </w:rPr>
        <w:footnoteRef/>
      </w:r>
      <w:r>
        <w:t xml:space="preserve"> </w:t>
      </w:r>
      <w:r>
        <w:rPr>
          <w:lang w:val="pt-BR"/>
        </w:rPr>
        <w:t>TCE/RN. Processo nº 000162/2025-TC. Acórdão nº 149/2026-TC. Relator: Conselheiro Substituto Marco Antônio de Moraes Rêgo Montenegro. 1ª Câmara de Contas. 10ª Sessão Ordinária de 11/06/2026.</w:t>
      </w:r>
    </w:p>
  </w:footnote>
  <w:footnote w:id="23">
    <w:p w14:paraId="59501512" w14:textId="77777777" w:rsidR="00DF597F" w:rsidRDefault="008F60D8">
      <w:pPr>
        <w:pStyle w:val="Textodenotaderodap"/>
        <w:jc w:val="both"/>
      </w:pPr>
      <w:r>
        <w:rPr>
          <w:rStyle w:val="FootnoteCharacters"/>
        </w:rPr>
        <w:footnoteRef/>
      </w:r>
      <w:r>
        <w:t xml:space="preserve"> </w:t>
      </w:r>
      <w:r>
        <w:rPr>
          <w:lang w:val="pt-BR"/>
        </w:rPr>
        <w:t>TCE/RN. Processo nº 000773/2022-TC. Acórdão nº 230/2025-TC. Relator: Conselheiro Substituto Marco Antônio de Moraes Rêgo Montenegro. 1ª Câmara de Contas. Sessão de 15/09/2025. Publicado em 24/09/2025.</w:t>
      </w:r>
    </w:p>
  </w:footnote>
  <w:footnote w:id="24">
    <w:p w14:paraId="704533D2" w14:textId="77777777" w:rsidR="00DF597F" w:rsidRDefault="008F60D8">
      <w:pPr>
        <w:pStyle w:val="Textodenotaderodap"/>
        <w:jc w:val="both"/>
      </w:pPr>
      <w:r>
        <w:rPr>
          <w:rStyle w:val="FootnoteCharacters"/>
        </w:rPr>
        <w:footnoteRef/>
      </w:r>
      <w:r>
        <w:t xml:space="preserve"> </w:t>
      </w:r>
      <w:r>
        <w:rPr>
          <w:lang w:val="pt-BR"/>
        </w:rPr>
        <w:t xml:space="preserve">TCE/RN. Processo nº 004510/2019-TC. Acórdão nº 398/2023-TC. Relator: Conselheiro </w:t>
      </w:r>
      <w:proofErr w:type="spellStart"/>
      <w:r>
        <w:rPr>
          <w:lang w:val="pt-BR"/>
        </w:rPr>
        <w:t>Antonio</w:t>
      </w:r>
      <w:proofErr w:type="spellEnd"/>
      <w:r>
        <w:rPr>
          <w:lang w:val="pt-BR"/>
        </w:rPr>
        <w:t xml:space="preserve"> Gilberto de Oliveira Jales. Tribunal Pleno.</w:t>
      </w:r>
    </w:p>
  </w:footnote>
  <w:footnote w:id="25">
    <w:p w14:paraId="29E1E8CA" w14:textId="77777777" w:rsidR="00DF597F" w:rsidRDefault="008F60D8">
      <w:pPr>
        <w:pStyle w:val="Textodenotaderodap"/>
        <w:jc w:val="both"/>
      </w:pPr>
      <w:r>
        <w:rPr>
          <w:rStyle w:val="FootnoteCharacters"/>
        </w:rPr>
        <w:footnoteRef/>
      </w:r>
      <w:r>
        <w:t xml:space="preserve"> </w:t>
      </w:r>
      <w:r>
        <w:rPr>
          <w:lang w:val="pt-BR"/>
        </w:rPr>
        <w:t xml:space="preserve">STJ. Agravo Interno no Recurso em Mandado de Segurança nº 66.828/PR. Relator: Ministro Gurgel de Faria. Primeira Turma. Julgado em 14/10/2024. </w:t>
      </w:r>
      <w:proofErr w:type="spellStart"/>
      <w:r>
        <w:rPr>
          <w:lang w:val="pt-BR"/>
        </w:rPr>
        <w:t>DJe</w:t>
      </w:r>
      <w:proofErr w:type="spellEnd"/>
      <w:r>
        <w:rPr>
          <w:lang w:val="pt-BR"/>
        </w:rPr>
        <w:t xml:space="preserve"> de 21/10/2024.</w:t>
      </w:r>
    </w:p>
  </w:footnote>
  <w:footnote w:id="26">
    <w:p w14:paraId="5AAC5DA1" w14:textId="77777777" w:rsidR="00DF597F" w:rsidRDefault="008F60D8">
      <w:pPr>
        <w:pStyle w:val="Textodenotaderodap"/>
        <w:jc w:val="both"/>
      </w:pPr>
      <w:r>
        <w:rPr>
          <w:rStyle w:val="FootnoteCharacters"/>
        </w:rPr>
        <w:footnoteRef/>
      </w:r>
      <w:r>
        <w:t xml:space="preserve"> </w:t>
      </w:r>
      <w:r>
        <w:rPr>
          <w:lang w:val="pt-BR"/>
        </w:rPr>
        <w:t>STF. Suspensão de Segurança nº 5335. Ministro Dias Toffoli. Decisão de 06/07/2020.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69769" w14:textId="77777777" w:rsidR="00DF597F" w:rsidRDefault="008F60D8">
    <w:pPr>
      <w:pStyle w:val="Recuodecorpodetexto"/>
      <w:spacing w:after="0"/>
      <w:rPr>
        <w:rFonts w:eastAsia="Calibri"/>
        <w:b/>
        <w:bCs/>
        <w:color w:val="808080"/>
        <w:sz w:val="16"/>
        <w:szCs w:val="16"/>
        <w:lang w:val="en-US" w:eastAsia="en-US"/>
      </w:rPr>
    </w:pPr>
    <w:r>
      <w:rPr>
        <w:noProof/>
      </w:rPr>
      <w:drawing>
        <wp:anchor distT="0" distB="0" distL="114935" distR="114935" simplePos="0" relativeHeight="251658240" behindDoc="1" locked="0" layoutInCell="1" allowOverlap="1" wp14:anchorId="74BE1FDF" wp14:editId="3225DFA9">
          <wp:simplePos x="0" y="0"/>
          <wp:positionH relativeFrom="column">
            <wp:posOffset>0</wp:posOffset>
          </wp:positionH>
          <wp:positionV relativeFrom="paragraph">
            <wp:posOffset>-120015</wp:posOffset>
          </wp:positionV>
          <wp:extent cx="3717925" cy="540385"/>
          <wp:effectExtent l="0" t="0" r="0" b="0"/>
          <wp:wrapNone/>
          <wp:docPr id="4" name="Imagem 5348160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m 534816037"/>
                  <pic:cNvPicPr>
                    <a:picLocks/>
                  </pic:cNvPicPr>
                </pic:nvPicPr>
                <pic:blipFill>
                  <a:blip r:embed="rId1">
                    <a:extLst>
                      <a:ext uri="{28A0092B-C50C-407E-A947-70E740481C1C}">
                        <a14:useLocalDpi xmlns:a14="http://schemas.microsoft.com/office/drawing/2010/main" val="0"/>
                      </a:ext>
                    </a:extLst>
                  </a:blip>
                  <a:srcRect l="-6" t="-2106" r="42937" b="-69"/>
                  <a:stretch>
                    <a:fillRect/>
                  </a:stretch>
                </pic:blipFill>
                <pic:spPr bwMode="auto">
                  <a:xfrm>
                    <a:off x="0" y="0"/>
                    <a:ext cx="3717925" cy="540385"/>
                  </a:xfrm>
                  <a:prstGeom prst="rect">
                    <a:avLst/>
                  </a:prstGeom>
                  <a:noFill/>
                </pic:spPr>
              </pic:pic>
            </a:graphicData>
          </a:graphic>
          <wp14:sizeRelH relativeFrom="page">
            <wp14:pctWidth>0</wp14:pctWidth>
          </wp14:sizeRelH>
          <wp14:sizeRelV relativeFrom="page">
            <wp14:pctHeight>0</wp14:pctHeight>
          </wp14:sizeRelV>
        </wp:anchor>
      </w:drawing>
    </w:r>
  </w:p>
  <w:p w14:paraId="13BB4E5F" w14:textId="77777777" w:rsidR="00DF597F" w:rsidRDefault="00DF597F">
    <w:pPr>
      <w:pStyle w:val="Cabealho"/>
      <w:rPr>
        <w:rFonts w:eastAsia="Calibri"/>
        <w:b/>
        <w:bCs/>
        <w:color w:val="808080"/>
        <w:sz w:val="16"/>
        <w:szCs w:val="16"/>
        <w:lang w:val="pt-BR" w:eastAsia="en-US"/>
      </w:rPr>
    </w:pPr>
  </w:p>
  <w:p w14:paraId="13BA40F8" w14:textId="77777777" w:rsidR="00DF597F" w:rsidRDefault="00DF597F">
    <w:pPr>
      <w:pStyle w:val="Cabealho"/>
      <w:rPr>
        <w:rFonts w:eastAsia="Calibri"/>
        <w:b/>
        <w:bCs/>
        <w:color w:val="808080"/>
        <w:szCs w:val="16"/>
        <w:lang w:val="pt-BR" w:eastAsia="en-US"/>
      </w:rPr>
    </w:pPr>
  </w:p>
  <w:p w14:paraId="6B5B353F" w14:textId="77777777" w:rsidR="00DF597F" w:rsidRDefault="008F60D8">
    <w:pPr>
      <w:pStyle w:val="Cabealho"/>
      <w:tabs>
        <w:tab w:val="left" w:pos="426"/>
      </w:tabs>
      <w:rPr>
        <w:sz w:val="40"/>
        <w:lang w:val="pt-BR"/>
      </w:rPr>
    </w:pPr>
    <w:proofErr w:type="spellStart"/>
    <w:r>
      <w:rPr>
        <w:rFonts w:eastAsia="Calibri"/>
        <w:b/>
        <w:bCs/>
        <w:color w:val="808080"/>
        <w:szCs w:val="16"/>
        <w:lang w:eastAsia="en-US"/>
      </w:rPr>
      <w:t>Diretoria</w:t>
    </w:r>
    <w:proofErr w:type="spellEnd"/>
    <w:r>
      <w:rPr>
        <w:rFonts w:eastAsia="Calibri"/>
        <w:b/>
        <w:bCs/>
        <w:color w:val="808080"/>
        <w:szCs w:val="16"/>
        <w:lang w:eastAsia="en-US"/>
      </w:rPr>
      <w:t xml:space="preserve"> de </w:t>
    </w:r>
    <w:r>
      <w:rPr>
        <w:rFonts w:eastAsia="Calibri"/>
        <w:b/>
        <w:bCs/>
        <w:color w:val="808080"/>
        <w:szCs w:val="16"/>
        <w:lang w:val="pt-BR" w:eastAsia="en-US"/>
      </w:rPr>
      <w:t>Instrução Processual e Controle de Decisões – DIP</w:t>
    </w:r>
  </w:p>
  <w:p w14:paraId="251692D9" w14:textId="77777777" w:rsidR="00DF597F" w:rsidRDefault="00DF597F">
    <w:pPr>
      <w:pStyle w:val="Cabealho"/>
      <w:rPr>
        <w:sz w:val="40"/>
        <w:lang w:val="pt-B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4239B" w14:textId="77777777" w:rsidR="00DF597F" w:rsidRDefault="008F60D8">
    <w:pPr>
      <w:pStyle w:val="Cabealho"/>
      <w:rPr>
        <w:lang w:val="pt-BR" w:eastAsia="en-US"/>
      </w:rPr>
    </w:pPr>
    <w:r>
      <w:rPr>
        <w:noProof/>
      </w:rPr>
      <w:drawing>
        <wp:anchor distT="0" distB="0" distL="114935" distR="114935" simplePos="0" relativeHeight="251657216" behindDoc="1" locked="0" layoutInCell="1" allowOverlap="1" wp14:anchorId="5F6A19BE" wp14:editId="58F0003E">
          <wp:simplePos x="0" y="0"/>
          <wp:positionH relativeFrom="column">
            <wp:posOffset>-907415</wp:posOffset>
          </wp:positionH>
          <wp:positionV relativeFrom="paragraph">
            <wp:posOffset>-365125</wp:posOffset>
          </wp:positionV>
          <wp:extent cx="7574915" cy="1161415"/>
          <wp:effectExtent l="0" t="0" r="0" b="0"/>
          <wp:wrapNone/>
          <wp:docPr id="2" name="Image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
                  <pic:cNvPicPr>
                    <a:picLocks/>
                  </pic:cNvPicPr>
                </pic:nvPicPr>
                <pic:blipFill>
                  <a:blip r:embed="rId1">
                    <a:extLst>
                      <a:ext uri="{28A0092B-C50C-407E-A947-70E740481C1C}">
                        <a14:useLocalDpi xmlns:a14="http://schemas.microsoft.com/office/drawing/2010/main" val="0"/>
                      </a:ext>
                    </a:extLst>
                  </a:blip>
                  <a:srcRect l="-5" t="-3" r="-5" b="89153"/>
                  <a:stretch>
                    <a:fillRect/>
                  </a:stretch>
                </pic:blipFill>
                <pic:spPr bwMode="auto">
                  <a:xfrm>
                    <a:off x="0" y="0"/>
                    <a:ext cx="4090035" cy="626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C36238"/>
    <w:multiLevelType w:val="multilevel"/>
    <w:tmpl w:val="A7A02072"/>
    <w:lvl w:ilvl="0">
      <w:start w:val="1"/>
      <w:numFmt w:val="none"/>
      <w:suff w:val="nothing"/>
      <w:lvlText w:val=""/>
      <w:lvlJc w:val="left"/>
      <w:pPr>
        <w:tabs>
          <w:tab w:val="num" w:pos="0"/>
        </w:tabs>
        <w:ind w:left="0" w:firstLine="0"/>
      </w:pPr>
    </w:lvl>
    <w:lvl w:ilvl="1">
      <w:start w:val="1"/>
      <w:numFmt w:val="none"/>
      <w:pStyle w:val="Ttulo1"/>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3855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revisionView w:inkAnnotations="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97F"/>
    <w:rsid w:val="00121CBA"/>
    <w:rsid w:val="001E3203"/>
    <w:rsid w:val="00207962"/>
    <w:rsid w:val="002A2DDE"/>
    <w:rsid w:val="005A1DC3"/>
    <w:rsid w:val="006077DD"/>
    <w:rsid w:val="007838ED"/>
    <w:rsid w:val="007872EA"/>
    <w:rsid w:val="007A4A63"/>
    <w:rsid w:val="008C6B5B"/>
    <w:rsid w:val="008F60D8"/>
    <w:rsid w:val="00A43F35"/>
    <w:rsid w:val="00AB25D1"/>
    <w:rsid w:val="00AD0F6F"/>
    <w:rsid w:val="00C676B2"/>
    <w:rsid w:val="00DF597F"/>
    <w:rsid w:val="00E61D03"/>
    <w:rsid w:val="00F6326C"/>
    <w:rsid w:val="00F84914"/>
    <w:rsid w:val="00FE301D"/>
    <w:rsid w:val="00FF10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C5ED"/>
  <w15:docId w15:val="{BE02672F-3033-454F-ADC6-2FF8D606E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eastAsia="zh-CN"/>
    </w:rPr>
  </w:style>
  <w:style w:type="paragraph" w:styleId="Ttulo1">
    <w:name w:val="heading 1"/>
    <w:basedOn w:val="Normal"/>
    <w:next w:val="Corpodetexto"/>
    <w:uiPriority w:val="9"/>
    <w:qFormat/>
    <w:pPr>
      <w:widowControl w:val="0"/>
      <w:numPr>
        <w:ilvl w:val="1"/>
        <w:numId w:val="1"/>
      </w:numPr>
      <w:autoSpaceDE w:val="0"/>
      <w:ind w:left="3248"/>
      <w:jc w:val="center"/>
      <w:outlineLvl w:val="0"/>
    </w:pPr>
    <w:rPr>
      <w:b/>
      <w:bCs/>
      <w:lang w:val="pt-PT"/>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1z0">
    <w:name w:val="WW8Num1z0"/>
    <w:qFormat/>
    <w:rPr>
      <w:b w:val="0"/>
      <w:i w:val="0"/>
      <w:color w:val="000000"/>
      <w:sz w:val="24"/>
      <w:szCs w:val="24"/>
    </w:rPr>
  </w:style>
  <w:style w:type="character" w:customStyle="1" w:styleId="WW8Num1z1">
    <w:name w:val="WW8Num1z1"/>
    <w:qFormat/>
    <w:rPr>
      <w:rFonts w:ascii="Symbol" w:hAnsi="Symbol" w:cs="Symbol"/>
    </w:rPr>
  </w:style>
  <w:style w:type="character" w:customStyle="1" w:styleId="WW8Num4z0">
    <w:name w:val="WW8Num4z0"/>
    <w:qFormat/>
  </w:style>
  <w:style w:type="character" w:customStyle="1" w:styleId="WW8Num7z0">
    <w:name w:val="WW8Num7z0"/>
    <w:qFormat/>
  </w:style>
  <w:style w:type="character" w:customStyle="1" w:styleId="TextodebaloChar">
    <w:name w:val="Texto de balão Char"/>
    <w:qFormat/>
    <w:rPr>
      <w:rFonts w:ascii="Tahoma" w:eastAsia="Times New Roman" w:hAnsi="Tahoma" w:cs="Tahoma"/>
      <w:sz w:val="16"/>
      <w:szCs w:val="16"/>
    </w:rPr>
  </w:style>
  <w:style w:type="character" w:customStyle="1" w:styleId="TextodenotaderodapChar">
    <w:name w:val="Texto de nota de rodapé Char"/>
    <w:qFormat/>
    <w:rPr>
      <w:rFonts w:ascii="Times New Roman" w:eastAsia="Times New Roman" w:hAnsi="Times New Roman" w:cs="Times New Roman"/>
      <w:sz w:val="20"/>
      <w:szCs w:val="20"/>
    </w:rPr>
  </w:style>
  <w:style w:type="character" w:customStyle="1" w:styleId="FootnoteCharacters">
    <w:name w:val="Footnote Characters"/>
    <w:qFormat/>
    <w:rPr>
      <w:vertAlign w:val="superscript"/>
    </w:rPr>
  </w:style>
  <w:style w:type="character" w:customStyle="1" w:styleId="Recuodecorpodetexto3Char">
    <w:name w:val="Recuo de corpo de texto 3 Char"/>
    <w:qFormat/>
    <w:rPr>
      <w:rFonts w:ascii="Times New Roman" w:eastAsia="Times New Roman" w:hAnsi="Times New Roman" w:cs="Times New Roman"/>
      <w:sz w:val="26"/>
    </w:rPr>
  </w:style>
  <w:style w:type="character" w:customStyle="1" w:styleId="apple-converted-space">
    <w:name w:val="apple-converted-space"/>
    <w:basedOn w:val="Fontepargpadro"/>
    <w:qFormat/>
  </w:style>
  <w:style w:type="character" w:styleId="Forte">
    <w:name w:val="Strong"/>
    <w:qFormat/>
    <w:rPr>
      <w:b/>
      <w:bCs/>
    </w:rPr>
  </w:style>
  <w:style w:type="character" w:customStyle="1" w:styleId="CabealhoChar">
    <w:name w:val="Cabeçalho Char"/>
    <w:qFormat/>
    <w:rPr>
      <w:rFonts w:ascii="Times New Roman" w:eastAsia="Times New Roman" w:hAnsi="Times New Roman" w:cs="Times New Roman"/>
      <w:sz w:val="24"/>
      <w:szCs w:val="24"/>
    </w:rPr>
  </w:style>
  <w:style w:type="character" w:customStyle="1" w:styleId="RodapChar">
    <w:name w:val="Rodapé Char"/>
    <w:qFormat/>
    <w:rPr>
      <w:rFonts w:ascii="Times New Roman" w:eastAsia="Times New Roman" w:hAnsi="Times New Roman" w:cs="Times New Roman"/>
      <w:sz w:val="24"/>
      <w:szCs w:val="24"/>
    </w:rPr>
  </w:style>
  <w:style w:type="character" w:customStyle="1" w:styleId="CorpodetextoChar">
    <w:name w:val="Corpo de texto Char"/>
    <w:qFormat/>
    <w:rPr>
      <w:rFonts w:ascii="Times New Roman" w:eastAsia="Times New Roman" w:hAnsi="Times New Roman" w:cs="Times New Roman"/>
      <w:sz w:val="24"/>
      <w:szCs w:val="24"/>
    </w:rPr>
  </w:style>
  <w:style w:type="character" w:styleId="Hyperlink">
    <w:name w:val="Hyperlink"/>
    <w:rPr>
      <w:color w:val="0000FF"/>
      <w:u w:val="single"/>
    </w:rPr>
  </w:style>
  <w:style w:type="character" w:customStyle="1" w:styleId="MenoPendente1">
    <w:name w:val="Menção Pendente1"/>
    <w:qFormat/>
    <w:rPr>
      <w:color w:val="605E5C"/>
      <w:shd w:val="clear" w:color="auto" w:fill="E1DFDD"/>
    </w:rPr>
  </w:style>
  <w:style w:type="character" w:customStyle="1" w:styleId="indicador-unidade">
    <w:name w:val="indicador-unidade"/>
    <w:basedOn w:val="Fontepargpadro"/>
    <w:qFormat/>
  </w:style>
  <w:style w:type="character" w:styleId="MenoPendente">
    <w:name w:val="Unresolved Mention"/>
    <w:qFormat/>
    <w:rPr>
      <w:color w:val="605E5C"/>
      <w:shd w:val="clear" w:color="auto" w:fill="E1DFDD"/>
    </w:rPr>
  </w:style>
  <w:style w:type="character" w:customStyle="1" w:styleId="conteudorecordset">
    <w:name w:val="conteudorecordset"/>
    <w:qFormat/>
  </w:style>
  <w:style w:type="character" w:styleId="HiperlinkVisitado">
    <w:name w:val="FollowedHyperlink"/>
    <w:rPr>
      <w:color w:val="800080"/>
      <w:u w:val="single"/>
    </w:rPr>
  </w:style>
  <w:style w:type="character" w:customStyle="1" w:styleId="fontstyle01">
    <w:name w:val="fontstyle01"/>
    <w:qFormat/>
    <w:rPr>
      <w:rFonts w:ascii="Roboto-Bold;Times New Roman" w:hAnsi="Roboto-Bold;Times New Roman" w:cs="Roboto-Bold;Times New Roman"/>
      <w:b/>
      <w:bCs/>
      <w:i w:val="0"/>
      <w:iCs w:val="0"/>
      <w:color w:val="000000"/>
      <w:sz w:val="16"/>
      <w:szCs w:val="16"/>
    </w:rPr>
  </w:style>
  <w:style w:type="character" w:customStyle="1" w:styleId="fontstyle21">
    <w:name w:val="fontstyle21"/>
    <w:qFormat/>
    <w:rPr>
      <w:rFonts w:ascii="Bookman Old Style" w:hAnsi="Bookman Old Style" w:cs="Bookman Old Style"/>
      <w:b/>
      <w:bCs/>
      <w:i w:val="0"/>
      <w:iCs w:val="0"/>
      <w:color w:val="000000"/>
      <w:sz w:val="26"/>
      <w:szCs w:val="26"/>
    </w:rPr>
  </w:style>
  <w:style w:type="character" w:customStyle="1" w:styleId="fontstyle31">
    <w:name w:val="fontstyle31"/>
    <w:qFormat/>
    <w:rPr>
      <w:rFonts w:ascii="Bookman Old Style" w:hAnsi="Bookman Old Style" w:cs="Bookman Old Style"/>
      <w:b w:val="0"/>
      <w:bCs w:val="0"/>
      <w:i/>
      <w:iCs/>
      <w:color w:val="000000"/>
      <w:sz w:val="20"/>
      <w:szCs w:val="20"/>
    </w:rPr>
  </w:style>
  <w:style w:type="character" w:customStyle="1" w:styleId="fontstyle41">
    <w:name w:val="fontstyle41"/>
    <w:qFormat/>
    <w:rPr>
      <w:rFonts w:ascii="Times-Roman;Times New Roman" w:hAnsi="Times-Roman;Times New Roman" w:cs="Times-Roman;Times New Roman"/>
      <w:b w:val="0"/>
      <w:bCs w:val="0"/>
      <w:i w:val="0"/>
      <w:iCs w:val="0"/>
      <w:color w:val="000000"/>
      <w:sz w:val="12"/>
      <w:szCs w:val="12"/>
    </w:rPr>
  </w:style>
  <w:style w:type="character" w:customStyle="1" w:styleId="fontstyle51">
    <w:name w:val="fontstyle51"/>
    <w:qFormat/>
    <w:rPr>
      <w:rFonts w:ascii="CIDFont+F3;Times New Roman" w:hAnsi="CIDFont+F3;Times New Roman" w:cs="CIDFont+F3;Times New Roman"/>
      <w:b/>
      <w:bCs/>
      <w:i w:val="0"/>
      <w:iCs w:val="0"/>
      <w:color w:val="808080"/>
      <w:sz w:val="20"/>
      <w:szCs w:val="20"/>
    </w:rPr>
  </w:style>
  <w:style w:type="character" w:styleId="Nmerodepgina">
    <w:name w:val="page number"/>
    <w:basedOn w:val="Fontepargpadro"/>
  </w:style>
  <w:style w:type="character" w:customStyle="1" w:styleId="RecuodecorpodetextoChar">
    <w:name w:val="Recuo de corpo de texto Char"/>
    <w:qFormat/>
    <w:rPr>
      <w:rFonts w:ascii="Times New Roman" w:eastAsia="Times New Roman" w:hAnsi="Times New Roman" w:cs="Times New Roman"/>
      <w:sz w:val="24"/>
      <w:szCs w:val="24"/>
    </w:rPr>
  </w:style>
  <w:style w:type="character" w:customStyle="1" w:styleId="Corpodetexto2Char">
    <w:name w:val="Corpo de texto 2 Char"/>
    <w:qFormat/>
    <w:rPr>
      <w:rFonts w:ascii="Times New Roman" w:eastAsia="Times New Roman" w:hAnsi="Times New Roman" w:cs="Times New Roman"/>
      <w:sz w:val="24"/>
      <w:szCs w:val="24"/>
    </w:rPr>
  </w:style>
  <w:style w:type="character" w:customStyle="1" w:styleId="PargrafodaListaChar">
    <w:name w:val="Parágrafo da Lista Char"/>
    <w:qFormat/>
    <w:rPr>
      <w:rFonts w:ascii="Times New Roman" w:eastAsia="Times New Roman" w:hAnsi="Times New Roman" w:cs="Times New Roman"/>
      <w:sz w:val="24"/>
      <w:szCs w:val="24"/>
    </w:rPr>
  </w:style>
  <w:style w:type="character" w:styleId="Refdenotaderodap">
    <w:name w:val="footnote reference"/>
    <w:rPr>
      <w:vertAlign w:val="superscript"/>
    </w:rPr>
  </w:style>
  <w:style w:type="character" w:styleId="Refdenotadefim">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Corpodetexto"/>
    <w:qFormat/>
    <w:pPr>
      <w:keepNext/>
      <w:spacing w:before="240" w:after="120"/>
    </w:pPr>
    <w:rPr>
      <w:rFonts w:ascii="Liberation Sans" w:eastAsia="Noto Sans CJK SC" w:hAnsi="Liberation Sans" w:cs="FreeSans"/>
      <w:sz w:val="28"/>
      <w:szCs w:val="28"/>
    </w:rPr>
  </w:style>
  <w:style w:type="paragraph" w:styleId="Corpodetexto">
    <w:name w:val="Body Text"/>
    <w:basedOn w:val="Normal"/>
    <w:pPr>
      <w:spacing w:after="120"/>
    </w:pPr>
    <w:rPr>
      <w:lang w:val="en-US"/>
    </w:rPr>
  </w:style>
  <w:style w:type="paragraph" w:styleId="Lista">
    <w:name w:val="List"/>
    <w:basedOn w:val="Corpodetexto"/>
    <w:rPr>
      <w:rFonts w:cs="FreeSans"/>
    </w:rPr>
  </w:style>
  <w:style w:type="paragraph" w:styleId="Legenda">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extodebalo">
    <w:name w:val="Balloon Text"/>
    <w:basedOn w:val="Normal"/>
    <w:qFormat/>
    <w:rPr>
      <w:rFonts w:ascii="Tahoma" w:hAnsi="Tahoma" w:cs="Tahoma"/>
      <w:sz w:val="16"/>
      <w:szCs w:val="16"/>
      <w:lang w:val="en-US"/>
    </w:rPr>
  </w:style>
  <w:style w:type="paragraph" w:styleId="Textodenotaderodap">
    <w:name w:val="footnote text"/>
    <w:basedOn w:val="Normal"/>
    <w:rPr>
      <w:sz w:val="20"/>
      <w:szCs w:val="20"/>
      <w:lang w:val="en-US"/>
    </w:rPr>
  </w:style>
  <w:style w:type="paragraph" w:styleId="PargrafodaLista">
    <w:name w:val="List Paragraph"/>
    <w:basedOn w:val="Normal"/>
    <w:qFormat/>
    <w:pPr>
      <w:ind w:left="720"/>
      <w:contextualSpacing/>
    </w:pPr>
    <w:rPr>
      <w:lang w:val="en-US"/>
    </w:rPr>
  </w:style>
  <w:style w:type="paragraph" w:customStyle="1" w:styleId="Default">
    <w:name w:val="Default"/>
    <w:qFormat/>
    <w:pPr>
      <w:suppressAutoHyphens/>
      <w:autoSpaceDE w:val="0"/>
    </w:pPr>
    <w:rPr>
      <w:rFonts w:ascii="Times New Roman" w:eastAsia="Times New Roman" w:hAnsi="Times New Roman" w:cs="Times New Roman"/>
      <w:color w:val="000000"/>
      <w:sz w:val="24"/>
      <w:szCs w:val="24"/>
      <w:lang w:eastAsia="zh-CN"/>
    </w:rPr>
  </w:style>
  <w:style w:type="paragraph" w:styleId="Recuodecorpodetexto3">
    <w:name w:val="Body Text Indent 3"/>
    <w:basedOn w:val="Normal"/>
    <w:qFormat/>
    <w:pPr>
      <w:ind w:left="4536"/>
      <w:jc w:val="both"/>
    </w:pPr>
    <w:rPr>
      <w:sz w:val="26"/>
      <w:szCs w:val="20"/>
      <w:lang w:val="en-US"/>
    </w:rPr>
  </w:style>
  <w:style w:type="paragraph" w:styleId="NormalWeb">
    <w:name w:val="Normal (Web)"/>
    <w:basedOn w:val="Normal"/>
    <w:qFormat/>
    <w:pPr>
      <w:spacing w:before="280" w:after="280"/>
    </w:pPr>
  </w:style>
  <w:style w:type="paragraph" w:customStyle="1" w:styleId="HeaderandFooter">
    <w:name w:val="Header and Footer"/>
    <w:basedOn w:val="Normal"/>
    <w:qFormat/>
    <w:pPr>
      <w:suppressLineNumbers/>
      <w:tabs>
        <w:tab w:val="center" w:pos="4819"/>
        <w:tab w:val="right" w:pos="9638"/>
      </w:tabs>
    </w:pPr>
  </w:style>
  <w:style w:type="paragraph" w:styleId="Cabealho">
    <w:name w:val="header"/>
    <w:basedOn w:val="Normal"/>
    <w:rPr>
      <w:lang w:val="en-US"/>
    </w:rPr>
  </w:style>
  <w:style w:type="paragraph" w:styleId="Rodap">
    <w:name w:val="footer"/>
    <w:basedOn w:val="Normal"/>
    <w:rPr>
      <w:lang w:val="en-US"/>
    </w:rPr>
  </w:style>
  <w:style w:type="paragraph" w:customStyle="1" w:styleId="texto2">
    <w:name w:val="texto2"/>
    <w:basedOn w:val="Normal"/>
    <w:qFormat/>
    <w:pPr>
      <w:spacing w:before="280" w:after="280"/>
    </w:pPr>
  </w:style>
  <w:style w:type="paragraph" w:customStyle="1" w:styleId="Recuodecorpodetexto31">
    <w:name w:val="Recuo de corpo de texto 31"/>
    <w:basedOn w:val="Normal"/>
    <w:qFormat/>
    <w:pPr>
      <w:spacing w:line="360" w:lineRule="auto"/>
      <w:ind w:firstLine="2835"/>
      <w:jc w:val="both"/>
    </w:pPr>
    <w:rPr>
      <w:rFonts w:ascii="Trebuchet MS" w:hAnsi="Trebuchet MS" w:cs="Trebuchet MS"/>
    </w:rPr>
  </w:style>
  <w:style w:type="paragraph" w:customStyle="1" w:styleId="artigo">
    <w:name w:val="artigo"/>
    <w:basedOn w:val="Normal"/>
    <w:qFormat/>
    <w:pPr>
      <w:spacing w:before="280" w:after="280"/>
    </w:pPr>
  </w:style>
  <w:style w:type="paragraph" w:styleId="Reviso">
    <w:name w:val="Revision"/>
    <w:qFormat/>
    <w:pPr>
      <w:suppressAutoHyphens/>
    </w:pPr>
    <w:rPr>
      <w:rFonts w:ascii="Times New Roman" w:eastAsia="Times New Roman" w:hAnsi="Times New Roman" w:cs="Times New Roman"/>
      <w:sz w:val="24"/>
      <w:szCs w:val="24"/>
      <w:lang w:eastAsia="zh-CN"/>
    </w:rPr>
  </w:style>
  <w:style w:type="paragraph" w:styleId="Recuodecorpodetexto">
    <w:name w:val="Body Text Indent"/>
    <w:basedOn w:val="Normal"/>
    <w:pPr>
      <w:spacing w:after="120"/>
      <w:ind w:left="283"/>
    </w:pPr>
  </w:style>
  <w:style w:type="paragraph" w:styleId="Corpodetexto2">
    <w:name w:val="Body Text 2"/>
    <w:basedOn w:val="Normal"/>
    <w:qFormat/>
    <w:pPr>
      <w:spacing w:after="120" w:line="480" w:lineRule="auto"/>
    </w:pPr>
  </w:style>
  <w:style w:type="paragraph" w:customStyle="1" w:styleId="Artigo0">
    <w:name w:val="#Artigo"/>
    <w:basedOn w:val="Normal"/>
    <w:qFormat/>
    <w:pPr>
      <w:widowControl w:val="0"/>
      <w:spacing w:after="120"/>
      <w:ind w:firstLine="1134"/>
      <w:jc w:val="both"/>
    </w:pPr>
    <w:rPr>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192EC6-7EA0-4296-B03F-9283DA73D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28</Pages>
  <Words>10007</Words>
  <Characters>54042</Characters>
  <Application>Microsoft Office Word</Application>
  <DocSecurity>0</DocSecurity>
  <Lines>450</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Anderson Souza de Salles</cp:lastModifiedBy>
  <cp:revision>6</cp:revision>
  <dcterms:created xsi:type="dcterms:W3CDTF">2026-09-08T17:02:00Z</dcterms:created>
  <dcterms:modified xsi:type="dcterms:W3CDTF">2026-09-08T19:20:00Z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2026-08-12T13:09:00Z</dcterms:created>
  <dc:creator>Camila Lanverly de Medeiros</dc:creator>
  <dc:description/>
  <cp:keywords/>
  <dc:language>en-US</dc:language>
  <cp:lastModifiedBy>Jose Anderson Souza de Salles</cp:lastModifiedBy>
  <cp:lastPrinted>2025-06-13T11:38:00Z</cp:lastPrinted>
  <dcterms:modified xsi:type="dcterms:W3CDTF">2026-08-12T13:09:00Z</dcterms:modified>
  <cp:revision>2</cp:revision>
  <dc:subject/>
  <dc:title/>
</cp:coreProperties>
</file>