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Processamento de Consultas!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 processar, otimizar e executar consultas de alto nível.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Arvore Algébrica de Consulta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Mapeia a consulta para álgebra relacional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Nós internos: substituídos pela relação resultante.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Nó raiz: último a ser executado.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Otimização</w:t>
      </w:r>
      <w:r w:rsidDel="00000000" w:rsidR="00000000" w:rsidRPr="00000000">
        <w:rPr>
          <w:sz w:val="24"/>
          <w:szCs w:val="24"/>
          <w:rtl w:val="0"/>
        </w:rPr>
        <w:t xml:space="preserve">: determinação do melhor plano de consulta.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Baseada em Regras Heurísticas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 regras heurísticas para modificar a estrutura interna da álgebra.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consulta pode ter várias árvores.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objetivo é encontrar a árvore mais eficiente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Relações Heurísticas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Cascatas de Seleções: 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c1 and c2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 = 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c1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c2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Comutatividade de Seleções: 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c1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c2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 = 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c2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c1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Cascata de Projeções: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Π </w:t>
      </w:r>
      <w:r w:rsidDel="00000000" w:rsidR="00000000" w:rsidRPr="00000000">
        <w:rPr>
          <w:color w:val="252525"/>
          <w:highlight w:val="white"/>
          <w:rtl w:val="0"/>
        </w:rPr>
        <w:t xml:space="preserve">a1,...,an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color w:val="252525"/>
          <w:highlight w:val="white"/>
          <w:rtl w:val="0"/>
        </w:rPr>
        <w:t xml:space="preserve"> =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Π</w:t>
      </w:r>
      <w:r w:rsidDel="00000000" w:rsidR="00000000" w:rsidRPr="00000000">
        <w:rPr>
          <w:color w:val="252525"/>
          <w:highlight w:val="white"/>
          <w:rtl w:val="0"/>
        </w:rPr>
        <w:t xml:space="preserve">a1...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Π</w:t>
      </w:r>
      <w:r w:rsidDel="00000000" w:rsidR="00000000" w:rsidRPr="00000000">
        <w:rPr>
          <w:color w:val="252525"/>
          <w:highlight w:val="white"/>
          <w:rtl w:val="0"/>
        </w:rPr>
        <w:t xml:space="preserve">an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Comutatividade de seleções e projeções: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Π</w:t>
      </w:r>
      <w:r w:rsidDel="00000000" w:rsidR="00000000" w:rsidRPr="00000000">
        <w:rPr>
          <w:color w:val="252525"/>
          <w:highlight w:val="white"/>
          <w:rtl w:val="0"/>
        </w:rPr>
        <w:t xml:space="preserve">a1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 = 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Π</w:t>
      </w:r>
      <w:r w:rsidDel="00000000" w:rsidR="00000000" w:rsidRPr="00000000">
        <w:rPr>
          <w:color w:val="252525"/>
          <w:highlight w:val="white"/>
          <w:rtl w:val="0"/>
        </w:rPr>
        <w:t xml:space="preserve">a1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Comutatividade de Produto Cartesiano: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S = S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Comutatividade de seleção e produto cartesiano: 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(R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S) = (</w:t>
      </w:r>
      <w:r w:rsidDel="00000000" w:rsidR="00000000" w:rsidRPr="00000000">
        <w:rPr>
          <w:color w:val="252525"/>
          <w:sz w:val="48"/>
          <w:szCs w:val="48"/>
          <w:highlight w:val="white"/>
          <w:rtl w:val="0"/>
        </w:rPr>
        <w:t xml:space="preserve">σ</w:t>
      </w:r>
      <w:r w:rsidDel="00000000" w:rsidR="00000000" w:rsidRPr="00000000">
        <w:rPr>
          <w:color w:val="252525"/>
          <w:highlight w:val="white"/>
          <w:rtl w:val="0"/>
        </w:rPr>
        <w:t xml:space="preserve">c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R)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Comutatividade de projeção e produto cartesiano: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Π</w:t>
      </w:r>
      <w:r w:rsidDel="00000000" w:rsidR="00000000" w:rsidRPr="00000000">
        <w:rPr>
          <w:color w:val="252525"/>
          <w:highlight w:val="white"/>
          <w:rtl w:val="0"/>
        </w:rPr>
        <w:t xml:space="preserve">a1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(R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S) = (Π</w:t>
      </w:r>
      <w:r w:rsidDel="00000000" w:rsidR="00000000" w:rsidRPr="00000000">
        <w:rPr>
          <w:color w:val="252525"/>
          <w:highlight w:val="white"/>
          <w:rtl w:val="0"/>
        </w:rPr>
        <w:t xml:space="preserve">a1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R)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Comutatividade de Operações de Conjunto: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S = S+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Otimização baseada em estimativas de custo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otimização do disco em cilindros, trilhos e setores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-custo de acesso a disco: seek+latencia+transferencia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Operação de Junção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-Nested Loop Join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-Single Loop Join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-Sort Merge Join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-Hash Join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8"/>
          <w:szCs w:val="28"/>
          <w:highlight w:val="white"/>
        </w:rPr>
      </w:pP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 xml:space="preserve">Custos associados: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-Custo de acesso a memória secundária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-custo de armazenamento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-custo de computação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-custo relacionado ao uso de memória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ab/>
        <w:t xml:space="preserve">-custo de comunicação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