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diferenças entre partes interessadas primárias e  secundárias?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Estão diretamente relacionados com a cadeia de valor da empresa.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2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Empregados (gestores e operacionais diretos e indiretos);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Investidores e proprietário;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Clientes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40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Fornecedores e parceiros.</w:t>
      </w:r>
    </w:p>
    <w:p w:rsidR="00000000" w:rsidDel="00000000" w:rsidP="00000000" w:rsidRDefault="00000000" w:rsidRPr="00000000" w14:paraId="00000008">
      <w:pPr>
        <w:shd w:fill="ffffff" w:val="clear"/>
        <w:spacing w:after="400" w:line="406.9565217391305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Público que tem interesse e influência no negócio mesmo sem participar diretamente de sua cadeia de valor.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20" w:line="406.9565217391305" w:lineRule="auto"/>
        <w:ind w:left="10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Governo /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Legislação – ONGs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/ Sociedade civil;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Sindicatos;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Mídia;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Associações comerciais;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Competidores;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400" w:before="0" w:beforeAutospacing="0" w:line="406.9565217391305" w:lineRule="auto"/>
        <w:ind w:left="10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Comunidade local.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principais habilidades que devem ser exercidas por um gerente de projetos ao gerenciar as partes interessadas de um projeto?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Bom relacionamento, confiança, boa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barreiras para uma eficaz gestão das partes interessadas?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Barreiras Pessoais/Humanas:  as interferências decorrentes das limitações, emoções, valores de cada pessoa e cultura.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Barreiras Físicas: são as interferências presentes no ambiente onde ocorre o processo de comunicação.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Barreiras Semânticas:são as limitações decorrentes dos símbolos, por meio dos quais a comunicação é feita.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