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ETEC - </w:t>
      </w:r>
      <w:r>
        <w:rPr>
          <w:b/>
          <w:bCs/>
          <w:sz w:val="28"/>
          <w:szCs w:val="28"/>
        </w:rPr>
        <w:t xml:space="preserve">Adolpho </w:t>
      </w:r>
      <w:r>
        <w:rPr>
          <w:b/>
          <w:bCs/>
          <w:sz w:val="28"/>
          <w:szCs w:val="28"/>
        </w:rPr>
        <w:t xml:space="preserve">Berezin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1024"/>
        <w:suppressLineNumbers w:val="false"/>
        <w:pBdr/>
        <w:bidi w:val="false"/>
        <w:spacing w:after="120" w:afterAutospacing="0" w:before="0" w:beforeAutospacing="0" w:line="360" w:lineRule="auto"/>
        <w:ind w:right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STARTUP – TURISTANDO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EDUARDO SOAREZ E ARAÚJO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2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FELIPE DA CRUZ SOAREZ SANCHES</w:t>
      </w:r>
      <w:r/>
    </w:p>
    <w:p>
      <w:pPr>
        <w:pStyle w:val="102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GABRIELLI FERNANDA BUENO BATISTA </w:t>
      </w:r>
      <w:r/>
    </w:p>
    <w:p>
      <w:pPr>
        <w:pStyle w:val="102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HENRIQUE BUENO CARVALHO DA SILVA </w:t>
      </w:r>
      <w:r/>
    </w:p>
    <w:p>
      <w:pPr>
        <w:pStyle w:val="102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PEDRO RODRIGUES ALMEIDA </w:t>
      </w:r>
      <w:r/>
    </w:p>
    <w:p>
      <w:pPr>
        <w:pStyle w:val="102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RHYAN GUILHERME DE SOUZA CAIRES</w:t>
      </w:r>
      <w:r/>
    </w:p>
    <w:p>
      <w:pPr>
        <w:pStyle w:val="1024"/>
        <w:pBdr/>
        <w:spacing/>
        <w:ind/>
        <w:jc w:val="center"/>
        <w:rPr/>
      </w:pP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t xml:space="preserve"> </w:t>
      </w:r>
      <w:r/>
    </w:p>
    <w:p>
      <w:pPr>
        <w:pStyle w:val="1024"/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MONGAGUÁ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Calibri Light" w:hAnsi="Calibri Light"/>
          <w:color w:val="2f5496"/>
          <w:sz w:val="28"/>
          <w:szCs w:val="28"/>
        </w:rPr>
        <w:sectPr>
          <w:headerReference w:type="default" r:id="rId9"/>
          <w:footnotePr/>
          <w:endnotePr/>
          <w:type w:val="nextPage"/>
          <w:pgSz w:h="16838" w:orient="portrait" w:w="11906"/>
          <w:pgMar w:top="1701" w:right="1134" w:bottom="1134" w:left="1701" w:header="708" w:footer="708" w:gutter="0"/>
          <w:cols w:num="1" w:sep="0" w:space="708" w:equalWidth="1"/>
        </w:sectPr>
      </w:pP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  <w:t xml:space="preserve">02</w:t>
      </w:r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 </w:t>
      </w:r>
      <w:r>
        <w:rPr>
          <w:rFonts w:ascii="Calibri Light" w:hAnsi="Calibri Light"/>
          <w:color w:val="2f5496"/>
          <w:sz w:val="28"/>
          <w:szCs w:val="28"/>
        </w:rPr>
      </w:r>
      <w:r>
        <w:rPr>
          <w:rFonts w:ascii="Calibri Light" w:hAnsi="Calibri Light"/>
          <w:color w:val="2f5496"/>
          <w:sz w:val="28"/>
          <w:szCs w:val="28"/>
        </w:rPr>
      </w:r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25"/>
        <w:suppressLineNumbers w:val="false"/>
        <w:pBdr/>
        <w:bidi w:val="false"/>
        <w:spacing w:after="120" w:afterAutospacing="0" w:before="0" w:beforeAutospacing="0" w:line="360" w:lineRule="auto"/>
        <w:ind w:right="0" w:left="0"/>
        <w:jc w:val="left"/>
        <w:rPr/>
      </w:pPr>
      <w:r>
        <w:t xml:space="preserve">PITCH</w:t>
      </w:r>
      <w:r>
        <w:t xml:space="preserve">-5 MINUTOS</w:t>
      </w:r>
      <w:r/>
    </w:p>
    <w:p>
      <w:pPr>
        <w:pStyle w:val="1024"/>
        <w:pBdr/>
        <w:bidi w:val="false"/>
        <w:spacing/>
        <w:ind/>
        <w:rPr/>
      </w:pPr>
      <w:r/>
      <w:r/>
    </w:p>
    <w:p>
      <w:pPr>
        <w:pStyle w:val="1024"/>
        <w:pBdr/>
        <w:bidi w:val="false"/>
        <w:spacing/>
        <w:ind/>
        <w:rPr/>
      </w:pPr>
      <w:r/>
      <w:r/>
    </w:p>
    <w:p>
      <w:pPr>
        <w:pStyle w:val="1025"/>
        <w:pBdr/>
        <w:bidi w:val="false"/>
        <w:spacing/>
        <w:ind/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lang w:val="pt-BR"/>
        </w:rPr>
        <w:t xml:space="preserve">TARIFAS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25"/>
        <w:numPr>
          <w:ilvl w:val="0"/>
          <w:numId w:val="3"/>
        </w:numPr>
        <w:pBdr/>
        <w:bidi w:val="false"/>
        <w:spacing/>
        <w:ind/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pPr>
      <w:r>
        <w:rPr>
          <w:b w:val="0"/>
          <w:bCs w:val="0"/>
          <w:i/>
          <w:iCs/>
          <w:lang w:val="pt-BR"/>
        </w:rPr>
        <w:t xml:space="preserve">MONGAGUÁ</w:t>
      </w:r>
      <w:r>
        <w:rPr>
          <w:b w:val="0"/>
          <w:bCs w:val="0"/>
          <w:i/>
          <w:iCs/>
          <w:lang w:val="pt-BR"/>
        </w:rPr>
        <w:t xml:space="preserve"> 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24"/>
        <w:pBdr/>
        <w:bidi w:val="false"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Segundo a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L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ei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Municipal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2.339/2009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e a Lei Municipal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2.568/2012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o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acesso, circulação e estacionamento de veículos de fretamento turístico (ônibus,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microonibus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e vans), com capacidade acima de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10 passageiros,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provindos de outros municípios, somente serão permitidos nos limites de Mongaguá, com a concessão de alvará de licença, emitida pela Diretoria Municipal de Administração.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26"/>
        <w:pBdr/>
        <w:bidi w:val="false"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tbl>
      <w:tblPr>
        <w:tblStyle w:val="1050"/>
        <w:jc w:val="center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3020"/>
        <w:gridCol w:w="3020"/>
      </w:tblGrid>
      <w:tr>
        <w:trPr>
          <w:trHeight w:val="30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020" w:type="dxa"/>
            <w:vAlign w:val="center"/>
            <w:textDirection w:val="lrTb"/>
            <w:noWrap w:val="false"/>
          </w:tcPr>
          <w:p>
            <w:pPr>
              <w:pStyle w:val="1024"/>
              <w:pBdr/>
              <w:bidi w:val="false"/>
              <w:spacing/>
              <w:ind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VEICULOS </w:t>
            </w:r>
            <w:r>
              <w:rPr>
                <w:b/>
                <w:bCs/>
                <w:lang w:val="pt-BR"/>
              </w:rPr>
            </w:r>
            <w:r>
              <w:rPr>
                <w:b/>
                <w:bCs/>
                <w:lang w:val="pt-BR"/>
              </w:rPr>
            </w:r>
          </w:p>
        </w:tc>
        <w:tc>
          <w:tcPr>
            <w:tcBorders>
              <w:left w:val="single" w:color="000000" w:themeColor="text1" w:sz="12" w:space="0"/>
            </w:tcBorders>
            <w:tcW w:w="3020" w:type="dxa"/>
            <w:vAlign w:val="center"/>
            <w:textDirection w:val="lrTb"/>
            <w:noWrap w:val="false"/>
          </w:tcPr>
          <w:p>
            <w:pPr>
              <w:pStyle w:val="1024"/>
              <w:pBdr/>
              <w:bidi w:val="false"/>
              <w:spacing/>
              <w:ind/>
              <w:jc w:val="center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</w:pPr>
            <w:r>
              <w:rPr>
                <w:b/>
                <w:bCs/>
                <w:lang w:val="pt-BR"/>
              </w:rPr>
              <w:t xml:space="preserve">TAXAS</w:t>
            </w: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</w: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themeColor="text1" w:sz="12" w:space="0"/>
            </w:tcBorders>
            <w:tcW w:w="3020" w:type="dxa"/>
            <w:textDirection w:val="lrTb"/>
            <w:noWrap w:val="false"/>
          </w:tcPr>
          <w:p>
            <w:pPr>
              <w:pStyle w:val="102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Ônibus</w:t>
            </w:r>
            <w:r/>
          </w:p>
        </w:tc>
        <w:tc>
          <w:tcPr>
            <w:tcBorders/>
            <w:tcW w:w="3020" w:type="dxa"/>
            <w:textDirection w:val="lrTb"/>
            <w:noWrap w:val="false"/>
          </w:tcPr>
          <w:p>
            <w:pPr>
              <w:pStyle w:val="102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R$ 999,54</w:t>
            </w:r>
            <w:r/>
          </w:p>
        </w:tc>
      </w:tr>
      <w:tr>
        <w:trPr>
          <w:trHeight w:val="300"/>
        </w:trPr>
        <w:tc>
          <w:tcPr>
            <w:tcBorders/>
            <w:tcW w:w="3020" w:type="dxa"/>
            <w:textDirection w:val="lrTb"/>
            <w:noWrap w:val="false"/>
          </w:tcPr>
          <w:p>
            <w:pPr>
              <w:pStyle w:val="102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Micro-ônibus</w:t>
            </w:r>
            <w:r/>
          </w:p>
        </w:tc>
        <w:tc>
          <w:tcPr>
            <w:tcBorders/>
            <w:tcW w:w="3020" w:type="dxa"/>
            <w:textDirection w:val="lrTb"/>
            <w:noWrap w:val="false"/>
          </w:tcPr>
          <w:p>
            <w:pPr>
              <w:pStyle w:val="102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R$ 814,44</w:t>
            </w:r>
            <w:r/>
          </w:p>
        </w:tc>
      </w:tr>
      <w:tr>
        <w:trPr>
          <w:trHeight w:val="300"/>
        </w:trPr>
        <w:tc>
          <w:tcPr>
            <w:tcBorders/>
            <w:tcW w:w="3020" w:type="dxa"/>
            <w:textDirection w:val="lrTb"/>
            <w:noWrap w:val="false"/>
          </w:tcPr>
          <w:p>
            <w:pPr>
              <w:pStyle w:val="102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Vans</w:t>
            </w:r>
            <w:r/>
          </w:p>
        </w:tc>
        <w:tc>
          <w:tcPr>
            <w:tcBorders/>
            <w:tcW w:w="3020" w:type="dxa"/>
            <w:textDirection w:val="lrTb"/>
            <w:noWrap w:val="false"/>
          </w:tcPr>
          <w:p>
            <w:pPr>
              <w:pStyle w:val="102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R$ 629,34</w:t>
            </w:r>
            <w:r/>
          </w:p>
        </w:tc>
      </w:tr>
    </w:tbl>
    <w:p>
      <w:pPr>
        <w:pStyle w:val="1026"/>
        <w:pBdr/>
        <w:bidi w:val="false"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025"/>
        <w:pBdr/>
        <w:bidi w:val="false"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bidi w:val="false"/>
        <w:spacing/>
        <w:ind/>
        <w:rPr/>
      </w:pPr>
      <w:r>
        <w:br w:type="page" w:clear="all"/>
      </w:r>
      <w:r/>
    </w:p>
    <w:p>
      <w:pPr>
        <w:pStyle w:val="1025"/>
        <w:numPr>
          <w:ilvl w:val="0"/>
          <w:numId w:val="3"/>
        </w:numPr>
        <w:pBdr/>
        <w:bidi w:val="false"/>
        <w:spacing/>
        <w:ind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 xml:space="preserve">ITANHAÉM</w:t>
      </w:r>
      <w:r>
        <w:rPr>
          <w:b/>
          <w:bCs/>
          <w:i/>
          <w:iCs/>
          <w:lang w:val="pt-BR"/>
        </w:rPr>
      </w:r>
      <w:r>
        <w:rPr>
          <w:b/>
          <w:bCs/>
          <w:i/>
          <w:iCs/>
          <w:lang w:val="pt-BR"/>
        </w:rPr>
      </w:r>
    </w:p>
    <w:p>
      <w:pPr>
        <w:pStyle w:val="1024"/>
        <w:pBdr/>
        <w:spacing/>
        <w:ind/>
        <w:rPr/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Al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ém das altas tarifas, a regulamentação exige que os veículos de fretamento obtenham uma Autorização para Circulação de Veículos de Fretamento, emitida pela Secretaria Municipal de Turismo. Para isso, é necessário seguir um processo burocrático, que inclui:</w:t>
      </w:r>
      <w:r/>
    </w:p>
    <w:p>
      <w:pPr>
        <w:pStyle w:val="104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Preenchimento de um formulário específico disponível online;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4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Listagem completa de passageiros;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4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Pagamento das taxas via transferência bancária ou PIX;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4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Envio dos documentos e comprovantes por e-mail, com antecedência mínima de cinco dias úteis.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24"/>
        <w:pBdr/>
        <w:spacing/>
        <w:ind/>
        <w:rPr/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A autorização, que tem validade de apenas sete dias, permite a entrada no município e permanência no estacionamento do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destino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mas não garante a circulação dos veículos pela cidade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 limitando ainda mais a experiência dos turistas. O descumprimento das regras pode resultar em uma multa de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500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UF’s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 ou R$ 2.350,00.</w:t>
      </w:r>
      <w:r/>
    </w:p>
    <w:p>
      <w:pPr>
        <w:pStyle w:val="1049"/>
        <w:numPr>
          <w:ilvl w:val="0"/>
          <w:numId w:val="3"/>
        </w:numPr>
        <w:pBdr/>
        <w:bidi w:val="false"/>
        <w:spacing/>
        <w:ind/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  <w:t xml:space="preserve">PERU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  <w:t xml:space="preserve">Í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  <w:t xml:space="preserve">BE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102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Seção II,</w:t>
      </w:r>
      <w:r/>
    </w:p>
    <w:p>
      <w:pPr>
        <w:pStyle w:val="102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Da Solicitação de Autorização de Acesso,</w:t>
      </w:r>
      <w:r/>
    </w:p>
    <w:p>
      <w:pPr>
        <w:pStyle w:val="102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Art. 11- A solicitação de autorização de acesso deverá ser feita pelo interessado, à Secretaria Municipal de Turismo, Cultura e Esportes, em formulário próprio. § 1º- O requerimento deve ser acompanhado das seguintes informações:</w:t>
      </w:r>
      <w:r/>
    </w:p>
    <w:p>
      <w:pPr>
        <w:pStyle w:val="102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IX- </w:t>
      </w:r>
      <w:r>
        <w:rPr>
          <w:rFonts w:ascii="Open Sans" w:hAnsi="Open Sans" w:eastAsia="Open Sans" w:cs="Open Sans"/>
          <w:sz w:val="24"/>
          <w:szCs w:val="24"/>
          <w:lang w:val="pt-BR"/>
        </w:rPr>
        <w:t xml:space="preserve">comprovante</w:t>
      </w:r>
      <w:r>
        <w:rPr>
          <w:rFonts w:ascii="Open Sans" w:hAnsi="Open Sans" w:eastAsia="Open Sans" w:cs="Open Sans"/>
          <w:sz w:val="24"/>
          <w:szCs w:val="24"/>
          <w:lang w:val="pt-BR"/>
        </w:rPr>
        <w:t xml:space="preserve"> de recolhimento da tarifa correspondente;</w:t>
      </w:r>
      <w:r/>
    </w:p>
    <w:p>
      <w:pPr>
        <w:pStyle w:val="102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8571" cy="1457143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496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28571" cy="1457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3.19pt;height:114.7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1024"/>
        <w:pBdr/>
        <w:spacing/>
        <w:ind/>
        <w:rPr/>
      </w:pPr>
      <w:r/>
      <w:r/>
    </w:p>
    <w:p>
      <w:pPr>
        <w:pStyle w:val="1025"/>
        <w:pBdr/>
        <w:bidi w:val="false"/>
        <w:spacing/>
        <w:ind/>
        <w:rPr>
          <w:lang w:val="pt-BR"/>
        </w:rPr>
      </w:pPr>
      <w:r>
        <w:rPr>
          <w:lang w:val="pt-BR"/>
        </w:rPr>
        <w:t xml:space="preserve">FUNDAMENTAÇÃO </w:t>
      </w:r>
      <w:r>
        <w:rPr>
          <w:lang w:val="pt-BR"/>
        </w:rPr>
      </w:r>
      <w:r>
        <w:rPr>
          <w:lang w:val="pt-BR"/>
        </w:rPr>
      </w:r>
    </w:p>
    <w:p>
      <w:pPr>
        <w:pStyle w:val="1049"/>
        <w:numPr>
          <w:ilvl w:val="0"/>
          <w:numId w:val="1"/>
        </w:numPr>
        <w:pBdr/>
        <w:bidi w:val="false"/>
        <w:spacing/>
        <w:ind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 xml:space="preserve">DESTINOS INTELIGENTES </w:t>
      </w:r>
      <w:r>
        <w:rPr>
          <w:b/>
          <w:bCs/>
          <w:i/>
          <w:iCs/>
          <w:lang w:val="pt-BR"/>
        </w:rPr>
      </w:r>
      <w:r>
        <w:rPr>
          <w:b/>
          <w:bCs/>
          <w:i/>
          <w:iCs/>
          <w:lang w:val="pt-BR"/>
        </w:rPr>
      </w:r>
    </w:p>
    <w:p>
      <w:pPr>
        <w:pStyle w:val="1024"/>
        <w:pBdr/>
        <w:bidi w:val="false"/>
        <w:spacing w:after="0" w:afterAutospacing="0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O projeto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‘’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Destinos Inteligentes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’’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 foi iniciado de forma piloto com a participação de duas cidades de cada região do Brasil, ou seja, sua implantação inicial contemplou todas as cinco grandes regiões do país. As cidades piloto foram: Rio Branco (AC) e Palmas (TO) na re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gião Norte; Recife (PE) e Salvador (BA) no Nordeste; Campo Grande (MS) e Brasília (DF) no Centro-Oeste; Florianópolis (SC) e Curitiba (PR) na região Sul; e Rio de Janeiro (RJ) e Angra dos Reis (RJ) na região Sudeste. Isso significa que o projeto não teve u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ma única região de início, mas sim uma implementação simultânea diversificada em todas as regiões brasileiras para apoiar a transformação dos destinos turísticos locais com foco em inovação, sustentabilidade e melhor experiência para visitantes e </w:t>
      </w:r>
      <w:r>
        <w:rPr>
          <w:lang w:val="pt-BR"/>
        </w:rPr>
        <w:t xml:space="preserve">gestores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.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</w:p>
    <w:p>
      <w:pPr>
        <w:pStyle w:val="1024"/>
        <w:suppressLineNumbers w:val="false"/>
        <w:pBdr/>
        <w:bidi w:val="false"/>
        <w:spacing/>
        <w:ind w:firstLine="720" w:left="0"/>
        <w:rPr/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Os </w:t>
      </w:r>
      <w:r>
        <w:rPr>
          <w:lang w:val="pt-BR"/>
        </w:rPr>
        <w:t xml:space="preserve">benefícios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proporcionados pelo 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ite e pelo sistema incluem a melhoria na experiência do turista, que pode acessar informações como mapas interativos, calendário de eventos, opções de hospedagem e alimentação, rotas personalizadas e detalhes sobre acessibilidade, tudo em vários idiomas e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geolocalizado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. Para gestores, o sistema fornece uma visão consolidada para melhor planejamento, estudos de demanda e gestão do Plano Diretor do Turismo, ajudando na tomada de decisões estratégicas. Além disso, a startup Destinos Inteligentes foi reconhecida como a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GovTech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 mais inovadora do Brasil pelo programa de aceleração da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EmbraturLab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 e já opera em diversos municípios brasileiros, expandindo seu impacto no setor.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/>
    </w:p>
    <w:p>
      <w:pPr>
        <w:pStyle w:val="1024"/>
        <w:pBdr/>
        <w:bidi w:val="false"/>
        <w:spacing/>
        <w:ind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</w:p>
    <w:p>
      <w:pPr>
        <w:pStyle w:val="1024"/>
        <w:pBdr/>
        <w:bidi w:val="false"/>
        <w:spacing/>
        <w:ind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sectPr>
          <w:headerReference w:type="default" r:id="rId10"/>
          <w:headerReference w:type="first" r:id="rId11"/>
          <w:footnotePr/>
          <w:endnotePr/>
          <w:type w:val="nextPage"/>
          <w:pgSz w:h="16838" w:orient="portrait" w:w="11906"/>
          <w:pgMar w:top="1701" w:right="1134" w:bottom="1134" w:left="1701" w:header="708" w:footer="708" w:gutter="0"/>
          <w:cols w:num="1" w:sep="0" w:space="708" w:equalWidth="1"/>
        </w:sect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</w:p>
    <w:p>
      <w:pPr>
        <w:pBdr/>
        <w:spacing/>
        <w:ind/>
        <w:rPr/>
      </w:pPr>
      <w:r/>
    </w:p>
    <w:sectPr>
      <w:headerReference w:type="default" r:id="rId12"/>
      <w:headerReference w:type="first" r:id="rId13"/>
      <w:footnotePr/>
      <w:endnotePr/>
      <w:type w:val="nextPage"/>
      <w:pgSz w:h="16838" w:orient="portrait" w:w="11906"/>
      <w:pgMar w:top="1701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00000000000000000"/>
  </w:font>
  <w:font w:name="Courier New">
    <w:panose1 w:val="02070309020205020404"/>
  </w:font>
  <w:font w:name="Calibri Light">
    <w:panose1 w:val="020F0302020204030204"/>
  </w:font>
  <w:font w:name="Symbol">
    <w:panose1 w:val="05050102010706020507"/>
  </w:font>
  <w:font w:name="system-ui">
    <w:panose1 w:val="05040102010807070707"/>
  </w:font>
  <w:font w:name="Arial">
    <w:panose1 w:val="020B0604020202020204"/>
  </w:font>
  <w:font w:name="Times New Roman">
    <w:panose1 w:val="02020603050405020304"/>
  </w:font>
  <w:font w:name="Aptos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808990" cy="777875"/>
              <wp:effectExtent l="0" t="0" r="0" b="0"/>
              <wp:docPr id="1" name="Imagem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m 3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808989" cy="777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63.70pt;height:61.25pt;mso-wrap-distance-left:0.00pt;mso-wrap-distance-top:0.00pt;mso-wrap-distance-right:0.00pt;mso-wrap-distance-bottom:0.00pt;flip:x;z-index:1;" stroked="f">
              <v:imagedata r:id="rId1" o:title=""/>
              <o:lock v:ext="edit" rotation="t"/>
            </v:shape>
          </w:pict>
        </mc:Fallback>
      </mc:AlternateContent>
    </w:r>
    <w:r>
      <w:t xml:space="preserve">          </w:t>
    </w:r>
    <w:r>
      <w:rPr>
        <w:sz w:val="12"/>
        <w:szCs w:val="12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604895" cy="662305"/>
              <wp:effectExtent l="0" t="0" r="0" b="0"/>
              <wp:docPr id="2" name="Imagem 1" descr="logo-novo-cps-cor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m 1" descr="logo-novo-cps-cor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604895" cy="662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83.85pt;height:52.1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rPr>
        <w:sz w:val="12"/>
        <w:szCs w:val="12"/>
      </w:rPr>
      <w:br/>
    </w:r>
    <w:r>
      <w:t xml:space="preserve">______________________________________________________________</w:t>
    </w:r>
    <w:r/>
  </w:p>
  <w:p>
    <w:pPr>
      <w:pStyle w:val="1034"/>
      <w:pBdr/>
      <w:spacing/>
      <w:ind/>
      <w:jc w:val="center"/>
      <w:rPr/>
    </w:pPr>
    <w:r>
      <w:t xml:space="preserve">Unidade de Ensino Médio e Técnico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808990" cy="777875"/>
              <wp:effectExtent l="0" t="0" r="0" b="0"/>
              <wp:docPr id="3" name="Imagem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 3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808989" cy="777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width:63.70pt;height:61.25pt;mso-wrap-distance-left:0.00pt;mso-wrap-distance-top:0.00pt;mso-wrap-distance-right:0.00pt;mso-wrap-distance-bottom:0.00pt;flip:x;z-index:1;" stroked="f">
              <v:imagedata r:id="rId1" o:title=""/>
              <o:lock v:ext="edit" rotation="t"/>
            </v:shape>
          </w:pict>
        </mc:Fallback>
      </mc:AlternateContent>
    </w:r>
    <w:r>
      <w:t xml:space="preserve">         </w:t>
    </w:r>
    <w:r>
      <w:rPr>
        <w:sz w:val="12"/>
        <w:szCs w:val="12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604895" cy="662305"/>
              <wp:effectExtent l="0" t="0" r="0" b="0"/>
              <wp:docPr id="4" name="Imagem 4" descr="logo-novo-cps-cor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 4" descr="logo-novo-cps-cor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604895" cy="662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width:283.85pt;height:52.1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rPr>
        <w:sz w:val="12"/>
        <w:szCs w:val="12"/>
      </w:rPr>
      <w:br/>
    </w:r>
    <w:r>
      <w:t xml:space="preserve">______________________________________________________________</w:t>
    </w:r>
    <w:r/>
  </w:p>
  <w:p>
    <w:pPr>
      <w:pBdr/>
      <w:spacing/>
      <w:ind/>
      <w:jc w:val="center"/>
      <w:rPr>
        <w:sz w:val="16"/>
        <w:szCs w:val="16"/>
      </w:rPr>
    </w:pPr>
    <w:r>
      <w:t xml:space="preserve">Unidade de Ensino Médio e Técnico</w:t>
    </w:r>
    <w:r>
      <w:rPr>
        <w:sz w:val="16"/>
        <w:szCs w:val="16"/>
      </w:rPr>
    </w:r>
    <w:r>
      <w:rPr>
        <w:sz w:val="16"/>
        <w:szCs w:val="16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10</w:t>
    </w:r>
    <w:r>
      <w:fldChar w:fldCharType="end"/>
    </w:r>
    <w:r/>
  </w:p>
  <w:p>
    <w:pPr>
      <w:pStyle w:val="1034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4"/>
      <w:pBdr/>
      <w:spacing/>
      <w:ind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3</w:t>
    </w:r>
    <w:r>
      <w:fldChar w:fldCharType="end"/>
    </w:r>
    <w:r/>
  </w:p>
  <w:p>
    <w:pPr>
      <w:pStyle w:val="103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109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0B896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EE0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4F590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F20132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97A1A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6">
    <w:name w:val="Table Grid Light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1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2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1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2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3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4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5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6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1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2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3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4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5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6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1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2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3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4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5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6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Heading 3"/>
    <w:basedOn w:val="1024"/>
    <w:next w:val="1024"/>
    <w:link w:val="9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2">
    <w:name w:val="Heading 4"/>
    <w:basedOn w:val="1024"/>
    <w:next w:val="1024"/>
    <w:link w:val="9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3">
    <w:name w:val="Heading 5"/>
    <w:basedOn w:val="1024"/>
    <w:next w:val="1024"/>
    <w:link w:val="9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4">
    <w:name w:val="Heading 6"/>
    <w:basedOn w:val="1024"/>
    <w:next w:val="1024"/>
    <w:link w:val="9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5">
    <w:name w:val="Heading 7"/>
    <w:basedOn w:val="1024"/>
    <w:next w:val="1024"/>
    <w:link w:val="9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6">
    <w:name w:val="Heading 8"/>
    <w:basedOn w:val="1024"/>
    <w:next w:val="1024"/>
    <w:link w:val="9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7">
    <w:name w:val="Heading 9"/>
    <w:basedOn w:val="1024"/>
    <w:next w:val="1024"/>
    <w:link w:val="9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8">
    <w:name w:val="Heading 1 Char"/>
    <w:basedOn w:val="1027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9">
    <w:name w:val="Heading 2 Char"/>
    <w:basedOn w:val="1027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0">
    <w:name w:val="Heading 3 Char"/>
    <w:basedOn w:val="1027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1">
    <w:name w:val="Heading 4 Char"/>
    <w:basedOn w:val="1027"/>
    <w:link w:val="9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2">
    <w:name w:val="Heading 5 Char"/>
    <w:basedOn w:val="1027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3">
    <w:name w:val="Heading 6 Char"/>
    <w:basedOn w:val="1027"/>
    <w:link w:val="9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4">
    <w:name w:val="Heading 7 Char"/>
    <w:basedOn w:val="1027"/>
    <w:link w:val="9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5">
    <w:name w:val="Heading 8 Char"/>
    <w:basedOn w:val="1027"/>
    <w:link w:val="9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6">
    <w:name w:val="Heading 9 Char"/>
    <w:basedOn w:val="1027"/>
    <w:link w:val="9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7">
    <w:name w:val="Title"/>
    <w:basedOn w:val="1024"/>
    <w:next w:val="1024"/>
    <w:link w:val="9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8">
    <w:name w:val="Title Char"/>
    <w:basedOn w:val="1027"/>
    <w:link w:val="9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9">
    <w:name w:val="Subtitle Char"/>
    <w:basedOn w:val="1027"/>
    <w:link w:val="10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0">
    <w:name w:val="Quote"/>
    <w:basedOn w:val="1024"/>
    <w:next w:val="1024"/>
    <w:link w:val="10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1">
    <w:name w:val="Quote Char"/>
    <w:basedOn w:val="1027"/>
    <w:link w:val="10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Intense Emphasis"/>
    <w:basedOn w:val="10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3">
    <w:name w:val="Intense Quote"/>
    <w:basedOn w:val="1024"/>
    <w:next w:val="1024"/>
    <w:link w:val="10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4">
    <w:name w:val="Intense Quote Char"/>
    <w:basedOn w:val="1027"/>
    <w:link w:val="10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5">
    <w:name w:val="Intense Reference"/>
    <w:basedOn w:val="10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6">
    <w:name w:val="No Spacing"/>
    <w:basedOn w:val="1024"/>
    <w:uiPriority w:val="1"/>
    <w:qFormat/>
    <w:pPr>
      <w:pBdr/>
      <w:spacing w:after="0" w:line="240" w:lineRule="auto"/>
      <w:ind/>
    </w:pPr>
  </w:style>
  <w:style w:type="character" w:styleId="1007">
    <w:name w:val="Subtle Emphasis"/>
    <w:basedOn w:val="10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8">
    <w:name w:val="Emphasis"/>
    <w:basedOn w:val="1027"/>
    <w:uiPriority w:val="20"/>
    <w:qFormat/>
    <w:pPr>
      <w:pBdr/>
      <w:spacing/>
      <w:ind/>
    </w:pPr>
    <w:rPr>
      <w:i/>
      <w:iCs/>
    </w:rPr>
  </w:style>
  <w:style w:type="character" w:styleId="1009">
    <w:name w:val="Strong"/>
    <w:basedOn w:val="1027"/>
    <w:uiPriority w:val="22"/>
    <w:qFormat/>
    <w:pPr>
      <w:pBdr/>
      <w:spacing/>
      <w:ind/>
    </w:pPr>
    <w:rPr>
      <w:b/>
      <w:bCs/>
    </w:rPr>
  </w:style>
  <w:style w:type="character" w:styleId="1010">
    <w:name w:val="Subtle Reference"/>
    <w:basedOn w:val="10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1">
    <w:name w:val="Book Title"/>
    <w:basedOn w:val="102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2">
    <w:name w:val="Header Char"/>
    <w:basedOn w:val="1027"/>
    <w:link w:val="1034"/>
    <w:uiPriority w:val="99"/>
    <w:pPr>
      <w:pBdr/>
      <w:spacing/>
      <w:ind/>
    </w:pPr>
  </w:style>
  <w:style w:type="character" w:styleId="1013">
    <w:name w:val="Footer Char"/>
    <w:basedOn w:val="1027"/>
    <w:link w:val="1036"/>
    <w:uiPriority w:val="99"/>
    <w:pPr>
      <w:pBdr/>
      <w:spacing/>
      <w:ind/>
    </w:pPr>
  </w:style>
  <w:style w:type="paragraph" w:styleId="1014">
    <w:name w:val="Caption"/>
    <w:basedOn w:val="1024"/>
    <w:next w:val="10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5">
    <w:name w:val="footnote text"/>
    <w:basedOn w:val="1024"/>
    <w:link w:val="10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6">
    <w:name w:val="Footnote Text Char"/>
    <w:basedOn w:val="1027"/>
    <w:link w:val="1015"/>
    <w:uiPriority w:val="99"/>
    <w:semiHidden/>
    <w:pPr>
      <w:pBdr/>
      <w:spacing/>
      <w:ind/>
    </w:pPr>
    <w:rPr>
      <w:sz w:val="20"/>
      <w:szCs w:val="20"/>
    </w:rPr>
  </w:style>
  <w:style w:type="character" w:styleId="1017">
    <w:name w:val="footnote reference"/>
    <w:basedOn w:val="1027"/>
    <w:uiPriority w:val="99"/>
    <w:semiHidden/>
    <w:unhideWhenUsed/>
    <w:pPr>
      <w:pBdr/>
      <w:spacing/>
      <w:ind/>
    </w:pPr>
    <w:rPr>
      <w:vertAlign w:val="superscript"/>
    </w:rPr>
  </w:style>
  <w:style w:type="paragraph" w:styleId="1018">
    <w:name w:val="endnote text"/>
    <w:basedOn w:val="1024"/>
    <w:link w:val="10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9">
    <w:name w:val="Endnote Text Char"/>
    <w:basedOn w:val="1027"/>
    <w:link w:val="1018"/>
    <w:uiPriority w:val="99"/>
    <w:semiHidden/>
    <w:pPr>
      <w:pBdr/>
      <w:spacing/>
      <w:ind/>
    </w:pPr>
    <w:rPr>
      <w:sz w:val="20"/>
      <w:szCs w:val="20"/>
    </w:rPr>
  </w:style>
  <w:style w:type="character" w:styleId="1020">
    <w:name w:val="endnote reference"/>
    <w:basedOn w:val="1027"/>
    <w:uiPriority w:val="99"/>
    <w:semiHidden/>
    <w:unhideWhenUsed/>
    <w:pPr>
      <w:pBdr/>
      <w:spacing/>
      <w:ind/>
    </w:pPr>
    <w:rPr>
      <w:vertAlign w:val="superscript"/>
    </w:rPr>
  </w:style>
  <w:style w:type="character" w:styleId="1021">
    <w:name w:val="FollowedHyperlink"/>
    <w:basedOn w:val="10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22">
    <w:name w:val="Placeholder Text"/>
    <w:basedOn w:val="1027"/>
    <w:uiPriority w:val="99"/>
    <w:semiHidden/>
    <w:pPr>
      <w:pBdr/>
      <w:spacing/>
      <w:ind/>
    </w:pPr>
    <w:rPr>
      <w:color w:val="666666"/>
    </w:rPr>
  </w:style>
  <w:style w:type="paragraph" w:styleId="1023">
    <w:name w:val="table of figures"/>
    <w:basedOn w:val="1024"/>
    <w:next w:val="1024"/>
    <w:uiPriority w:val="99"/>
    <w:unhideWhenUsed/>
    <w:pPr>
      <w:pBdr/>
      <w:spacing w:after="0" w:afterAutospacing="0"/>
      <w:ind/>
    </w:pPr>
  </w:style>
  <w:style w:type="paragraph" w:styleId="1024" w:default="1">
    <w:name w:val="Normal"/>
    <w:qFormat/>
    <w:pPr>
      <w:suppressLineNumbers w:val="false"/>
      <w:pBdr/>
      <w:bidi w:val="false"/>
      <w:spacing w:after="0" w:afterAutospacing="0" w:line="360" w:lineRule="auto"/>
      <w:ind w:firstLine="720" w:left="0"/>
      <w:jc w:val="both"/>
    </w:pPr>
    <w:rPr>
      <w:rFonts w:ascii="system-ui" w:hAnsi="system-ui" w:eastAsia="system-ui" w:cs="system-ui"/>
      <w:b w:val="0"/>
      <w:bCs w:val="0"/>
      <w:i w:val="0"/>
      <w:iCs w:val="0"/>
      <w:caps w:val="0"/>
      <w:smallCaps w:val="0"/>
      <w:color w:val="000000"/>
      <w:sz w:val="24"/>
      <w:szCs w:val="24"/>
      <w:lang w:val="pt-BR" w:eastAsia="en-US"/>
    </w:rPr>
  </w:style>
  <w:style w:type="paragraph" w:styleId="1025">
    <w:name w:val="Heading 1"/>
    <w:basedOn w:val="1024"/>
    <w:next w:val="1024"/>
    <w:link w:val="1030"/>
    <w:uiPriority w:val="9"/>
    <w:qFormat/>
    <w:pPr>
      <w:keepNext w:val="true"/>
      <w:keepLines w:val="true"/>
      <w:pBdr/>
      <w:spacing/>
      <w:ind/>
      <w:jc w:val="left"/>
      <w:outlineLvl w:val="0"/>
    </w:pPr>
    <w:rPr>
      <w:b/>
      <w:szCs w:val="32"/>
    </w:rPr>
  </w:style>
  <w:style w:type="paragraph" w:styleId="1026">
    <w:name w:val="Heading 2"/>
    <w:basedOn w:val="1024"/>
    <w:next w:val="1024"/>
    <w:link w:val="1048"/>
    <w:uiPriority w:val="9"/>
    <w:unhideWhenUsed/>
    <w:qFormat/>
    <w:pPr>
      <w:keepNext w:val="true"/>
      <w:framePr w:hAnchor="text" w:hSpace="141" w:vAnchor="text" w:wrap="around" w:x="-10" w:y="1"/>
      <w:pBdr/>
      <w:spacing w:after="0" w:line="240" w:lineRule="auto"/>
      <w:ind/>
      <w:jc w:val="center"/>
      <w:outlineLvl w:val="1"/>
    </w:pPr>
    <w:rPr>
      <w:b/>
      <w:bCs/>
      <w:szCs w:val="24"/>
    </w:rPr>
  </w:style>
  <w:style w:type="character" w:styleId="1027" w:default="1">
    <w:name w:val="Default Paragraph Font"/>
    <w:uiPriority w:val="1"/>
    <w:semiHidden/>
    <w:unhideWhenUsed/>
    <w:pPr>
      <w:pBdr/>
      <w:spacing/>
      <w:ind/>
    </w:pPr>
  </w:style>
  <w:style w:type="table" w:styleId="10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9" w:default="1">
    <w:name w:val="No List"/>
    <w:uiPriority w:val="99"/>
    <w:semiHidden/>
    <w:unhideWhenUsed/>
    <w:pPr>
      <w:pBdr/>
      <w:spacing/>
      <w:ind/>
    </w:pPr>
  </w:style>
  <w:style w:type="character" w:styleId="1030" w:customStyle="1">
    <w:name w:val="Título 1 Char"/>
    <w:link w:val="1025"/>
    <w:uiPriority w:val="9"/>
    <w:pPr>
      <w:pBdr/>
      <w:spacing/>
      <w:ind/>
    </w:pPr>
    <w:rPr>
      <w:rFonts w:ascii="Arial" w:hAnsi="Arial" w:eastAsia="Times New Roman"/>
      <w:b/>
      <w:color w:val="000000"/>
      <w:sz w:val="24"/>
      <w:szCs w:val="32"/>
      <w:lang w:eastAsia="en-US"/>
    </w:rPr>
  </w:style>
  <w:style w:type="paragraph" w:styleId="1031">
    <w:name w:val="TOC Heading"/>
    <w:basedOn w:val="1025"/>
    <w:next w:val="1024"/>
    <w:uiPriority w:val="39"/>
    <w:unhideWhenUsed/>
    <w:qFormat/>
    <w:pPr>
      <w:pBdr/>
      <w:spacing/>
      <w:ind/>
      <w:outlineLvl w:val="9"/>
    </w:pPr>
    <w:rPr>
      <w:rFonts w:ascii="Calibri Light" w:hAnsi="Calibri Light"/>
      <w:b w:val="0"/>
      <w:color w:val="2f5496"/>
      <w:sz w:val="32"/>
      <w:lang w:eastAsia="pt-BR"/>
    </w:rPr>
  </w:style>
  <w:style w:type="paragraph" w:styleId="1032">
    <w:name w:val="toc 1"/>
    <w:basedOn w:val="1024"/>
    <w:next w:val="1024"/>
    <w:uiPriority w:val="39"/>
    <w:unhideWhenUsed/>
    <w:pPr>
      <w:pBdr/>
      <w:tabs>
        <w:tab w:val="right" w:leader="dot" w:pos="9061"/>
      </w:tabs>
      <w:spacing w:before="120"/>
      <w:ind/>
    </w:pPr>
    <w:rPr>
      <w:rFonts w:ascii="Calibri" w:hAnsi="Calibri" w:cs="Calibri"/>
      <w:b/>
      <w:bCs/>
      <w:caps/>
      <w:sz w:val="20"/>
      <w:szCs w:val="20"/>
    </w:rPr>
  </w:style>
  <w:style w:type="character" w:styleId="103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1034">
    <w:name w:val="Header"/>
    <w:basedOn w:val="1024"/>
    <w:link w:val="103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035" w:customStyle="1">
    <w:name w:val="Cabeçalho Char"/>
    <w:link w:val="1034"/>
    <w:uiPriority w:val="99"/>
    <w:pPr>
      <w:pBdr/>
      <w:spacing/>
      <w:ind/>
    </w:pPr>
    <w:rPr>
      <w:rFonts w:ascii="Arial" w:hAnsi="Arial" w:eastAsia="Times New Roman" w:cs="Times New Roman"/>
      <w:color w:val="000000"/>
      <w:lang w:eastAsia="pt-BR"/>
    </w:rPr>
  </w:style>
  <w:style w:type="paragraph" w:styleId="1036">
    <w:name w:val="Footer"/>
    <w:basedOn w:val="1024"/>
    <w:link w:val="103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037" w:customStyle="1">
    <w:name w:val="Rodapé Char"/>
    <w:link w:val="1036"/>
    <w:uiPriority w:val="99"/>
    <w:pPr>
      <w:pBdr/>
      <w:spacing/>
      <w:ind/>
    </w:pPr>
    <w:rPr>
      <w:rFonts w:ascii="Arial" w:hAnsi="Arial" w:eastAsia="Times New Roman" w:cs="Times New Roman"/>
      <w:color w:val="000000"/>
      <w:lang w:eastAsia="pt-BR"/>
    </w:rPr>
  </w:style>
  <w:style w:type="paragraph" w:styleId="1038">
    <w:name w:val="toc 2"/>
    <w:basedOn w:val="1024"/>
    <w:next w:val="1024"/>
    <w:uiPriority w:val="39"/>
    <w:unhideWhenUsed/>
    <w:pPr>
      <w:framePr w:hAnchor="text" w:hSpace="141" w:vAnchor="text" w:wrap="around" w:x="-10" w:y="1"/>
      <w:pBdr/>
      <w:spacing w:after="0" w:line="240" w:lineRule="auto"/>
      <w:ind/>
    </w:pPr>
    <w:rPr>
      <w:rFonts w:cs="Arial"/>
      <w:smallCaps/>
      <w:szCs w:val="24"/>
    </w:rPr>
  </w:style>
  <w:style w:type="paragraph" w:styleId="1039">
    <w:name w:val="Subtitle"/>
    <w:basedOn w:val="1024"/>
    <w:next w:val="1024"/>
    <w:link w:val="1040"/>
    <w:uiPriority w:val="11"/>
    <w:qFormat/>
    <w:pPr>
      <w:numPr>
        <w:ilvl w:val="1"/>
      </w:numPr>
      <w:pBdr/>
      <w:spacing w:after="160"/>
      <w:ind/>
    </w:pPr>
    <w:rPr>
      <w:b/>
      <w:spacing w:val="15"/>
    </w:rPr>
  </w:style>
  <w:style w:type="character" w:styleId="1040" w:customStyle="1">
    <w:name w:val="Subtítulo Char"/>
    <w:link w:val="1039"/>
    <w:uiPriority w:val="11"/>
    <w:pPr>
      <w:pBdr/>
      <w:spacing/>
      <w:ind/>
    </w:pPr>
    <w:rPr>
      <w:rFonts w:ascii="Arial" w:hAnsi="Arial" w:eastAsia="Times New Roman"/>
      <w:b/>
      <w:color w:val="000000"/>
      <w:spacing w:val="15"/>
      <w:sz w:val="24"/>
      <w:lang w:eastAsia="pt-BR"/>
    </w:rPr>
  </w:style>
  <w:style w:type="paragraph" w:styleId="1041">
    <w:name w:val="toc 3"/>
    <w:basedOn w:val="1024"/>
    <w:next w:val="1024"/>
    <w:uiPriority w:val="39"/>
    <w:unhideWhenUsed/>
    <w:pPr>
      <w:pBdr/>
      <w:spacing w:after="0"/>
      <w:ind w:left="440"/>
    </w:pPr>
    <w:rPr>
      <w:rFonts w:ascii="Calibri" w:hAnsi="Calibri" w:cs="Calibri"/>
      <w:i/>
      <w:iCs/>
      <w:sz w:val="20"/>
      <w:szCs w:val="20"/>
    </w:rPr>
  </w:style>
  <w:style w:type="paragraph" w:styleId="1042">
    <w:name w:val="toc 4"/>
    <w:basedOn w:val="1024"/>
    <w:next w:val="1024"/>
    <w:uiPriority w:val="39"/>
    <w:unhideWhenUsed/>
    <w:pPr>
      <w:pBdr/>
      <w:spacing w:after="0"/>
      <w:ind w:left="660"/>
    </w:pPr>
    <w:rPr>
      <w:rFonts w:ascii="Calibri" w:hAnsi="Calibri" w:cs="Calibri"/>
      <w:sz w:val="18"/>
      <w:szCs w:val="18"/>
    </w:rPr>
  </w:style>
  <w:style w:type="paragraph" w:styleId="1043">
    <w:name w:val="toc 5"/>
    <w:basedOn w:val="1024"/>
    <w:next w:val="1024"/>
    <w:uiPriority w:val="39"/>
    <w:unhideWhenUsed/>
    <w:pPr>
      <w:pBdr/>
      <w:spacing w:after="0"/>
      <w:ind w:left="880"/>
    </w:pPr>
    <w:rPr>
      <w:rFonts w:ascii="Calibri" w:hAnsi="Calibri" w:cs="Calibri"/>
      <w:sz w:val="18"/>
      <w:szCs w:val="18"/>
    </w:rPr>
  </w:style>
  <w:style w:type="paragraph" w:styleId="1044">
    <w:name w:val="toc 6"/>
    <w:basedOn w:val="1024"/>
    <w:next w:val="1024"/>
    <w:uiPriority w:val="39"/>
    <w:unhideWhenUsed/>
    <w:pPr>
      <w:pBdr/>
      <w:spacing w:after="0"/>
      <w:ind w:left="1100"/>
    </w:pPr>
    <w:rPr>
      <w:rFonts w:ascii="Calibri" w:hAnsi="Calibri" w:cs="Calibri"/>
      <w:sz w:val="18"/>
      <w:szCs w:val="18"/>
    </w:rPr>
  </w:style>
  <w:style w:type="paragraph" w:styleId="1045">
    <w:name w:val="toc 7"/>
    <w:basedOn w:val="1024"/>
    <w:next w:val="1024"/>
    <w:uiPriority w:val="39"/>
    <w:unhideWhenUsed/>
    <w:pPr>
      <w:pBdr/>
      <w:spacing w:after="0"/>
      <w:ind w:left="1320"/>
    </w:pPr>
    <w:rPr>
      <w:rFonts w:ascii="Calibri" w:hAnsi="Calibri" w:cs="Calibri"/>
      <w:sz w:val="18"/>
      <w:szCs w:val="18"/>
    </w:rPr>
  </w:style>
  <w:style w:type="paragraph" w:styleId="1046">
    <w:name w:val="toc 8"/>
    <w:basedOn w:val="1024"/>
    <w:next w:val="1024"/>
    <w:uiPriority w:val="39"/>
    <w:unhideWhenUsed/>
    <w:pPr>
      <w:pBdr/>
      <w:spacing w:after="0"/>
      <w:ind w:left="1540"/>
    </w:pPr>
    <w:rPr>
      <w:rFonts w:ascii="Calibri" w:hAnsi="Calibri" w:cs="Calibri"/>
      <w:sz w:val="18"/>
      <w:szCs w:val="18"/>
    </w:rPr>
  </w:style>
  <w:style w:type="paragraph" w:styleId="1047">
    <w:name w:val="toc 9"/>
    <w:basedOn w:val="1024"/>
    <w:next w:val="1024"/>
    <w:uiPriority w:val="39"/>
    <w:unhideWhenUsed/>
    <w:pPr>
      <w:pBdr/>
      <w:spacing w:after="0"/>
      <w:ind w:left="1760"/>
    </w:pPr>
    <w:rPr>
      <w:rFonts w:ascii="Calibri" w:hAnsi="Calibri" w:cs="Calibri"/>
      <w:sz w:val="18"/>
      <w:szCs w:val="18"/>
    </w:rPr>
  </w:style>
  <w:style w:type="character" w:styleId="1048" w:customStyle="1">
    <w:name w:val="Título 2 Char"/>
    <w:link w:val="1026"/>
    <w:uiPriority w:val="9"/>
    <w:pPr>
      <w:pBdr/>
      <w:spacing/>
      <w:ind/>
    </w:pPr>
    <w:rPr>
      <w:rFonts w:ascii="Arial" w:hAnsi="Arial" w:eastAsia="Times New Roman"/>
      <w:b/>
      <w:bCs/>
      <w:color w:val="000000"/>
      <w:sz w:val="24"/>
      <w:szCs w:val="24"/>
    </w:rPr>
  </w:style>
  <w:style w:type="paragraph" w:styleId="1049">
    <w:name w:val="List Paragraph"/>
    <w:basedOn w:val="1024"/>
    <w:uiPriority w:val="34"/>
    <w:qFormat/>
    <w:pPr>
      <w:pBdr/>
      <w:spacing/>
      <w:ind w:left="708"/>
    </w:pPr>
  </w:style>
  <w:style w:type="table" w:styleId="1050">
    <w:name w:val="Table Grid"/>
    <w:basedOn w:val="102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customXml" Target="../customXml/item3.xml" /><Relationship Id="rId17" Type="http://schemas.openxmlformats.org/officeDocument/2006/relationships/customXml" Target="../customXml/item4.xml" /><Relationship Id="rId18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BCFAF01A660F41ABC025CC4541BAEB" ma:contentTypeVersion="5" ma:contentTypeDescription="Crie um novo documento." ma:contentTypeScope="" ma:versionID="51f3662eae7fba1e0954cf0e69e64d16">
  <xsd:schema xmlns:xsd="http://www.w3.org/2001/XMLSchema" xmlns:xs="http://www.w3.org/2001/XMLSchema" xmlns:p="http://schemas.microsoft.com/office/2006/metadata/properties" xmlns:ns2="2eb63fca-a281-4775-834a-d580abc24019" xmlns:ns3="abe3c918-7ece-49d1-8c42-f08ef9b6658d" targetNamespace="http://schemas.microsoft.com/office/2006/metadata/properties" ma:root="true" ma:fieldsID="3aeda0270840d846d2725bb62fb944ee" ns2:_="" ns3:_="">
    <xsd:import namespace="2eb63fca-a281-4775-834a-d580abc24019"/>
    <xsd:import namespace="abe3c918-7ece-49d1-8c42-f08ef9b665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63fca-a281-4775-834a-d580abc240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3c918-7ece-49d1-8c42-f08ef9b665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b63fca-a281-4775-834a-d580abc24019" xsi:nil="true"/>
  </documentManagement>
</p:properties>
</file>

<file path=customXml/itemProps1.xml><?xml version="1.0" encoding="utf-8"?>
<ds:datastoreItem xmlns:ds="http://schemas.openxmlformats.org/officeDocument/2006/customXml" ds:itemID="{30EBBA28-7760-401A-AECE-BA2B1021F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294E9B-A8F7-4A89-ABD1-C32E56D2E1AB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39CDC3B4-73F8-400A-9801-7FA61CF87CD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eb63fca-a281-4775-834a-d580abc24019"/>
    <ds:schemaRef ds:uri="abe3c918-7ece-49d1-8c42-f08ef9b6658d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D4B6FF-A714-403C-AC42-B7A5AF7CB0AD}">
  <ds:schemaRefs>
    <ds:schemaRef ds:uri="http://schemas.microsoft.com/office/2006/metadata/properties"/>
    <ds:schemaRef ds:uri="http://www.w3.org/2000/xmlns/"/>
    <ds:schemaRef ds:uri="2eb63fca-a281-4775-834a-d580abc24019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2025-11-01T05:13:37Z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0x010100BABCFAF01A660F41ABC025CC4541BAEB</vt:lpwstr>
  </property>
</Properties>
</file>