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ETEC - </w:t>
      </w:r>
      <w:r>
        <w:rPr>
          <w:b/>
          <w:bCs/>
          <w:sz w:val="28"/>
          <w:szCs w:val="28"/>
        </w:rPr>
        <w:t xml:space="preserve">Adolpho </w:t>
      </w:r>
      <w:r>
        <w:rPr>
          <w:b/>
          <w:bCs/>
          <w:sz w:val="28"/>
          <w:szCs w:val="28"/>
        </w:rPr>
        <w:t xml:space="preserve">Berezin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854"/>
        <w:suppressLineNumbers w:val="false"/>
        <w:pBdr/>
        <w:bidi w:val="false"/>
        <w:spacing w:after="120" w:afterAutospacing="0" w:before="0" w:beforeAutospacing="0" w:line="360" w:lineRule="auto"/>
        <w:ind w:right="0" w:left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STARTUP – TURISTANDO</w:t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EDUARDO SOAREZ E ARAÚJO </w:t>
      </w:r>
      <w:r>
        <w:rPr>
          <w:b/>
          <w:bCs/>
          <w:sz w:val="28"/>
          <w:szCs w:val="28"/>
        </w:rPr>
      </w:r>
    </w:p>
    <w:p>
      <w:pPr>
        <w:pStyle w:val="85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FELIPE DA CRUZ SOAREZ SANCHES</w:t>
      </w:r>
      <w:r/>
    </w:p>
    <w:p>
      <w:pPr>
        <w:pStyle w:val="85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GABRIELLI FERNANDA BUENO BATISTA </w:t>
      </w:r>
      <w:r/>
    </w:p>
    <w:p>
      <w:pPr>
        <w:pStyle w:val="85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HENRIQUE BUENO CARVALHO DA SILVA </w:t>
      </w:r>
      <w:r/>
    </w:p>
    <w:p>
      <w:pPr>
        <w:pStyle w:val="85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PEDRO RODRIGUES ALMEIDA </w:t>
      </w:r>
      <w:r/>
    </w:p>
    <w:p>
      <w:pPr>
        <w:pStyle w:val="854"/>
        <w:pBdr/>
        <w:spacing/>
        <w:ind/>
        <w:jc w:val="center"/>
        <w:rPr/>
      </w:pPr>
      <w:r>
        <w:rPr>
          <w:b/>
          <w:bCs/>
          <w:sz w:val="28"/>
          <w:szCs w:val="28"/>
        </w:rPr>
        <w:t xml:space="preserve">RHYAN GUILHERME DE SOUZA CAIRES</w:t>
      </w:r>
      <w:r/>
    </w:p>
    <w:p>
      <w:pPr>
        <w:pStyle w:val="854"/>
        <w:pBdr/>
        <w:spacing/>
        <w:ind/>
        <w:jc w:val="center"/>
        <w:rPr/>
      </w:pP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t xml:space="preserve"> </w:t>
      </w:r>
      <w:r/>
    </w:p>
    <w:p>
      <w:pPr>
        <w:pStyle w:val="854"/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MONGAGUÁ</w:t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Calibri Light" w:hAnsi="Calibri Light"/>
          <w:color w:val="2f5496"/>
          <w:sz w:val="28"/>
          <w:szCs w:val="28"/>
        </w:rPr>
        <w:sectPr>
          <w:headerReference w:type="default" r:id="rId9"/>
          <w:footnotePr/>
          <w:endnotePr/>
          <w:type w:val="nextPage"/>
          <w:pgSz w:h="16838" w:orient="portrait" w:w="11906"/>
          <w:pgMar w:top="1701" w:right="1134" w:bottom="1134" w:left="1701" w:header="708" w:footer="708" w:gutter="0"/>
          <w:cols w:num="1" w:sep="0" w:space="708" w:equalWidth="1"/>
        </w:sectPr>
      </w:pPr>
      <w:r>
        <w:rPr>
          <w:b/>
          <w:bCs/>
          <w:sz w:val="28"/>
          <w:szCs w:val="28"/>
        </w:rPr>
        <w:t xml:space="preserve">2</w:t>
      </w:r>
      <w:r>
        <w:rPr>
          <w:b/>
          <w:bCs/>
          <w:sz w:val="28"/>
          <w:szCs w:val="28"/>
        </w:rPr>
        <w:t xml:space="preserve">02</w:t>
      </w:r>
      <w:r>
        <w:rPr>
          <w:b/>
          <w:bCs/>
          <w:sz w:val="28"/>
          <w:szCs w:val="28"/>
        </w:rPr>
        <w:t xml:space="preserve">5</w:t>
      </w:r>
      <w:r>
        <w:rPr>
          <w:b/>
          <w:bCs/>
          <w:sz w:val="28"/>
          <w:szCs w:val="28"/>
        </w:rPr>
        <w:t xml:space="preserve"> </w:t>
      </w:r>
      <w:r>
        <w:rPr>
          <w:rFonts w:ascii="Calibri Light" w:hAnsi="Calibri Light"/>
          <w:color w:val="2f5496"/>
          <w:sz w:val="28"/>
          <w:szCs w:val="28"/>
        </w:rPr>
      </w:r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855"/>
        <w:suppressLineNumbers w:val="false"/>
        <w:pBdr/>
        <w:bidi w:val="false"/>
        <w:spacing w:after="120" w:afterAutospacing="0" w:before="0" w:beforeAutospacing="0" w:line="360" w:lineRule="auto"/>
        <w:ind w:right="0" w:left="0"/>
        <w:jc w:val="left"/>
        <w:rPr/>
      </w:pPr>
      <w:r>
        <w:t xml:space="preserve">PITCH</w:t>
      </w:r>
      <w:r>
        <w:t xml:space="preserve">-5 MINUTOS</w:t>
      </w:r>
      <w:r/>
    </w:p>
    <w:p>
      <w:pPr>
        <w:pStyle w:val="854"/>
        <w:pBdr/>
        <w:bidi w:val="false"/>
        <w:spacing/>
        <w:ind/>
        <w:rPr/>
      </w:pPr>
      <w:r/>
      <w:r/>
    </w:p>
    <w:p>
      <w:pPr>
        <w:pStyle w:val="854"/>
        <w:pBdr/>
        <w:bidi w:val="false"/>
        <w:spacing/>
        <w:ind/>
        <w:rPr/>
      </w:pPr>
      <w:r/>
      <w:r/>
    </w:p>
    <w:p>
      <w:pPr>
        <w:pStyle w:val="855"/>
        <w:pBdr/>
        <w:bidi w:val="false"/>
        <w:spacing/>
        <w:ind/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lang w:val="pt-BR"/>
        </w:rPr>
        <w:t xml:space="preserve">TARIFAS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55"/>
        <w:numPr>
          <w:ilvl w:val="0"/>
          <w:numId w:val="3"/>
        </w:numPr>
        <w:pBdr/>
        <w:bidi w:val="false"/>
        <w:spacing/>
        <w:ind/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pPr>
      <w:r>
        <w:rPr>
          <w:b w:val="0"/>
          <w:bCs w:val="0"/>
          <w:i/>
          <w:iCs/>
          <w:lang w:val="pt-BR"/>
        </w:rPr>
        <w:t xml:space="preserve">MONGAGUÁ</w:t>
      </w:r>
      <w:r>
        <w:rPr>
          <w:b w:val="0"/>
          <w:bCs w:val="0"/>
          <w:i/>
          <w:iCs/>
          <w:lang w:val="pt-BR"/>
        </w:rPr>
        <w:t xml:space="preserve"> 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54"/>
        <w:pBdr/>
        <w:bidi w:val="false"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Segundo a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L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ei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Municipal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2.339/2009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e a Lei Municipal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2.568/2012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o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acesso, circulação e estacionamento de veículos de fretamento turístico (ônibus,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microonibus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e vans), com capacidade acima de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10 passageiros,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 provindos de outros municípios, somente serão permitidos nos limites de Mongaguá, com a concessão de alvará de licença, emitida pela Diretoria Municipal de Administração.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56"/>
        <w:pBdr/>
        <w:bidi w:val="false"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tbl>
      <w:tblPr>
        <w:tblStyle w:val="880"/>
        <w:jc w:val="center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3020"/>
        <w:gridCol w:w="3020"/>
      </w:tblGrid>
      <w:tr>
        <w:trPr>
          <w:trHeight w:val="30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020" w:type="dxa"/>
            <w:vAlign w:val="center"/>
            <w:textDirection w:val="lrTb"/>
            <w:noWrap w:val="false"/>
          </w:tcPr>
          <w:p>
            <w:pPr>
              <w:pStyle w:val="854"/>
              <w:pBdr/>
              <w:bidi w:val="false"/>
              <w:spacing/>
              <w:ind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 xml:space="preserve">VEICULOS </w:t>
            </w:r>
            <w:r>
              <w:rPr>
                <w:b/>
                <w:bCs/>
                <w:lang w:val="pt-BR"/>
              </w:rPr>
            </w:r>
          </w:p>
        </w:tc>
        <w:tc>
          <w:tcPr>
            <w:tcBorders>
              <w:left w:val="single" w:color="000000" w:themeColor="text1" w:sz="12" w:space="0"/>
            </w:tcBorders>
            <w:tcW w:w="3020" w:type="dxa"/>
            <w:vAlign w:val="center"/>
            <w:textDirection w:val="lrTb"/>
            <w:noWrap w:val="false"/>
          </w:tcPr>
          <w:p>
            <w:pPr>
              <w:pStyle w:val="854"/>
              <w:pBdr/>
              <w:bidi w:val="false"/>
              <w:spacing/>
              <w:ind/>
              <w:jc w:val="center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</w:pPr>
            <w:r>
              <w:rPr>
                <w:b/>
                <w:bCs/>
                <w:lang w:val="pt-BR"/>
              </w:rPr>
              <w:t xml:space="preserve">TAXAS</w:t>
            </w: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000000" w:themeColor="text1" w:sz="12" w:space="0"/>
            </w:tcBorders>
            <w:tcW w:w="3020" w:type="dxa"/>
            <w:textDirection w:val="lrTb"/>
            <w:noWrap w:val="false"/>
          </w:tcPr>
          <w:p>
            <w:pPr>
              <w:pStyle w:val="85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Ônibus</w:t>
            </w:r>
            <w:r/>
          </w:p>
        </w:tc>
        <w:tc>
          <w:tcPr>
            <w:tcBorders/>
            <w:tcW w:w="3020" w:type="dxa"/>
            <w:textDirection w:val="lrTb"/>
            <w:noWrap w:val="false"/>
          </w:tcPr>
          <w:p>
            <w:pPr>
              <w:pStyle w:val="85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R$ 999,54</w:t>
            </w:r>
            <w:r/>
          </w:p>
        </w:tc>
      </w:tr>
      <w:tr>
        <w:trPr>
          <w:trHeight w:val="300"/>
        </w:trPr>
        <w:tc>
          <w:tcPr>
            <w:tcBorders/>
            <w:tcW w:w="3020" w:type="dxa"/>
            <w:textDirection w:val="lrTb"/>
            <w:noWrap w:val="false"/>
          </w:tcPr>
          <w:p>
            <w:pPr>
              <w:pStyle w:val="85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Micro-ônibus</w:t>
            </w:r>
            <w:r/>
          </w:p>
        </w:tc>
        <w:tc>
          <w:tcPr>
            <w:tcBorders/>
            <w:tcW w:w="3020" w:type="dxa"/>
            <w:textDirection w:val="lrTb"/>
            <w:noWrap w:val="false"/>
          </w:tcPr>
          <w:p>
            <w:pPr>
              <w:pStyle w:val="85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R$ 814,44</w:t>
            </w:r>
            <w:r/>
          </w:p>
        </w:tc>
      </w:tr>
      <w:tr>
        <w:trPr>
          <w:trHeight w:val="300"/>
        </w:trPr>
        <w:tc>
          <w:tcPr>
            <w:tcBorders/>
            <w:tcW w:w="3020" w:type="dxa"/>
            <w:textDirection w:val="lrTb"/>
            <w:noWrap w:val="false"/>
          </w:tcPr>
          <w:p>
            <w:pPr>
              <w:pStyle w:val="85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Vans</w:t>
            </w:r>
            <w:r/>
          </w:p>
        </w:tc>
        <w:tc>
          <w:tcPr>
            <w:tcBorders/>
            <w:tcW w:w="3020" w:type="dxa"/>
            <w:textDirection w:val="lrTb"/>
            <w:noWrap w:val="false"/>
          </w:tcPr>
          <w:p>
            <w:pPr>
              <w:pStyle w:val="854"/>
              <w:pBdr/>
              <w:spacing/>
              <w:ind/>
              <w:rPr/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smallCaps w:val="0"/>
                <w:color w:val="222222"/>
                <w:sz w:val="24"/>
                <w:szCs w:val="24"/>
                <w:lang w:val="pt-BR"/>
              </w:rPr>
              <w:t xml:space="preserve">R$ 629,34</w:t>
            </w:r>
            <w:r/>
          </w:p>
        </w:tc>
      </w:tr>
    </w:tbl>
    <w:p>
      <w:pPr>
        <w:pStyle w:val="856"/>
        <w:pBdr/>
        <w:bidi w:val="false"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855"/>
        <w:pBdr/>
        <w:bidi w:val="false"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bidi w:val="false"/>
        <w:spacing/>
        <w:ind/>
        <w:rPr/>
      </w:pPr>
      <w:r>
        <w:br w:type="page" w:clear="all"/>
      </w:r>
      <w:r/>
    </w:p>
    <w:p>
      <w:pPr>
        <w:pStyle w:val="855"/>
        <w:numPr>
          <w:ilvl w:val="0"/>
          <w:numId w:val="3"/>
        </w:numPr>
        <w:pBdr/>
        <w:bidi w:val="false"/>
        <w:spacing/>
        <w:ind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 xml:space="preserve">ITANHAÉM</w:t>
      </w:r>
      <w:r>
        <w:rPr>
          <w:b/>
          <w:bCs/>
          <w:i/>
          <w:iCs/>
          <w:lang w:val="pt-BR"/>
        </w:rPr>
      </w:r>
    </w:p>
    <w:p>
      <w:pPr>
        <w:pStyle w:val="854"/>
        <w:pBdr/>
        <w:spacing/>
        <w:ind/>
        <w:rPr/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Al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ém das altas tarifas, a regulamentação exige que os veículos de fretamento obtenham uma Autorização para Circulação de Veículos de Fretamento, emitida pela Secretaria Municipal de Turismo. Para isso, é necessário seguir um processo burocrático, que inclui:</w:t>
      </w:r>
      <w:r/>
    </w:p>
    <w:p>
      <w:pPr>
        <w:pStyle w:val="87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Preenchimento de um formulário específico disponível online;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7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Listagem completa de passageiros;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7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Pagamento das taxas via transferência bancária ou PIX;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79"/>
        <w:numPr>
          <w:ilvl w:val="0"/>
          <w:numId w:val="4"/>
        </w:numPr>
        <w:pBdr/>
        <w:spacing/>
        <w:ind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Envio dos documentos e comprovantes por e-mail, com antecedência mínima de cinco dias úteis.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54"/>
        <w:pBdr/>
        <w:spacing/>
        <w:ind/>
        <w:rPr/>
      </w:pP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A autorização, que tem validade de apenas sete dias, permite a entrada no município e permanência no estacionamento do 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destino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mas não garante a circulação dos veículos pela cidade</w:t>
      </w:r>
      <w:r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 limitando ainda mais a experiência dos turistas. O descumprimento das regras pode resultar em uma multa de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500 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UF’s</w:t>
      </w:r>
      <w:r>
        <w:rPr>
          <w:rFonts w:ascii="Open Sans" w:hAnsi="Open Sans" w:eastAsia="Open Sans" w:cs="Open Sans"/>
          <w:b/>
          <w:bCs/>
          <w:i w:val="0"/>
          <w:iCs w:val="0"/>
          <w:caps w:val="0"/>
          <w:smallCaps w:val="0"/>
          <w:color w:val="222222"/>
          <w:sz w:val="24"/>
          <w:szCs w:val="24"/>
          <w:lang w:val="pt-BR"/>
        </w:rPr>
        <w:t xml:space="preserve">, ou R$ 2.350,00.</w:t>
      </w:r>
      <w:r/>
    </w:p>
    <w:p>
      <w:pPr>
        <w:pStyle w:val="879"/>
        <w:numPr>
          <w:ilvl w:val="0"/>
          <w:numId w:val="3"/>
        </w:numPr>
        <w:pBdr/>
        <w:bidi w:val="false"/>
        <w:spacing/>
        <w:ind/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pP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  <w:t xml:space="preserve">PERU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  <w:t xml:space="preserve">Í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  <w:t xml:space="preserve">BE</w:t>
      </w:r>
      <w:r>
        <w:rPr>
          <w:rFonts w:ascii="Open Sans" w:hAnsi="Open Sans" w:eastAsia="Open Sans" w:cs="Open Sans"/>
          <w:b/>
          <w:bCs/>
          <w:i/>
          <w:iCs/>
          <w:caps w:val="0"/>
          <w:smallCaps w:val="0"/>
          <w:color w:val="222222"/>
          <w:sz w:val="24"/>
          <w:szCs w:val="24"/>
          <w:lang w:val="pt-BR"/>
        </w:rPr>
      </w:r>
    </w:p>
    <w:p>
      <w:pPr>
        <w:pStyle w:val="85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Seção II,</w:t>
      </w:r>
      <w:r/>
    </w:p>
    <w:p>
      <w:pPr>
        <w:pStyle w:val="85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Da Solicitação de Autorização de Acesso,</w:t>
      </w:r>
      <w:r/>
    </w:p>
    <w:p>
      <w:pPr>
        <w:pStyle w:val="85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Art. 11- A solicitação de autorização de acesso deverá ser feita pelo interessado, à Secretaria Municipal de Turismo, Cultura e Esportes, em formulário próprio. § 1º- O requerimento deve ser acompanhado das seguintes informações:</w:t>
      </w:r>
      <w:r/>
    </w:p>
    <w:p>
      <w:pPr>
        <w:pStyle w:val="854"/>
        <w:pBdr/>
        <w:spacing/>
        <w:ind/>
        <w:rPr/>
      </w:pPr>
      <w:r>
        <w:rPr>
          <w:rFonts w:ascii="Open Sans" w:hAnsi="Open Sans" w:eastAsia="Open Sans" w:cs="Open Sans"/>
          <w:sz w:val="24"/>
          <w:szCs w:val="24"/>
          <w:lang w:val="pt-BR"/>
        </w:rPr>
        <w:t xml:space="preserve">IX- </w:t>
      </w:r>
      <w:r>
        <w:rPr>
          <w:rFonts w:ascii="Open Sans" w:hAnsi="Open Sans" w:eastAsia="Open Sans" w:cs="Open Sans"/>
          <w:sz w:val="24"/>
          <w:szCs w:val="24"/>
          <w:lang w:val="pt-BR"/>
        </w:rPr>
        <w:t xml:space="preserve">comprovante</w:t>
      </w:r>
      <w:r>
        <w:rPr>
          <w:rFonts w:ascii="Open Sans" w:hAnsi="Open Sans" w:eastAsia="Open Sans" w:cs="Open Sans"/>
          <w:sz w:val="24"/>
          <w:szCs w:val="24"/>
          <w:lang w:val="pt-BR"/>
        </w:rPr>
        <w:t xml:space="preserve"> de recolhimento da tarifa correspondente;</w:t>
      </w:r>
      <w:r/>
    </w:p>
    <w:p>
      <w:pPr>
        <w:pStyle w:val="854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8571" cy="1457143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496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28571" cy="1457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3.19pt;height:114.7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Style w:val="854"/>
        <w:pBdr/>
        <w:spacing/>
        <w:ind/>
        <w:rPr/>
      </w:pPr>
      <w:r/>
      <w:r/>
    </w:p>
    <w:p>
      <w:pPr>
        <w:pStyle w:val="855"/>
        <w:pBdr/>
        <w:bidi w:val="false"/>
        <w:spacing/>
        <w:ind/>
        <w:rPr>
          <w:lang w:val="pt-BR"/>
        </w:rPr>
      </w:pPr>
      <w:r>
        <w:rPr>
          <w:lang w:val="pt-BR"/>
        </w:rPr>
        <w:t xml:space="preserve">FUNDAMENTAÇÃO </w:t>
      </w:r>
      <w:r>
        <w:rPr>
          <w:lang w:val="pt-BR"/>
        </w:rPr>
      </w:r>
    </w:p>
    <w:p>
      <w:pPr>
        <w:pStyle w:val="879"/>
        <w:numPr>
          <w:ilvl w:val="0"/>
          <w:numId w:val="1"/>
        </w:numPr>
        <w:pBdr/>
        <w:bidi w:val="false"/>
        <w:spacing/>
        <w:ind/>
        <w:rPr>
          <w:b/>
          <w:bCs/>
          <w:i/>
          <w:iCs/>
          <w:lang w:val="pt-BR"/>
        </w:rPr>
      </w:pPr>
      <w:r>
        <w:rPr>
          <w:b/>
          <w:bCs/>
          <w:i/>
          <w:iCs/>
          <w:lang w:val="pt-BR"/>
        </w:rPr>
        <w:t xml:space="preserve">DESTINOS INTELIGENTES </w:t>
      </w:r>
      <w:r>
        <w:rPr>
          <w:b/>
          <w:bCs/>
          <w:i/>
          <w:iCs/>
          <w:lang w:val="pt-BR"/>
        </w:rPr>
      </w:r>
    </w:p>
    <w:p>
      <w:pPr>
        <w:pStyle w:val="854"/>
        <w:pBdr/>
        <w:bidi w:val="false"/>
        <w:spacing w:after="0" w:afterAutospacing="0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O projeto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‘’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Destinos Inteligentes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’’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 foi iniciado de forma piloto com a participação de duas cidades de cada região do Brasil, ou seja, sua implantação inicial contemplou todas as cinco grandes regiões do país. As cidades piloto foram: Rio Branco (AC) e Palmas (TO) na re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gião Norte; Recife (PE) e Salvador (BA) no Nordeste; Campo Grande (MS) e Brasília (DF) no Centro-Oeste; Florianópolis (SC) e Curitiba (PR) na região Sul; e Rio de Janeiro (RJ) e Angra dos Reis (RJ) na região Sudeste. Isso significa que o projeto não teve u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ma única região de início, mas sim uma implementação simultânea diversificada em todas as regiões brasileiras para apoiar a transformação dos destinos turísticos locais com foco em inovação, sustentabilidade e melhor experiência para visitantes e </w:t>
      </w:r>
      <w:r>
        <w:rPr>
          <w:lang w:val="pt-BR"/>
        </w:rPr>
        <w:t xml:space="preserve">gestores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.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</w:p>
    <w:p>
      <w:pPr>
        <w:pStyle w:val="854"/>
        <w:suppressLineNumbers w:val="false"/>
        <w:pBdr/>
        <w:bidi w:val="false"/>
        <w:spacing/>
        <w:ind w:firstLine="720" w:left="0"/>
        <w:rPr/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Os </w:t>
      </w:r>
      <w:r>
        <w:rPr>
          <w:lang w:val="pt-BR"/>
        </w:rPr>
        <w:t xml:space="preserve">benefícios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proporcionados pelo s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ite e pelo sistema incluem a melhoria na experiência do turista, que pode acessar informações como mapas interativos, calendário de eventos, opções de hospedagem e alimentação, rotas personalizadas e detalhes sobre acessibilidade, tudo em vários idiomas e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geolocalizado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. Para gestores, o sistema fornece uma visão consolidada para melhor planejamento, estudos de demanda e gestão do Plano Diretor do Turismo, ajudando na tomada de decisões estratégicas. Além disso, a startup Destinos Inteligentes foi reconhecida como a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GovTech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 mais inovadora do Brasil pelo programa de aceleração da 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EmbraturLab</w:t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t xml:space="preserve"> e já opera em diversos municípios brasileiros, expandindo seu impacto no setor.</w:t>
      </w:r>
      <w:r/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/>
    </w:p>
    <w:p>
      <w:pPr>
        <w:pStyle w:val="854"/>
        <w:pBdr/>
        <w:bidi w:val="false"/>
        <w:spacing/>
        <w:ind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</w:p>
    <w:p>
      <w:pPr>
        <w:pStyle w:val="854"/>
        <w:pBdr/>
        <w:bidi w:val="false"/>
        <w:spacing/>
        <w:ind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  <w:sectPr>
          <w:headerReference w:type="default" r:id="rId10"/>
          <w:headerReference w:type="first" r:id="rId11"/>
          <w:footnotePr/>
          <w:endnotePr/>
          <w:type w:val="nextPage"/>
          <w:pgSz w:h="16838" w:orient="portrait" w:w="11906"/>
          <w:pgMar w:top="1701" w:right="1134" w:bottom="1134" w:left="1701" w:header="708" w:footer="708" w:gutter="0"/>
          <w:cols w:num="1" w:sep="0" w:space="708" w:equalWidth="1"/>
        </w:sectPr>
      </w:pP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  <w: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sz w:val="24"/>
          <w:szCs w:val="24"/>
          <w:lang w:val="pt-BR"/>
        </w:rPr>
      </w:r>
    </w:p>
    <w:p>
      <w:pPr>
        <w:pStyle w:val="854"/>
        <w:pBdr/>
        <w:spacing/>
        <w:ind/>
        <w:rPr/>
      </w:pPr>
      <w:r/>
      <w:r/>
    </w:p>
    <w:sectPr>
      <w:headerReference w:type="default" r:id="rId12"/>
      <w:headerReference w:type="first" r:id="rId13"/>
      <w:footnotePr/>
      <w:endnotePr/>
      <w:type w:val="nextPage"/>
      <w:pgSz w:h="16838" w:orient="portrait" w:w="11906"/>
      <w:pgMar w:top="1701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00000000000000000"/>
  </w:font>
  <w:font w:name="Courier New">
    <w:panose1 w:val="02070309020205020404"/>
  </w:font>
  <w:font w:name="Calibri Light">
    <w:panose1 w:val="020F0302020204030204"/>
  </w:font>
  <w:font w:name="Symbol">
    <w:panose1 w:val="05050102010706020507"/>
  </w:font>
  <w:font w:name="system-ui">
    <w:panose1 w:val="05040102010807070707"/>
  </w:font>
  <w:font w:name="Arial">
    <w:panose1 w:val="020B0604020202020204"/>
  </w:font>
  <w:font w:name="Times New Roman">
    <w:panose1 w:val="02020603050405020304"/>
  </w:font>
  <w:font w:name="Aptos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4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808990" cy="777875"/>
              <wp:effectExtent l="0" t="0" r="0" b="0"/>
              <wp:docPr id="1" name="Imagem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m 3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808989" cy="777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63.70pt;height:61.25pt;mso-wrap-distance-left:0.00pt;mso-wrap-distance-top:0.00pt;mso-wrap-distance-right:0.00pt;mso-wrap-distance-bottom:0.00pt;flip:x;z-index:1;" stroked="f">
              <v:imagedata r:id="rId1" o:title=""/>
              <o:lock v:ext="edit" rotation="t"/>
            </v:shape>
          </w:pict>
        </mc:Fallback>
      </mc:AlternateContent>
    </w:r>
    <w:r>
      <w:t xml:space="preserve">          </w:t>
    </w:r>
    <w:r>
      <w:rPr>
        <w:sz w:val="12"/>
        <w:szCs w:val="12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604895" cy="662305"/>
              <wp:effectExtent l="0" t="0" r="0" b="0"/>
              <wp:docPr id="2" name="Imagem 1" descr="logo-novo-cps-cor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m 1" descr="logo-novo-cps-cor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604895" cy="662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283.85pt;height:52.1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rPr>
        <w:sz w:val="12"/>
        <w:szCs w:val="12"/>
      </w:rPr>
      <w:br/>
    </w:r>
    <w:r>
      <w:t xml:space="preserve">______________________________________________________________</w:t>
    </w:r>
    <w:r/>
  </w:p>
  <w:p>
    <w:pPr>
      <w:pStyle w:val="864"/>
      <w:pBdr/>
      <w:spacing/>
      <w:ind/>
      <w:jc w:val="center"/>
      <w:rPr/>
    </w:pPr>
    <w:r>
      <w:t xml:space="preserve">Unidade de Ensino Médio e Técnico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4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808990" cy="777875"/>
              <wp:effectExtent l="0" t="0" r="0" b="0"/>
              <wp:docPr id="3" name="Imagem 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 3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flipH="1">
                        <a:off x="0" y="0"/>
                        <a:ext cx="808989" cy="777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width:63.70pt;height:61.25pt;mso-wrap-distance-left:0.00pt;mso-wrap-distance-top:0.00pt;mso-wrap-distance-right:0.00pt;mso-wrap-distance-bottom:0.00pt;flip:x;z-index:1;" stroked="f">
              <v:imagedata r:id="rId1" o:title=""/>
              <o:lock v:ext="edit" rotation="t"/>
            </v:shape>
          </w:pict>
        </mc:Fallback>
      </mc:AlternateContent>
    </w:r>
    <w:r>
      <w:t xml:space="preserve">         </w:t>
    </w:r>
    <w:r>
      <w:rPr>
        <w:sz w:val="12"/>
        <w:szCs w:val="12"/>
      </w:rPr>
      <mc:AlternateContent>
        <mc:Choice Requires="wpg">
          <w:drawing>
            <wp:inline xmlns:wp="http://schemas.openxmlformats.org/drawingml/2006/wordprocessingDrawing" distT="0" distB="0" distL="0" distR="0">
              <wp:extent cx="3604895" cy="662305"/>
              <wp:effectExtent l="0" t="0" r="0" b="0"/>
              <wp:docPr id="4" name="Imagem 4" descr="logo-novo-cps-cor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 4" descr="logo-novo-cps-cor"/>
                      <pic:cNvPicPr/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3604895" cy="662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width:283.85pt;height:52.1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rPr>
        <w:sz w:val="12"/>
        <w:szCs w:val="12"/>
      </w:rPr>
      <w:br/>
    </w:r>
    <w:r>
      <w:t xml:space="preserve">______________________________________________________________</w:t>
    </w:r>
    <w:r/>
  </w:p>
  <w:p>
    <w:pPr>
      <w:pBdr/>
      <w:spacing/>
      <w:ind/>
      <w:jc w:val="center"/>
      <w:rPr>
        <w:sz w:val="16"/>
        <w:szCs w:val="16"/>
      </w:rPr>
    </w:pPr>
    <w:r>
      <w:t xml:space="preserve">Unidade de Ensino Médio e Técnico</w:t>
    </w:r>
    <w:r>
      <w:rPr>
        <w:sz w:val="16"/>
        <w:szCs w:val="16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4"/>
      <w:pBdr/>
      <w:spacing/>
      <w:ind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10</w:t>
    </w:r>
    <w:r>
      <w:fldChar w:fldCharType="end"/>
    </w:r>
    <w:r/>
  </w:p>
  <w:p>
    <w:pPr>
      <w:pStyle w:val="864"/>
      <w:pBdr/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4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64"/>
      <w:pBdr/>
      <w:spacing/>
      <w:ind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3</w:t>
    </w:r>
    <w:r>
      <w:fldChar w:fldCharType="end"/>
    </w:r>
    <w:r/>
  </w:p>
  <w:p>
    <w:pPr>
      <w:pStyle w:val="86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A109B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0B896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EE07AE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4F590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7F20132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197A1A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05" w:left="765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854"/>
    <w:next w:val="85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4"/>
    <w:next w:val="85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4"/>
    <w:next w:val="85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4"/>
    <w:next w:val="85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4"/>
    <w:next w:val="85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4"/>
    <w:next w:val="85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4"/>
    <w:next w:val="85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57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57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5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5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5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5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5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5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5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4"/>
    <w:next w:val="85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5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57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4"/>
    <w:next w:val="8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5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4"/>
    <w:next w:val="8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5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57"/>
    <w:link w:val="864"/>
    <w:uiPriority w:val="99"/>
    <w:pPr>
      <w:pBdr/>
      <w:spacing/>
      <w:ind/>
    </w:pPr>
  </w:style>
  <w:style w:type="character" w:styleId="179">
    <w:name w:val="Footer Char"/>
    <w:basedOn w:val="857"/>
    <w:link w:val="866"/>
    <w:uiPriority w:val="99"/>
    <w:pPr>
      <w:pBdr/>
      <w:spacing/>
      <w:ind/>
    </w:pPr>
  </w:style>
  <w:style w:type="paragraph" w:styleId="180">
    <w:name w:val="Caption"/>
    <w:basedOn w:val="854"/>
    <w:next w:val="8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854"/>
    <w:next w:val="854"/>
    <w:uiPriority w:val="99"/>
    <w:unhideWhenUsed/>
    <w:pPr>
      <w:pBdr/>
      <w:spacing w:after="0" w:afterAutospacing="0"/>
      <w:ind/>
    </w:pPr>
  </w:style>
  <w:style w:type="paragraph" w:styleId="854" w:default="1">
    <w:name w:val="Normal"/>
    <w:qFormat/>
    <w:pPr>
      <w:suppressLineNumbers w:val="false"/>
      <w:pBdr/>
      <w:bidi w:val="false"/>
      <w:spacing w:after="0" w:afterAutospacing="0" w:line="360" w:lineRule="auto"/>
      <w:ind w:firstLine="720" w:left="0"/>
      <w:jc w:val="both"/>
    </w:pPr>
    <w:rPr>
      <w:rFonts w:ascii="system-ui" w:hAnsi="system-ui" w:eastAsia="system-ui" w:cs="system-ui"/>
      <w:b w:val="0"/>
      <w:bCs w:val="0"/>
      <w:i w:val="0"/>
      <w:iCs w:val="0"/>
      <w:caps w:val="0"/>
      <w:smallCaps w:val="0"/>
      <w:color w:val="000000"/>
      <w:sz w:val="24"/>
      <w:szCs w:val="24"/>
      <w:lang w:val="pt-BR" w:eastAsia="en-US"/>
    </w:rPr>
  </w:style>
  <w:style w:type="paragraph" w:styleId="855">
    <w:name w:val="Heading 1"/>
    <w:basedOn w:val="854"/>
    <w:next w:val="854"/>
    <w:link w:val="860"/>
    <w:uiPriority w:val="9"/>
    <w:qFormat/>
    <w:pPr>
      <w:keepNext w:val="true"/>
      <w:keepLines w:val="true"/>
      <w:pBdr/>
      <w:spacing/>
      <w:ind/>
      <w:jc w:val="left"/>
      <w:outlineLvl w:val="0"/>
    </w:pPr>
    <w:rPr>
      <w:b/>
      <w:szCs w:val="32"/>
    </w:rPr>
  </w:style>
  <w:style w:type="paragraph" w:styleId="856">
    <w:name w:val="Heading 2"/>
    <w:basedOn w:val="854"/>
    <w:next w:val="854"/>
    <w:link w:val="878"/>
    <w:uiPriority w:val="9"/>
    <w:unhideWhenUsed/>
    <w:qFormat/>
    <w:pPr>
      <w:keepNext w:val="true"/>
      <w:framePr w:hAnchor="text" w:hSpace="141" w:vAnchor="text" w:wrap="around" w:x="-10" w:y="1"/>
      <w:pBdr/>
      <w:spacing w:after="0" w:line="240" w:lineRule="auto"/>
      <w:ind/>
      <w:jc w:val="center"/>
      <w:outlineLvl w:val="1"/>
    </w:pPr>
    <w:rPr>
      <w:b/>
      <w:bCs/>
      <w:szCs w:val="24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table" w:styleId="85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9" w:default="1">
    <w:name w:val="No List"/>
    <w:uiPriority w:val="99"/>
    <w:semiHidden/>
    <w:unhideWhenUsed/>
    <w:pPr>
      <w:pBdr/>
      <w:spacing/>
      <w:ind/>
    </w:pPr>
  </w:style>
  <w:style w:type="character" w:styleId="860" w:customStyle="1">
    <w:name w:val="Título 1 Char"/>
    <w:link w:val="855"/>
    <w:uiPriority w:val="9"/>
    <w:pPr>
      <w:pBdr/>
      <w:spacing/>
      <w:ind/>
    </w:pPr>
    <w:rPr>
      <w:rFonts w:ascii="Arial" w:hAnsi="Arial" w:eastAsia="Times New Roman"/>
      <w:b/>
      <w:color w:val="000000"/>
      <w:sz w:val="24"/>
      <w:szCs w:val="32"/>
      <w:lang w:eastAsia="en-US"/>
    </w:rPr>
  </w:style>
  <w:style w:type="paragraph" w:styleId="861">
    <w:name w:val="TOC Heading"/>
    <w:basedOn w:val="855"/>
    <w:next w:val="854"/>
    <w:uiPriority w:val="39"/>
    <w:unhideWhenUsed/>
    <w:qFormat/>
    <w:pPr>
      <w:pBdr/>
      <w:spacing/>
      <w:ind/>
      <w:outlineLvl w:val="9"/>
    </w:pPr>
    <w:rPr>
      <w:rFonts w:ascii="Calibri Light" w:hAnsi="Calibri Light"/>
      <w:b w:val="0"/>
      <w:color w:val="2f5496"/>
      <w:sz w:val="32"/>
      <w:lang w:eastAsia="pt-BR"/>
    </w:rPr>
  </w:style>
  <w:style w:type="paragraph" w:styleId="862">
    <w:name w:val="toc 1"/>
    <w:basedOn w:val="854"/>
    <w:next w:val="854"/>
    <w:uiPriority w:val="39"/>
    <w:unhideWhenUsed/>
    <w:pPr>
      <w:pBdr/>
      <w:tabs>
        <w:tab w:val="right" w:leader="dot" w:pos="9061"/>
      </w:tabs>
      <w:spacing w:before="120"/>
      <w:ind/>
    </w:pPr>
    <w:rPr>
      <w:rFonts w:ascii="Calibri" w:hAnsi="Calibri" w:cs="Calibri"/>
      <w:b/>
      <w:bCs/>
      <w:caps/>
      <w:sz w:val="20"/>
      <w:szCs w:val="20"/>
    </w:rPr>
  </w:style>
  <w:style w:type="character" w:styleId="86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paragraph" w:styleId="864">
    <w:name w:val="Header"/>
    <w:basedOn w:val="854"/>
    <w:link w:val="865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65" w:customStyle="1">
    <w:name w:val="Cabeçalho Char"/>
    <w:link w:val="864"/>
    <w:uiPriority w:val="99"/>
    <w:pPr>
      <w:pBdr/>
      <w:spacing/>
      <w:ind/>
    </w:pPr>
    <w:rPr>
      <w:rFonts w:ascii="Arial" w:hAnsi="Arial" w:eastAsia="Times New Roman" w:cs="Times New Roman"/>
      <w:color w:val="000000"/>
      <w:lang w:eastAsia="pt-BR"/>
    </w:rPr>
  </w:style>
  <w:style w:type="paragraph" w:styleId="866">
    <w:name w:val="Footer"/>
    <w:basedOn w:val="854"/>
    <w:link w:val="867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67" w:customStyle="1">
    <w:name w:val="Rodapé Char"/>
    <w:link w:val="866"/>
    <w:uiPriority w:val="99"/>
    <w:pPr>
      <w:pBdr/>
      <w:spacing/>
      <w:ind/>
    </w:pPr>
    <w:rPr>
      <w:rFonts w:ascii="Arial" w:hAnsi="Arial" w:eastAsia="Times New Roman" w:cs="Times New Roman"/>
      <w:color w:val="000000"/>
      <w:lang w:eastAsia="pt-BR"/>
    </w:rPr>
  </w:style>
  <w:style w:type="paragraph" w:styleId="868">
    <w:name w:val="toc 2"/>
    <w:basedOn w:val="854"/>
    <w:next w:val="854"/>
    <w:uiPriority w:val="39"/>
    <w:unhideWhenUsed/>
    <w:pPr>
      <w:framePr w:hAnchor="text" w:hSpace="141" w:vAnchor="text" w:wrap="around" w:x="-10" w:y="1"/>
      <w:pBdr/>
      <w:spacing w:after="0" w:line="240" w:lineRule="auto"/>
      <w:ind/>
    </w:pPr>
    <w:rPr>
      <w:rFonts w:cs="Arial"/>
      <w:smallCaps/>
      <w:szCs w:val="24"/>
    </w:rPr>
  </w:style>
  <w:style w:type="paragraph" w:styleId="869">
    <w:name w:val="Subtitle"/>
    <w:basedOn w:val="854"/>
    <w:next w:val="854"/>
    <w:link w:val="870"/>
    <w:uiPriority w:val="11"/>
    <w:qFormat/>
    <w:pPr>
      <w:numPr>
        <w:ilvl w:val="1"/>
      </w:numPr>
      <w:pBdr/>
      <w:spacing w:after="160"/>
      <w:ind/>
    </w:pPr>
    <w:rPr>
      <w:b/>
      <w:spacing w:val="15"/>
    </w:rPr>
  </w:style>
  <w:style w:type="character" w:styleId="870" w:customStyle="1">
    <w:name w:val="Subtítulo Char"/>
    <w:link w:val="869"/>
    <w:uiPriority w:val="11"/>
    <w:pPr>
      <w:pBdr/>
      <w:spacing/>
      <w:ind/>
    </w:pPr>
    <w:rPr>
      <w:rFonts w:ascii="Arial" w:hAnsi="Arial" w:eastAsia="Times New Roman"/>
      <w:b/>
      <w:color w:val="000000"/>
      <w:spacing w:val="15"/>
      <w:sz w:val="24"/>
      <w:lang w:eastAsia="pt-BR"/>
    </w:rPr>
  </w:style>
  <w:style w:type="paragraph" w:styleId="871">
    <w:name w:val="toc 3"/>
    <w:basedOn w:val="854"/>
    <w:next w:val="854"/>
    <w:uiPriority w:val="39"/>
    <w:unhideWhenUsed/>
    <w:pPr>
      <w:pBdr/>
      <w:spacing w:after="0"/>
      <w:ind w:left="440"/>
    </w:pPr>
    <w:rPr>
      <w:rFonts w:ascii="Calibri" w:hAnsi="Calibri" w:cs="Calibri"/>
      <w:i/>
      <w:iCs/>
      <w:sz w:val="20"/>
      <w:szCs w:val="20"/>
    </w:rPr>
  </w:style>
  <w:style w:type="paragraph" w:styleId="872">
    <w:name w:val="toc 4"/>
    <w:basedOn w:val="854"/>
    <w:next w:val="854"/>
    <w:uiPriority w:val="39"/>
    <w:unhideWhenUsed/>
    <w:pPr>
      <w:pBdr/>
      <w:spacing w:after="0"/>
      <w:ind w:left="660"/>
    </w:pPr>
    <w:rPr>
      <w:rFonts w:ascii="Calibri" w:hAnsi="Calibri" w:cs="Calibri"/>
      <w:sz w:val="18"/>
      <w:szCs w:val="18"/>
    </w:rPr>
  </w:style>
  <w:style w:type="paragraph" w:styleId="873">
    <w:name w:val="toc 5"/>
    <w:basedOn w:val="854"/>
    <w:next w:val="854"/>
    <w:uiPriority w:val="39"/>
    <w:unhideWhenUsed/>
    <w:pPr>
      <w:pBdr/>
      <w:spacing w:after="0"/>
      <w:ind w:left="880"/>
    </w:pPr>
    <w:rPr>
      <w:rFonts w:ascii="Calibri" w:hAnsi="Calibri" w:cs="Calibri"/>
      <w:sz w:val="18"/>
      <w:szCs w:val="18"/>
    </w:rPr>
  </w:style>
  <w:style w:type="paragraph" w:styleId="874">
    <w:name w:val="toc 6"/>
    <w:basedOn w:val="854"/>
    <w:next w:val="854"/>
    <w:uiPriority w:val="39"/>
    <w:unhideWhenUsed/>
    <w:pPr>
      <w:pBdr/>
      <w:spacing w:after="0"/>
      <w:ind w:left="1100"/>
    </w:pPr>
    <w:rPr>
      <w:rFonts w:ascii="Calibri" w:hAnsi="Calibri" w:cs="Calibri"/>
      <w:sz w:val="18"/>
      <w:szCs w:val="18"/>
    </w:rPr>
  </w:style>
  <w:style w:type="paragraph" w:styleId="875">
    <w:name w:val="toc 7"/>
    <w:basedOn w:val="854"/>
    <w:next w:val="854"/>
    <w:uiPriority w:val="39"/>
    <w:unhideWhenUsed/>
    <w:pPr>
      <w:pBdr/>
      <w:spacing w:after="0"/>
      <w:ind w:left="1320"/>
    </w:pPr>
    <w:rPr>
      <w:rFonts w:ascii="Calibri" w:hAnsi="Calibri" w:cs="Calibri"/>
      <w:sz w:val="18"/>
      <w:szCs w:val="18"/>
    </w:rPr>
  </w:style>
  <w:style w:type="paragraph" w:styleId="876">
    <w:name w:val="toc 8"/>
    <w:basedOn w:val="854"/>
    <w:next w:val="854"/>
    <w:uiPriority w:val="39"/>
    <w:unhideWhenUsed/>
    <w:pPr>
      <w:pBdr/>
      <w:spacing w:after="0"/>
      <w:ind w:left="1540"/>
    </w:pPr>
    <w:rPr>
      <w:rFonts w:ascii="Calibri" w:hAnsi="Calibri" w:cs="Calibri"/>
      <w:sz w:val="18"/>
      <w:szCs w:val="18"/>
    </w:rPr>
  </w:style>
  <w:style w:type="paragraph" w:styleId="877">
    <w:name w:val="toc 9"/>
    <w:basedOn w:val="854"/>
    <w:next w:val="854"/>
    <w:uiPriority w:val="39"/>
    <w:unhideWhenUsed/>
    <w:pPr>
      <w:pBdr/>
      <w:spacing w:after="0"/>
      <w:ind w:left="1760"/>
    </w:pPr>
    <w:rPr>
      <w:rFonts w:ascii="Calibri" w:hAnsi="Calibri" w:cs="Calibri"/>
      <w:sz w:val="18"/>
      <w:szCs w:val="18"/>
    </w:rPr>
  </w:style>
  <w:style w:type="character" w:styleId="878" w:customStyle="1">
    <w:name w:val="Título 2 Char"/>
    <w:link w:val="856"/>
    <w:uiPriority w:val="9"/>
    <w:pPr>
      <w:pBdr/>
      <w:spacing/>
      <w:ind/>
    </w:pPr>
    <w:rPr>
      <w:rFonts w:ascii="Arial" w:hAnsi="Arial" w:eastAsia="Times New Roman"/>
      <w:b/>
      <w:bCs/>
      <w:color w:val="000000"/>
      <w:sz w:val="24"/>
      <w:szCs w:val="24"/>
    </w:rPr>
  </w:style>
  <w:style w:type="paragraph" w:styleId="879">
    <w:name w:val="List Paragraph"/>
    <w:basedOn w:val="854"/>
    <w:uiPriority w:val="34"/>
    <w:qFormat/>
    <w:pPr>
      <w:pBdr/>
      <w:spacing/>
      <w:ind w:left="708"/>
    </w:pPr>
  </w:style>
  <w:style w:type="table" w:styleId="880">
    <w:name w:val="Table Grid"/>
    <w:basedOn w:val="85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customXml" Target="../customXml/item1.xml" /><Relationship Id="rId15" Type="http://schemas.openxmlformats.org/officeDocument/2006/relationships/customXml" Target="../customXml/item2.xml" /><Relationship Id="rId16" Type="http://schemas.openxmlformats.org/officeDocument/2006/relationships/customXml" Target="../customXml/item3.xml" /><Relationship Id="rId17" Type="http://schemas.openxmlformats.org/officeDocument/2006/relationships/customXml" Target="../customXml/item4.xml" /><Relationship Id="rId18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BCFAF01A660F41ABC025CC4541BAEB" ma:contentTypeVersion="5" ma:contentTypeDescription="Crie um novo documento." ma:contentTypeScope="" ma:versionID="51f3662eae7fba1e0954cf0e69e64d16">
  <xsd:schema xmlns:xsd="http://www.w3.org/2001/XMLSchema" xmlns:xs="http://www.w3.org/2001/XMLSchema" xmlns:p="http://schemas.microsoft.com/office/2006/metadata/properties" xmlns:ns2="2eb63fca-a281-4775-834a-d580abc24019" xmlns:ns3="abe3c918-7ece-49d1-8c42-f08ef9b6658d" targetNamespace="http://schemas.microsoft.com/office/2006/metadata/properties" ma:root="true" ma:fieldsID="3aeda0270840d846d2725bb62fb944ee" ns2:_="" ns3:_="">
    <xsd:import namespace="2eb63fca-a281-4775-834a-d580abc24019"/>
    <xsd:import namespace="abe3c918-7ece-49d1-8c42-f08ef9b665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63fca-a281-4775-834a-d580abc240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3c918-7ece-49d1-8c42-f08ef9b665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eb63fca-a281-4775-834a-d580abc24019" xsi:nil="true"/>
  </documentManagement>
</p:properties>
</file>

<file path=customXml/itemProps1.xml><?xml version="1.0" encoding="utf-8"?>
<ds:datastoreItem xmlns:ds="http://schemas.openxmlformats.org/officeDocument/2006/customXml" ds:itemID="{30EBBA28-7760-401A-AECE-BA2B1021F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294E9B-A8F7-4A89-ABD1-C32E56D2E1AB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39CDC3B4-73F8-400A-9801-7FA61CF87CD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eb63fca-a281-4775-834a-d580abc24019"/>
    <ds:schemaRef ds:uri="abe3c918-7ece-49d1-8c42-f08ef9b6658d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D4B6FF-A714-403C-AC42-B7A5AF7CB0AD}">
  <ds:schemaRefs>
    <ds:schemaRef ds:uri="http://schemas.microsoft.com/office/2006/metadata/properties"/>
    <ds:schemaRef ds:uri="http://www.w3.org/2000/xmlns/"/>
    <ds:schemaRef ds:uri="2eb63fca-a281-4775-834a-d580abc24019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2025-11-01T05:11:45Z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0x010100BABCFAF01A660F41ABC025CC4541BAEB</vt:lpwstr>
  </property>
</Properties>
</file>