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23A2" w14:textId="42EC2F08" w:rsidR="00E24CA1" w:rsidRPr="00E24CA1" w:rsidRDefault="00E24CA1" w:rsidP="00440E1F">
      <w:pPr>
        <w:rPr>
          <w:b/>
          <w:bCs/>
          <w:sz w:val="28"/>
          <w:szCs w:val="28"/>
        </w:rPr>
      </w:pPr>
      <w:r w:rsidRPr="00E24CA1">
        <w:rPr>
          <w:b/>
          <w:bCs/>
          <w:sz w:val="28"/>
          <w:szCs w:val="28"/>
        </w:rPr>
        <w:t>Formulário NEXOR – BITEPLANER para Avaliação Inicial do Cliente pelo Dentista Licenciado – V1.0</w:t>
      </w:r>
    </w:p>
    <w:p w14:paraId="316700BC" w14:textId="5217F9E6" w:rsidR="00440E1F" w:rsidRPr="00440E1F" w:rsidRDefault="00E24CA1" w:rsidP="00440E1F">
      <w:pPr>
        <w:rPr>
          <w:b/>
          <w:bCs/>
        </w:rPr>
      </w:pPr>
      <w:r w:rsidRPr="008739F5">
        <w:rPr>
          <w:b/>
          <w:bCs/>
        </w:rPr>
        <w:t>Documento de Conformidade com a LGPD</w:t>
      </w:r>
      <w:r>
        <w:rPr>
          <w:b/>
          <w:bCs/>
        </w:rPr>
        <w:t>-</w:t>
      </w:r>
      <w:r w:rsidR="00440E1F" w:rsidRPr="00440E1F">
        <w:rPr>
          <w:b/>
          <w:bCs/>
        </w:rPr>
        <w:t xml:space="preserve">Tabela de Revisão – Foco em Pesquisa Qualitativa, Compliance, Governança e LGPD </w:t>
      </w:r>
    </w:p>
    <w:p w14:paraId="5793F7C0" w14:textId="6B43193E" w:rsidR="00440E1F" w:rsidRPr="00440E1F" w:rsidRDefault="00440E1F" w:rsidP="00440E1F"/>
    <w:tbl>
      <w:tblPr>
        <w:tblStyle w:val="TabeladeGrade5Escura-nfase4"/>
        <w:tblW w:w="0" w:type="auto"/>
        <w:tblLook w:val="04A0" w:firstRow="1" w:lastRow="0" w:firstColumn="1" w:lastColumn="0" w:noHBand="0" w:noVBand="1"/>
      </w:tblPr>
      <w:tblGrid>
        <w:gridCol w:w="1770"/>
        <w:gridCol w:w="1489"/>
        <w:gridCol w:w="2817"/>
        <w:gridCol w:w="3004"/>
        <w:gridCol w:w="2394"/>
        <w:gridCol w:w="2520"/>
      </w:tblGrid>
      <w:tr w:rsidR="00440E1F" w:rsidRPr="00440E1F" w14:paraId="17B7CA0B" w14:textId="77777777" w:rsidTr="00440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45737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Seção / Nº da questão</w:t>
            </w:r>
          </w:p>
        </w:tc>
        <w:tc>
          <w:tcPr>
            <w:tcW w:w="0" w:type="auto"/>
            <w:hideMark/>
          </w:tcPr>
          <w:p w14:paraId="6FE2CA58" w14:textId="77777777" w:rsidR="00440E1F" w:rsidRPr="00440E1F" w:rsidRDefault="00440E1F" w:rsidP="00440E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Tipo de ajuste</w:t>
            </w:r>
          </w:p>
        </w:tc>
        <w:tc>
          <w:tcPr>
            <w:tcW w:w="0" w:type="auto"/>
            <w:hideMark/>
          </w:tcPr>
          <w:p w14:paraId="6A798B5A" w14:textId="77777777" w:rsidR="00440E1F" w:rsidRPr="00440E1F" w:rsidRDefault="00440E1F" w:rsidP="00440E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Comentário (finalidade de pesquisa qualitativa, compliance e governança)</w:t>
            </w:r>
          </w:p>
        </w:tc>
        <w:tc>
          <w:tcPr>
            <w:tcW w:w="0" w:type="auto"/>
            <w:hideMark/>
          </w:tcPr>
          <w:p w14:paraId="53E3DF6D" w14:textId="77777777" w:rsidR="00440E1F" w:rsidRPr="00440E1F" w:rsidRDefault="00440E1F" w:rsidP="00440E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Pontos de conflito com a LGPD / questões legais</w:t>
            </w:r>
          </w:p>
        </w:tc>
        <w:tc>
          <w:tcPr>
            <w:tcW w:w="0" w:type="auto"/>
            <w:hideMark/>
          </w:tcPr>
          <w:p w14:paraId="67FF295E" w14:textId="77777777" w:rsidR="00440E1F" w:rsidRPr="00440E1F" w:rsidRDefault="00440E1F" w:rsidP="00440E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Ação recomendada</w:t>
            </w:r>
          </w:p>
        </w:tc>
        <w:tc>
          <w:tcPr>
            <w:tcW w:w="0" w:type="auto"/>
            <w:hideMark/>
          </w:tcPr>
          <w:p w14:paraId="42E2F402" w14:textId="77777777" w:rsidR="00440E1F" w:rsidRPr="00440E1F" w:rsidRDefault="00440E1F" w:rsidP="00440E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Prazo de retenção na plataforma </w:t>
            </w:r>
            <w:proofErr w:type="spellStart"/>
            <w:r w:rsidRPr="00440E1F">
              <w:t>ethosX</w:t>
            </w:r>
            <w:proofErr w:type="spellEnd"/>
            <w:r w:rsidRPr="00440E1F">
              <w:t>*</w:t>
            </w:r>
          </w:p>
        </w:tc>
      </w:tr>
      <w:tr w:rsidR="00440E1F" w:rsidRPr="00440E1F" w14:paraId="31DF36C5" w14:textId="77777777" w:rsidTr="0044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ECF42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Política de Privacidade – Q1 (“Li e concordo…”)</w:t>
            </w:r>
          </w:p>
        </w:tc>
        <w:tc>
          <w:tcPr>
            <w:tcW w:w="0" w:type="auto"/>
            <w:hideMark/>
          </w:tcPr>
          <w:p w14:paraId="18F1C07D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Tornar o consentimento mais granular e explicitar uso em pesquisa</w:t>
            </w:r>
          </w:p>
        </w:tc>
        <w:tc>
          <w:tcPr>
            <w:tcW w:w="0" w:type="auto"/>
            <w:hideMark/>
          </w:tcPr>
          <w:p w14:paraId="0D724704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O texto informa que parte dos dados é tratada em nome dos dentistas e parte em nome da NEXOR, mas não explicita de forma clara: (i) uso para atendimento clínico; (</w:t>
            </w:r>
            <w:proofErr w:type="spellStart"/>
            <w:r w:rsidRPr="00440E1F">
              <w:t>ii</w:t>
            </w:r>
            <w:proofErr w:type="spellEnd"/>
            <w:r w:rsidRPr="00440E1F">
              <w:t xml:space="preserve">) uso em </w:t>
            </w:r>
            <w:r w:rsidRPr="00440E1F">
              <w:rPr>
                <w:b/>
                <w:bCs/>
              </w:rPr>
              <w:t>pesquisa qualitativa</w:t>
            </w:r>
            <w:r w:rsidRPr="00440E1F">
              <w:t xml:space="preserve"> (melhoria de produto, estudos observacionais); (</w:t>
            </w:r>
            <w:proofErr w:type="spellStart"/>
            <w:r w:rsidRPr="00440E1F">
              <w:t>iii</w:t>
            </w:r>
            <w:proofErr w:type="spellEnd"/>
            <w:r w:rsidRPr="00440E1F">
              <w:t xml:space="preserve">) uso eventual em comunicações. Para pesquisa, a finalidade </w:t>
            </w:r>
            <w:r w:rsidRPr="00440E1F">
              <w:lastRenderedPageBreak/>
              <w:t>precisa estar bem destacada.</w:t>
            </w:r>
          </w:p>
        </w:tc>
        <w:tc>
          <w:tcPr>
            <w:tcW w:w="0" w:type="auto"/>
            <w:hideMark/>
          </w:tcPr>
          <w:p w14:paraId="741B2DFE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>Consentimento genérico tende a ser frágil perante a LGPD (art. 8º). Para dados sensíveis de saúde (anamnese), a base principal é tutela da saúde; uso adicional em pesquisa exige informação clara e, preferencialmente, anonimização e/ou consentimento específico para fins de pesquisa e desenvolvimento (art. 11, II, f).</w:t>
            </w:r>
          </w:p>
        </w:tc>
        <w:tc>
          <w:tcPr>
            <w:tcW w:w="0" w:type="auto"/>
            <w:hideMark/>
          </w:tcPr>
          <w:p w14:paraId="51C0610C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 xml:space="preserve">Manter a questão, mas desdobrar o texto da política (na própria política ou em aviso curto): explicitar que dados poderão ser usados em estudos qualitativos/quantitativos, </w:t>
            </w:r>
            <w:r w:rsidRPr="00440E1F">
              <w:rPr>
                <w:b/>
                <w:bCs/>
              </w:rPr>
              <w:t>sempre em forma agregada e/ou anonimizados</w:t>
            </w:r>
            <w:r w:rsidRPr="00440E1F">
              <w:t xml:space="preserve">, para melhoria do BITEPLANER e da plataforma. </w:t>
            </w:r>
            <w:proofErr w:type="spellStart"/>
            <w:r w:rsidRPr="00440E1F">
              <w:lastRenderedPageBreak/>
              <w:t>Optional</w:t>
            </w:r>
            <w:proofErr w:type="spellEnd"/>
            <w:r w:rsidRPr="00440E1F">
              <w:t xml:space="preserve">: </w:t>
            </w:r>
            <w:proofErr w:type="spellStart"/>
            <w:r w:rsidRPr="00440E1F">
              <w:t>checkbox</w:t>
            </w:r>
            <w:proofErr w:type="spellEnd"/>
            <w:r w:rsidRPr="00440E1F">
              <w:t xml:space="preserve"> adicional “Autorizo uso em pesquisa”.</w:t>
            </w:r>
          </w:p>
        </w:tc>
        <w:tc>
          <w:tcPr>
            <w:tcW w:w="0" w:type="auto"/>
            <w:hideMark/>
          </w:tcPr>
          <w:p w14:paraId="5C57DDA7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Dados clínicos: até </w:t>
            </w:r>
            <w:r w:rsidRPr="00440E1F">
              <w:rPr>
                <w:b/>
                <w:bCs/>
              </w:rPr>
              <w:t>20 anos</w:t>
            </w:r>
            <w:r w:rsidRPr="00440E1F">
              <w:t xml:space="preserve"> (boa prática de prontuário odontológico). Dados utilizados em pesquisa qualitativa: bases </w:t>
            </w:r>
            <w:r w:rsidRPr="00440E1F">
              <w:rPr>
                <w:b/>
                <w:bCs/>
              </w:rPr>
              <w:t>anonimizadas</w:t>
            </w:r>
            <w:r w:rsidRPr="00440E1F">
              <w:t xml:space="preserve"> podem ser mantidas pelo tempo necessário aos estudos.</w:t>
            </w:r>
          </w:p>
        </w:tc>
      </w:tr>
      <w:tr w:rsidR="00440E1F" w:rsidRPr="00440E1F" w14:paraId="7CB3AD77" w14:textId="77777777" w:rsidTr="0044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4FB02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Seção 3 – Histórico médico geral – Q1–Q6</w:t>
            </w:r>
          </w:p>
        </w:tc>
        <w:tc>
          <w:tcPr>
            <w:tcW w:w="0" w:type="auto"/>
            <w:hideMark/>
          </w:tcPr>
          <w:p w14:paraId="005E5499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 conteúdo; explicitar uso para pesquisa observacional</w:t>
            </w:r>
          </w:p>
        </w:tc>
        <w:tc>
          <w:tcPr>
            <w:tcW w:w="0" w:type="auto"/>
            <w:hideMark/>
          </w:tcPr>
          <w:p w14:paraId="3DE00F08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Questões são estritamente clínicas, mas extremamente úteis para </w:t>
            </w:r>
            <w:r w:rsidRPr="00440E1F">
              <w:rPr>
                <w:b/>
                <w:bCs/>
              </w:rPr>
              <w:t>pesquisa qualitativa/observacional</w:t>
            </w:r>
            <w:r w:rsidRPr="00440E1F">
              <w:t xml:space="preserve"> (relação entre doenças sistêmicas, sono, dor e performance). A estrutura é adequada e necessária tanto para clínica quanto para estudos científicos futuros.</w:t>
            </w:r>
          </w:p>
        </w:tc>
        <w:tc>
          <w:tcPr>
            <w:tcW w:w="0" w:type="auto"/>
            <w:hideMark/>
          </w:tcPr>
          <w:p w14:paraId="57AD6825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Dados de saúde = dados sensíveis (art. 5º, II; art. 11). A base para assistência é tutela da saúde; uso para pesquisa exige proteção adicional (preferência por anonimização/</w:t>
            </w:r>
            <w:proofErr w:type="spellStart"/>
            <w:r w:rsidRPr="00440E1F">
              <w:t>pseudonimização</w:t>
            </w:r>
            <w:proofErr w:type="spellEnd"/>
            <w:r w:rsidRPr="00440E1F">
              <w:t>, eventuais requisitos éticos).</w:t>
            </w:r>
          </w:p>
        </w:tc>
        <w:tc>
          <w:tcPr>
            <w:tcW w:w="0" w:type="auto"/>
            <w:hideMark/>
          </w:tcPr>
          <w:p w14:paraId="32812B2F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 todas as questões. Em documento de privacidade, incluir seção específica: “Dados de saúde podem ser usados em estudos observacionais, em formato anonimizado, para pesquisa em bioengenharia e prevenção atlética orofacial.”</w:t>
            </w:r>
          </w:p>
        </w:tc>
        <w:tc>
          <w:tcPr>
            <w:tcW w:w="0" w:type="auto"/>
            <w:hideMark/>
          </w:tcPr>
          <w:p w14:paraId="20627874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Como parte do prontuário: 20 anos. Em </w:t>
            </w:r>
            <w:proofErr w:type="spellStart"/>
            <w:r w:rsidRPr="00440E1F">
              <w:t>datasets</w:t>
            </w:r>
            <w:proofErr w:type="spellEnd"/>
            <w:r w:rsidRPr="00440E1F">
              <w:t xml:space="preserve"> de pesquisa qualitativa: manter apenas variáveis clínicas, sem identificadores diretos (nome, e-mail, CPF), por prazo indeterminado com revisões periódicas.</w:t>
            </w:r>
          </w:p>
        </w:tc>
      </w:tr>
      <w:tr w:rsidR="00440E1F" w:rsidRPr="00440E1F" w14:paraId="0E21D386" w14:textId="77777777" w:rsidTr="0044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29855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Seção 3 – Histórico odontológico – Q1–Q7</w:t>
            </w:r>
          </w:p>
        </w:tc>
        <w:tc>
          <w:tcPr>
            <w:tcW w:w="0" w:type="auto"/>
            <w:hideMark/>
          </w:tcPr>
          <w:p w14:paraId="286AB026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 xml:space="preserve">Manter; marcar como bloco prioritário para </w:t>
            </w:r>
            <w:r w:rsidRPr="00440E1F">
              <w:lastRenderedPageBreak/>
              <w:t>pesquisa sobre DTM</w:t>
            </w:r>
          </w:p>
        </w:tc>
        <w:tc>
          <w:tcPr>
            <w:tcW w:w="0" w:type="auto"/>
            <w:hideMark/>
          </w:tcPr>
          <w:p w14:paraId="1FF46F48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Questões estruturam um perfil detalhado de DTM e dor orofacial – núcleo da </w:t>
            </w:r>
            <w:r w:rsidRPr="00440E1F">
              <w:rPr>
                <w:b/>
                <w:bCs/>
              </w:rPr>
              <w:t>pesquisa qualitativa</w:t>
            </w:r>
            <w:r w:rsidRPr="00440E1F">
              <w:t xml:space="preserve"> sobre quem se beneficia </w:t>
            </w:r>
            <w:r w:rsidRPr="00440E1F">
              <w:lastRenderedPageBreak/>
              <w:t>do BITEPLANER e como. Muito bem construído para comparação antes/depois.</w:t>
            </w:r>
          </w:p>
        </w:tc>
        <w:tc>
          <w:tcPr>
            <w:tcW w:w="0" w:type="auto"/>
            <w:hideMark/>
          </w:tcPr>
          <w:p w14:paraId="7F5DEFF3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Idem: dados sensíveis de saúde. Risco maior é de acesso indevido interno (time não clínico) ou vazamento. Também é </w:t>
            </w:r>
            <w:r w:rsidRPr="00440E1F">
              <w:lastRenderedPageBreak/>
              <w:t>importante garantir que uso para P&amp;D não leve a decisões comerciais discriminatórias com base em gravidade clínica.</w:t>
            </w:r>
          </w:p>
        </w:tc>
        <w:tc>
          <w:tcPr>
            <w:tcW w:w="0" w:type="auto"/>
            <w:hideMark/>
          </w:tcPr>
          <w:p w14:paraId="51CB3277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Manter integralmente. Em governança, delimitar: acesso </w:t>
            </w:r>
            <w:r w:rsidRPr="00440E1F">
              <w:rPr>
                <w:b/>
                <w:bCs/>
              </w:rPr>
              <w:t>nominal</w:t>
            </w:r>
            <w:r w:rsidRPr="00440E1F">
              <w:t xml:space="preserve"> a esses </w:t>
            </w:r>
            <w:r w:rsidRPr="00440E1F">
              <w:lastRenderedPageBreak/>
              <w:t xml:space="preserve">dados apenas ao dentista e a equipe clínica; equipe de pesquisa/produto deve receber dados </w:t>
            </w:r>
            <w:proofErr w:type="spellStart"/>
            <w:r w:rsidRPr="00440E1F">
              <w:t>pseudonimizados</w:t>
            </w:r>
            <w:proofErr w:type="spellEnd"/>
            <w:r w:rsidRPr="00440E1F">
              <w:t>.</w:t>
            </w:r>
          </w:p>
        </w:tc>
        <w:tc>
          <w:tcPr>
            <w:tcW w:w="0" w:type="auto"/>
            <w:hideMark/>
          </w:tcPr>
          <w:p w14:paraId="7B5BDC5D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20 anos (clínico). Para pesquisa qualitativa: usar base </w:t>
            </w:r>
            <w:proofErr w:type="spellStart"/>
            <w:r w:rsidRPr="00440E1F">
              <w:t>pseudonimizada</w:t>
            </w:r>
            <w:proofErr w:type="spellEnd"/>
            <w:r w:rsidRPr="00440E1F">
              <w:t xml:space="preserve">, com ID técnico, sem dados </w:t>
            </w:r>
            <w:r w:rsidRPr="00440E1F">
              <w:lastRenderedPageBreak/>
              <w:t>de identificação direta, e manter enquanto houver valor científico/analítico.</w:t>
            </w:r>
          </w:p>
        </w:tc>
      </w:tr>
      <w:tr w:rsidR="00440E1F" w:rsidRPr="00440E1F" w14:paraId="4D587828" w14:textId="77777777" w:rsidTr="0044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C7959" w14:textId="77777777" w:rsidR="00440E1F" w:rsidRPr="00440E1F" w:rsidRDefault="00440E1F" w:rsidP="00440E1F">
            <w:pPr>
              <w:spacing w:after="160" w:line="278" w:lineRule="auto"/>
            </w:pPr>
            <w:r w:rsidRPr="00440E1F">
              <w:lastRenderedPageBreak/>
              <w:t>Seção 3 – Histórico odontológico – Q8 (ortodontia) e próteses / elementos dentários</w:t>
            </w:r>
          </w:p>
        </w:tc>
        <w:tc>
          <w:tcPr>
            <w:tcW w:w="0" w:type="auto"/>
            <w:hideMark/>
          </w:tcPr>
          <w:p w14:paraId="5388119D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Manter; sem ajustes relevantes para LGPD</w:t>
            </w:r>
          </w:p>
        </w:tc>
        <w:tc>
          <w:tcPr>
            <w:tcW w:w="0" w:type="auto"/>
            <w:hideMark/>
          </w:tcPr>
          <w:p w14:paraId="26189C6A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Importantes para diagnóstico/prognóstico </w:t>
            </w:r>
            <w:proofErr w:type="gramStart"/>
            <w:r w:rsidRPr="00440E1F">
              <w:t>e também</w:t>
            </w:r>
            <w:proofErr w:type="gramEnd"/>
            <w:r w:rsidRPr="00440E1F">
              <w:t xml:space="preserve"> para pesquisas (p. ex., associação entre uso de ortodontia/próteses e resposta ao BITEPLANER).</w:t>
            </w:r>
          </w:p>
        </w:tc>
        <w:tc>
          <w:tcPr>
            <w:tcW w:w="0" w:type="auto"/>
            <w:hideMark/>
          </w:tcPr>
          <w:p w14:paraId="193542F6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Dados de saúde bucal (sensíveis). Porém, não há excesso ou desvio de finalidade.</w:t>
            </w:r>
          </w:p>
        </w:tc>
        <w:tc>
          <w:tcPr>
            <w:tcW w:w="0" w:type="auto"/>
            <w:hideMark/>
          </w:tcPr>
          <w:p w14:paraId="2B56908A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 como está.</w:t>
            </w:r>
          </w:p>
        </w:tc>
        <w:tc>
          <w:tcPr>
            <w:tcW w:w="0" w:type="auto"/>
            <w:hideMark/>
          </w:tcPr>
          <w:p w14:paraId="32F3C850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20 anos (prontuário). Em pesquisa, usar apenas categorias (tipo de aparelho/</w:t>
            </w:r>
            <w:proofErr w:type="spellStart"/>
            <w:r w:rsidRPr="00440E1F">
              <w:t>protese</w:t>
            </w:r>
            <w:proofErr w:type="spellEnd"/>
            <w:r w:rsidRPr="00440E1F">
              <w:t>) de forma anonimizada.</w:t>
            </w:r>
          </w:p>
        </w:tc>
      </w:tr>
      <w:tr w:rsidR="00440E1F" w:rsidRPr="00440E1F" w14:paraId="10591447" w14:textId="77777777" w:rsidTr="0044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6813A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Seção 3 – Q “Você já possui dentista da sua confiança… (cidade/bairro, não visível ao dentista)”</w:t>
            </w:r>
          </w:p>
        </w:tc>
        <w:tc>
          <w:tcPr>
            <w:tcW w:w="0" w:type="auto"/>
            <w:hideMark/>
          </w:tcPr>
          <w:p w14:paraId="52988116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Ajustar transparência e necessidade de ocultar do dentista</w:t>
            </w:r>
          </w:p>
        </w:tc>
        <w:tc>
          <w:tcPr>
            <w:tcW w:w="0" w:type="auto"/>
            <w:hideMark/>
          </w:tcPr>
          <w:p w14:paraId="3F9CFBDD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 xml:space="preserve">O texto atualizado já reduz o risco ao pedir apenas cidade/bairro (não mais nome do dentista), o que é bom. Mas a nota “não visível ao dentista licenciado selecionado” pode confundir o paciente em </w:t>
            </w:r>
            <w:r w:rsidRPr="00440E1F">
              <w:lastRenderedPageBreak/>
              <w:t xml:space="preserve">termos de transparência sobre quem vê o quê. Para </w:t>
            </w:r>
            <w:r w:rsidRPr="00440E1F">
              <w:rPr>
                <w:b/>
                <w:bCs/>
              </w:rPr>
              <w:t>pesquisa qualitativa</w:t>
            </w:r>
            <w:r w:rsidRPr="00440E1F">
              <w:t>, o dado relevante é só se tem dentista regular (sim/não) e região.</w:t>
            </w:r>
          </w:p>
        </w:tc>
        <w:tc>
          <w:tcPr>
            <w:tcW w:w="0" w:type="auto"/>
            <w:hideMark/>
          </w:tcPr>
          <w:p w14:paraId="04772315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LGPD exige transparência (art. 6º, VI). O titular deve entender claramente quem tem acesso a cada dado. Dado de terceiro (dentista de confiança) foi reduzido para região, o que é positivo, mas ainda é preciso evitar sensação de </w:t>
            </w:r>
            <w:r w:rsidRPr="00440E1F">
              <w:lastRenderedPageBreak/>
              <w:t>“campo escondido” sem explicação.</w:t>
            </w:r>
          </w:p>
        </w:tc>
        <w:tc>
          <w:tcPr>
            <w:tcW w:w="0" w:type="auto"/>
            <w:hideMark/>
          </w:tcPr>
          <w:p w14:paraId="69898F47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Manter a pergunta, mas: (i) tornar campo explicitamente </w:t>
            </w:r>
            <w:r w:rsidRPr="00440E1F">
              <w:rPr>
                <w:b/>
                <w:bCs/>
              </w:rPr>
              <w:t>opcional</w:t>
            </w:r>
            <w:r w:rsidRPr="00440E1F">
              <w:t>; (</w:t>
            </w:r>
            <w:proofErr w:type="spellStart"/>
            <w:r w:rsidRPr="00440E1F">
              <w:t>ii</w:t>
            </w:r>
            <w:proofErr w:type="spellEnd"/>
            <w:r w:rsidRPr="00440E1F">
              <w:t xml:space="preserve">) retirar a frase “não visível ao dentista licenciado” do documento entregue ao </w:t>
            </w:r>
            <w:r w:rsidRPr="00440E1F">
              <w:lastRenderedPageBreak/>
              <w:t>paciente, deixando isso apenas como regra de sistema; (</w:t>
            </w:r>
            <w:proofErr w:type="spellStart"/>
            <w:r w:rsidRPr="00440E1F">
              <w:t>iii</w:t>
            </w:r>
            <w:proofErr w:type="spellEnd"/>
            <w:r w:rsidRPr="00440E1F">
              <w:t>) usar esse dado apenas como variável de pesquisa (“tem dentista regular: sim/não; região”).</w:t>
            </w:r>
          </w:p>
        </w:tc>
        <w:tc>
          <w:tcPr>
            <w:tcW w:w="0" w:type="auto"/>
            <w:hideMark/>
          </w:tcPr>
          <w:p w14:paraId="5D4A8EE7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20 anos como parte do registro; em pesquisa, apenas a informação “tem dentista regular (sim/não) + região (cidade/UF)” em base </w:t>
            </w:r>
            <w:proofErr w:type="spellStart"/>
            <w:r w:rsidRPr="00440E1F">
              <w:t>anonimizante</w:t>
            </w:r>
            <w:proofErr w:type="spellEnd"/>
            <w:r w:rsidRPr="00440E1F">
              <w:t>.</w:t>
            </w:r>
          </w:p>
        </w:tc>
      </w:tr>
      <w:tr w:rsidR="00440E1F" w:rsidRPr="00440E1F" w14:paraId="251D40D6" w14:textId="77777777" w:rsidTr="0044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BB1E6" w14:textId="77777777" w:rsidR="00440E1F" w:rsidRPr="00440E1F" w:rsidRDefault="00440E1F" w:rsidP="00440E1F">
            <w:pPr>
              <w:spacing w:after="160" w:line="278" w:lineRule="auto"/>
            </w:pPr>
            <w:r w:rsidRPr="00440E1F">
              <w:lastRenderedPageBreak/>
              <w:t>Seção 4.1 – Dor orofacial/cervical – Q1–Q6</w:t>
            </w:r>
          </w:p>
        </w:tc>
        <w:tc>
          <w:tcPr>
            <w:tcW w:w="0" w:type="auto"/>
            <w:hideMark/>
          </w:tcPr>
          <w:p w14:paraId="729490AE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Manter; reforçar instrução de escala e potencial uso em pesquisa de performance</w:t>
            </w:r>
          </w:p>
        </w:tc>
        <w:tc>
          <w:tcPr>
            <w:tcW w:w="0" w:type="auto"/>
            <w:hideMark/>
          </w:tcPr>
          <w:p w14:paraId="487F5208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Bloco extremamente robusto para </w:t>
            </w:r>
            <w:r w:rsidRPr="00440E1F">
              <w:rPr>
                <w:b/>
                <w:bCs/>
              </w:rPr>
              <w:t>pesquisa qualitativa e quantitativa</w:t>
            </w:r>
            <w:r w:rsidRPr="00440E1F">
              <w:t xml:space="preserve"> (perfil da dor, gatilhos, padrão, intensidade). A inclusão do trecho de escala (“0 = nenhuma dor; 10 = muita dor”) é positiva e alinha com boas práticas de coleta de dados estruturados.</w:t>
            </w:r>
          </w:p>
        </w:tc>
        <w:tc>
          <w:tcPr>
            <w:tcW w:w="0" w:type="auto"/>
            <w:hideMark/>
          </w:tcPr>
          <w:p w14:paraId="577AC942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Dados sensíveis de saúde; principal risco é de segurança e uso não autorizado em contextos comerciais (ex.: segmentar ofertas com base em dor).</w:t>
            </w:r>
          </w:p>
        </w:tc>
        <w:tc>
          <w:tcPr>
            <w:tcW w:w="0" w:type="auto"/>
            <w:hideMark/>
          </w:tcPr>
          <w:p w14:paraId="1C87C657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 integralmente. Em termos de governança, classificar esse bloco como “dados clínicos críticos”. Para uso em pesquisa, exportar apenas métricas (números, categorias) com identificador técnico.</w:t>
            </w:r>
          </w:p>
        </w:tc>
        <w:tc>
          <w:tcPr>
            <w:tcW w:w="0" w:type="auto"/>
            <w:hideMark/>
          </w:tcPr>
          <w:p w14:paraId="1FD0B786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20 anos (clínico). Em pesquisa, manter séries históricas anonimizadas para comparação (antes/depois do uso do BITEPLANER, perfis de dor x performance).</w:t>
            </w:r>
          </w:p>
        </w:tc>
      </w:tr>
      <w:tr w:rsidR="00440E1F" w:rsidRPr="00440E1F" w14:paraId="5F6BC5CF" w14:textId="77777777" w:rsidTr="0044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D0B36" w14:textId="77777777" w:rsidR="00440E1F" w:rsidRPr="00440E1F" w:rsidRDefault="00440E1F" w:rsidP="00440E1F">
            <w:pPr>
              <w:spacing w:after="160" w:line="278" w:lineRule="auto"/>
            </w:pPr>
            <w:r w:rsidRPr="00440E1F">
              <w:lastRenderedPageBreak/>
              <w:t>Seção 4.2 – Função mandibular – Q1–Q5</w:t>
            </w:r>
          </w:p>
        </w:tc>
        <w:tc>
          <w:tcPr>
            <w:tcW w:w="0" w:type="auto"/>
            <w:hideMark/>
          </w:tcPr>
          <w:p w14:paraId="1CB3FCAC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Manter</w:t>
            </w:r>
          </w:p>
        </w:tc>
        <w:tc>
          <w:tcPr>
            <w:tcW w:w="0" w:type="auto"/>
            <w:hideMark/>
          </w:tcPr>
          <w:p w14:paraId="3FF1153F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Relevantes tanto para clínica quanto para pesquisa qualitativa (funcionalidade mandibular x uso de dispositivo).</w:t>
            </w:r>
          </w:p>
        </w:tc>
        <w:tc>
          <w:tcPr>
            <w:tcW w:w="0" w:type="auto"/>
            <w:hideMark/>
          </w:tcPr>
          <w:p w14:paraId="1EC8E5A9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Sem conflito adicional em relação ao já apontado sobre dados de saúde.</w:t>
            </w:r>
          </w:p>
        </w:tc>
        <w:tc>
          <w:tcPr>
            <w:tcW w:w="0" w:type="auto"/>
            <w:hideMark/>
          </w:tcPr>
          <w:p w14:paraId="1C1F3AB8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Manter como está; apenas garantir mesma proteção e acesso restrito que os demais dados clínicos.</w:t>
            </w:r>
          </w:p>
        </w:tc>
        <w:tc>
          <w:tcPr>
            <w:tcW w:w="0" w:type="auto"/>
            <w:hideMark/>
          </w:tcPr>
          <w:p w14:paraId="751C72C4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20 anos (prontuário); em pesquisa, apenas dados anonimizados.</w:t>
            </w:r>
          </w:p>
        </w:tc>
      </w:tr>
      <w:tr w:rsidR="00440E1F" w:rsidRPr="00440E1F" w14:paraId="385F6EFC" w14:textId="77777777" w:rsidTr="0044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072BC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Seção 4.3 – Impacto na performance – Q1–Q5</w:t>
            </w:r>
          </w:p>
        </w:tc>
        <w:tc>
          <w:tcPr>
            <w:tcW w:w="0" w:type="auto"/>
            <w:hideMark/>
          </w:tcPr>
          <w:p w14:paraId="748E7CA5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Manter; explicitar finalidade de pesquisa de performance esportiva</w:t>
            </w:r>
          </w:p>
        </w:tc>
        <w:tc>
          <w:tcPr>
            <w:tcW w:w="0" w:type="auto"/>
            <w:hideMark/>
          </w:tcPr>
          <w:p w14:paraId="1950CACB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Bloco liga diretamente dor / DTM / hábitos mandibulares à performance e constância de treino – </w:t>
            </w:r>
            <w:r w:rsidRPr="00440E1F">
              <w:rPr>
                <w:b/>
                <w:bCs/>
              </w:rPr>
              <w:t xml:space="preserve">essencial para a pesquisa qualitativa do </w:t>
            </w:r>
            <w:proofErr w:type="spellStart"/>
            <w:r w:rsidRPr="00440E1F">
              <w:rPr>
                <w:b/>
                <w:bCs/>
              </w:rPr>
              <w:t>Biteplaner</w:t>
            </w:r>
            <w:proofErr w:type="spellEnd"/>
            <w:r w:rsidRPr="00440E1F">
              <w:rPr>
                <w:b/>
                <w:bCs/>
              </w:rPr>
              <w:t xml:space="preserve"> no contexto de academias</w:t>
            </w:r>
            <w:r w:rsidRPr="00440E1F">
              <w:t>.</w:t>
            </w:r>
          </w:p>
        </w:tc>
        <w:tc>
          <w:tcPr>
            <w:tcW w:w="0" w:type="auto"/>
            <w:hideMark/>
          </w:tcPr>
          <w:p w14:paraId="4B80832B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Dados de comportamento/performance, não sensíveis por si, mas combinados com saúde e financeiro podem caracterizar perfil detalhado. LGPD exige governança sobre quem acessa e com qual finalidade.</w:t>
            </w:r>
          </w:p>
        </w:tc>
        <w:tc>
          <w:tcPr>
            <w:tcW w:w="0" w:type="auto"/>
            <w:hideMark/>
          </w:tcPr>
          <w:p w14:paraId="1C34F605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Manter; acrescentar no cabeçalho da subseção uma frase curta: “Estas questões também poderão ser usadas, de forma agregada, em pesquisas sobre performance esportiva e prevenção orofacial.”</w:t>
            </w:r>
          </w:p>
        </w:tc>
        <w:tc>
          <w:tcPr>
            <w:tcW w:w="0" w:type="auto"/>
            <w:hideMark/>
          </w:tcPr>
          <w:p w14:paraId="36CED8C9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10 anos em bases analíticas (para séries de performance); 20 anos se integrado ao prontuário.</w:t>
            </w:r>
          </w:p>
        </w:tc>
      </w:tr>
      <w:tr w:rsidR="00440E1F" w:rsidRPr="00440E1F" w14:paraId="4682E8AC" w14:textId="77777777" w:rsidTr="0044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19CD4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Seção 5 – Hábitos de vida – Q1–Q6</w:t>
            </w:r>
          </w:p>
        </w:tc>
        <w:tc>
          <w:tcPr>
            <w:tcW w:w="0" w:type="auto"/>
            <w:hideMark/>
          </w:tcPr>
          <w:p w14:paraId="4A5A3E57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 xml:space="preserve">Manter; reforçar texto explicando por que </w:t>
            </w:r>
            <w:r w:rsidRPr="00440E1F">
              <w:lastRenderedPageBreak/>
              <w:t>esses dados entram em pesquisa</w:t>
            </w:r>
          </w:p>
        </w:tc>
        <w:tc>
          <w:tcPr>
            <w:tcW w:w="0" w:type="auto"/>
            <w:hideMark/>
          </w:tcPr>
          <w:p w14:paraId="03167AD5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Bloco já traz uma frase de contexto (“ajudam a entender fatores que podem influenciar sua dor e performance”), o </w:t>
            </w:r>
            <w:r w:rsidRPr="00440E1F">
              <w:lastRenderedPageBreak/>
              <w:t>que é bom. Para pesquisa qualitativa, são cruciais para análises biopsicossociais da dor.</w:t>
            </w:r>
          </w:p>
        </w:tc>
        <w:tc>
          <w:tcPr>
            <w:tcW w:w="0" w:type="auto"/>
            <w:hideMark/>
          </w:tcPr>
          <w:p w14:paraId="1072EE16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Tabagismo, álcool, sono, estresse podem ser usados de forma discriminatória se não houver políticas internas </w:t>
            </w:r>
            <w:r w:rsidRPr="00440E1F">
              <w:lastRenderedPageBreak/>
              <w:t>claras. Mesmo não sendo “sensíveis” em lei, demandam boa governança.</w:t>
            </w:r>
          </w:p>
        </w:tc>
        <w:tc>
          <w:tcPr>
            <w:tcW w:w="0" w:type="auto"/>
            <w:hideMark/>
          </w:tcPr>
          <w:p w14:paraId="24247805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Manter; na política de privacidade, incluir compromisso explícito de não utilizar esses dados </w:t>
            </w:r>
            <w:r w:rsidRPr="00440E1F">
              <w:lastRenderedPageBreak/>
              <w:t>para discriminar usuários em preço ou acesso, apenas para fins de cuidado e pesquisa agregada.</w:t>
            </w:r>
          </w:p>
        </w:tc>
        <w:tc>
          <w:tcPr>
            <w:tcW w:w="0" w:type="auto"/>
            <w:hideMark/>
          </w:tcPr>
          <w:p w14:paraId="261D20E0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20 anos (clínico). Em pesquisa, usar apenas em forma agregada (p.ex., % fumantes, média de </w:t>
            </w:r>
            <w:r w:rsidRPr="00440E1F">
              <w:lastRenderedPageBreak/>
              <w:t>estresse) e anonimizados.</w:t>
            </w:r>
          </w:p>
        </w:tc>
      </w:tr>
      <w:tr w:rsidR="00440E1F" w:rsidRPr="00440E1F" w14:paraId="2EF88026" w14:textId="77777777" w:rsidTr="0044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4EA46" w14:textId="77777777" w:rsidR="00440E1F" w:rsidRPr="00440E1F" w:rsidRDefault="00440E1F" w:rsidP="00440E1F">
            <w:pPr>
              <w:spacing w:after="160" w:line="278" w:lineRule="auto"/>
            </w:pPr>
            <w:r w:rsidRPr="00440E1F">
              <w:lastRenderedPageBreak/>
              <w:t>Seção “Sobre a NEXOR e o BITEPLANER – caso usuário novo” – Q1 (como conheceu)</w:t>
            </w:r>
          </w:p>
        </w:tc>
        <w:tc>
          <w:tcPr>
            <w:tcW w:w="0" w:type="auto"/>
            <w:hideMark/>
          </w:tcPr>
          <w:p w14:paraId="4E3C4676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Separar claramente finalidade de marketing x pesquisa; manter com consentimento adequado</w:t>
            </w:r>
          </w:p>
        </w:tc>
        <w:tc>
          <w:tcPr>
            <w:tcW w:w="0" w:type="auto"/>
            <w:hideMark/>
          </w:tcPr>
          <w:p w14:paraId="7967FE32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Esta questão é tipicamente de </w:t>
            </w:r>
            <w:r w:rsidRPr="00440E1F">
              <w:rPr>
                <w:b/>
                <w:bCs/>
              </w:rPr>
              <w:t>origem de lead</w:t>
            </w:r>
            <w:r w:rsidRPr="00440E1F">
              <w:t xml:space="preserve"> (marketing), mas também é útil para pesquisa qualitativa de canais que trazem usuários mais alinhados. Não é dado sensível.</w:t>
            </w:r>
          </w:p>
        </w:tc>
        <w:tc>
          <w:tcPr>
            <w:tcW w:w="0" w:type="auto"/>
            <w:hideMark/>
          </w:tcPr>
          <w:p w14:paraId="258FC27F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Mistura de finalidade clínica (dentro de um formulário de saúde) com finalidade de marketing e pesquisa de comunicação. LGPD exige finalidades específicas e transparência, principalmente se for para direcionar campanhas.</w:t>
            </w:r>
          </w:p>
        </w:tc>
        <w:tc>
          <w:tcPr>
            <w:tcW w:w="0" w:type="auto"/>
            <w:hideMark/>
          </w:tcPr>
          <w:p w14:paraId="17253F35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 a questão, mas: (i) deixá-la claramente dentro de um bloco de “Pesquisa de comunicação e canais”; (</w:t>
            </w:r>
            <w:proofErr w:type="spellStart"/>
            <w:r w:rsidRPr="00440E1F">
              <w:t>ii</w:t>
            </w:r>
            <w:proofErr w:type="spellEnd"/>
            <w:r w:rsidRPr="00440E1F">
              <w:t>) vincular seu uso à base de “legítimo interesse” ou consentimento específico para marketing/pesquisa de canais; (</w:t>
            </w:r>
            <w:proofErr w:type="spellStart"/>
            <w:r w:rsidRPr="00440E1F">
              <w:t>iii</w:t>
            </w:r>
            <w:proofErr w:type="spellEnd"/>
            <w:r w:rsidRPr="00440E1F">
              <w:t>) usar resultados apenas de forma agregada.</w:t>
            </w:r>
          </w:p>
        </w:tc>
        <w:tc>
          <w:tcPr>
            <w:tcW w:w="0" w:type="auto"/>
            <w:hideMark/>
          </w:tcPr>
          <w:p w14:paraId="0AF68928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Dados de marketing/pesquisa de canal: até </w:t>
            </w:r>
            <w:r w:rsidRPr="00440E1F">
              <w:rPr>
                <w:b/>
                <w:bCs/>
              </w:rPr>
              <w:t>5 anos</w:t>
            </w:r>
            <w:r w:rsidRPr="00440E1F">
              <w:t xml:space="preserve"> ou até revogação do consentimento; depois, manter apenas estatísticas agregadas por canal (sem vínculo individual).</w:t>
            </w:r>
          </w:p>
        </w:tc>
      </w:tr>
      <w:tr w:rsidR="00440E1F" w:rsidRPr="00440E1F" w14:paraId="7983F72F" w14:textId="77777777" w:rsidTr="0044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909A0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 xml:space="preserve">Mesma seção – Q2–Q6 </w:t>
            </w:r>
            <w:r w:rsidRPr="00440E1F">
              <w:lastRenderedPageBreak/>
              <w:t>(motivação, expectativa, barreiras)</w:t>
            </w:r>
          </w:p>
        </w:tc>
        <w:tc>
          <w:tcPr>
            <w:tcW w:w="0" w:type="auto"/>
            <w:hideMark/>
          </w:tcPr>
          <w:p w14:paraId="08D2EE1C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Manter como </w:t>
            </w:r>
            <w:r w:rsidRPr="00440E1F">
              <w:lastRenderedPageBreak/>
              <w:t>núcleo de pesquisa qualitativa de produto e experiência</w:t>
            </w:r>
          </w:p>
        </w:tc>
        <w:tc>
          <w:tcPr>
            <w:tcW w:w="0" w:type="auto"/>
            <w:hideMark/>
          </w:tcPr>
          <w:p w14:paraId="1F055761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Essas questões são puramente </w:t>
            </w:r>
            <w:r w:rsidRPr="00440E1F">
              <w:lastRenderedPageBreak/>
              <w:t xml:space="preserve">comportamentais/perceptivas, não sensíveis, e constituem o coração da </w:t>
            </w:r>
            <w:r w:rsidRPr="00440E1F">
              <w:rPr>
                <w:b/>
                <w:bCs/>
              </w:rPr>
              <w:t>pesquisa qualitativa sobre valor percebido</w:t>
            </w:r>
            <w:r w:rsidRPr="00440E1F">
              <w:t>, expectativas e barreiras de adoção do BITEPLANER.</w:t>
            </w:r>
          </w:p>
        </w:tc>
        <w:tc>
          <w:tcPr>
            <w:tcW w:w="0" w:type="auto"/>
            <w:hideMark/>
          </w:tcPr>
          <w:p w14:paraId="2AF5E85A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Risco baixo. O cuidado é não usar respostas de </w:t>
            </w:r>
            <w:r w:rsidRPr="00440E1F">
              <w:lastRenderedPageBreak/>
              <w:t>forma a negar acesso ao tratamento (“quem vem por curiosidade não será atendido”). LGPD traz princípio da não discriminação (art. 6º, IX).</w:t>
            </w:r>
          </w:p>
        </w:tc>
        <w:tc>
          <w:tcPr>
            <w:tcW w:w="0" w:type="auto"/>
            <w:hideMark/>
          </w:tcPr>
          <w:p w14:paraId="36DF7C71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Manter sem alterações; </w:t>
            </w:r>
            <w:r w:rsidRPr="00440E1F">
              <w:lastRenderedPageBreak/>
              <w:t>acrescentar, se desejado, no início da seção: “Usamos essas respostas para melhorar a proposta do BITEPLANER e a forma como explicamos o dispositivo.”</w:t>
            </w:r>
          </w:p>
        </w:tc>
        <w:tc>
          <w:tcPr>
            <w:tcW w:w="0" w:type="auto"/>
            <w:hideMark/>
          </w:tcPr>
          <w:p w14:paraId="36B5DA49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5–10 anos, para análises </w:t>
            </w:r>
            <w:r w:rsidRPr="00440E1F">
              <w:lastRenderedPageBreak/>
              <w:t xml:space="preserve">comparativas de coortes e evolução de percepção; relatórios sempre em forma agregada e </w:t>
            </w:r>
            <w:proofErr w:type="spellStart"/>
            <w:r w:rsidRPr="00440E1F">
              <w:t>anonimizante</w:t>
            </w:r>
            <w:proofErr w:type="spellEnd"/>
            <w:r w:rsidRPr="00440E1F">
              <w:t>.</w:t>
            </w:r>
          </w:p>
        </w:tc>
      </w:tr>
      <w:tr w:rsidR="00440E1F" w:rsidRPr="00440E1F" w14:paraId="03D6ABE9" w14:textId="77777777" w:rsidTr="0044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ED004" w14:textId="77777777" w:rsidR="00440E1F" w:rsidRPr="00440E1F" w:rsidRDefault="00440E1F" w:rsidP="00440E1F">
            <w:pPr>
              <w:spacing w:after="160" w:line="278" w:lineRule="auto"/>
            </w:pPr>
            <w:r w:rsidRPr="00440E1F">
              <w:lastRenderedPageBreak/>
              <w:t>Seção “Uso do BITEPLANER – caso já usuário” – Q1–Q4</w:t>
            </w:r>
          </w:p>
        </w:tc>
        <w:tc>
          <w:tcPr>
            <w:tcW w:w="0" w:type="auto"/>
            <w:hideMark/>
          </w:tcPr>
          <w:p w14:paraId="0B6F12BB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Manter; reforçar que são dados tanto clínicos quanto de pesquisa de eficácia</w:t>
            </w:r>
          </w:p>
        </w:tc>
        <w:tc>
          <w:tcPr>
            <w:tcW w:w="0" w:type="auto"/>
            <w:hideMark/>
          </w:tcPr>
          <w:p w14:paraId="3F2E4B47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Bloco produz dados preciosos para </w:t>
            </w:r>
            <w:r w:rsidRPr="00440E1F">
              <w:rPr>
                <w:b/>
                <w:bCs/>
              </w:rPr>
              <w:t>pesquisa qualitativa e quantitativa de eficácia</w:t>
            </w:r>
            <w:r w:rsidRPr="00440E1F">
              <w:t xml:space="preserve"> do dispositivo (antes/depois, adesão, adaptação, efeito na dor). Esses dados são sensíveis (dor, adaptação, desconforto).</w:t>
            </w:r>
          </w:p>
        </w:tc>
        <w:tc>
          <w:tcPr>
            <w:tcW w:w="0" w:type="auto"/>
            <w:hideMark/>
          </w:tcPr>
          <w:p w14:paraId="6E0AB73C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Dados sensíveis de saúde (incluindo avaliação de eficácia terapêutica). Devem ser tratados com base em tutela da saúde e, em pesquisa, preferencialmente anonimizados ou </w:t>
            </w:r>
            <w:proofErr w:type="spellStart"/>
            <w:r w:rsidRPr="00440E1F">
              <w:t>pseudonimizados</w:t>
            </w:r>
            <w:proofErr w:type="spellEnd"/>
            <w:r w:rsidRPr="00440E1F">
              <w:t>.</w:t>
            </w:r>
          </w:p>
        </w:tc>
        <w:tc>
          <w:tcPr>
            <w:tcW w:w="0" w:type="auto"/>
            <w:hideMark/>
          </w:tcPr>
          <w:p w14:paraId="2C246DD6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Manter; explicitar ao início do sub-bloco: “Essas respostas serão usadas para acompanhar sua evolução e podem ser analisadas, de forma agregada, em estudos sobre eficácia e segurança do BITEPLANER.”</w:t>
            </w:r>
          </w:p>
        </w:tc>
        <w:tc>
          <w:tcPr>
            <w:tcW w:w="0" w:type="auto"/>
            <w:hideMark/>
          </w:tcPr>
          <w:p w14:paraId="0C967A18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20 anos (registro clínico). Em </w:t>
            </w:r>
            <w:proofErr w:type="spellStart"/>
            <w:r w:rsidRPr="00440E1F">
              <w:t>datasets</w:t>
            </w:r>
            <w:proofErr w:type="spellEnd"/>
            <w:r w:rsidRPr="00440E1F">
              <w:t xml:space="preserve"> de pesquisa, usar apenas variáveis numéricas e categóricas, com ID técnico em vez de identificação nominal.</w:t>
            </w:r>
          </w:p>
        </w:tc>
      </w:tr>
      <w:tr w:rsidR="00440E1F" w:rsidRPr="00440E1F" w14:paraId="28913270" w14:textId="77777777" w:rsidTr="0044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DBE2B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 xml:space="preserve">Seção “Uso do BITEPLANER” </w:t>
            </w:r>
            <w:r w:rsidRPr="00440E1F">
              <w:lastRenderedPageBreak/>
              <w:t>– Q5–Q6 (adesão, conforto, feridas)</w:t>
            </w:r>
          </w:p>
        </w:tc>
        <w:tc>
          <w:tcPr>
            <w:tcW w:w="0" w:type="auto"/>
            <w:hideMark/>
          </w:tcPr>
          <w:p w14:paraId="21C55E20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Manter; separar acessos </w:t>
            </w:r>
            <w:r w:rsidRPr="00440E1F">
              <w:lastRenderedPageBreak/>
              <w:t>entre clínico e produto</w:t>
            </w:r>
          </w:p>
        </w:tc>
        <w:tc>
          <w:tcPr>
            <w:tcW w:w="0" w:type="auto"/>
            <w:hideMark/>
          </w:tcPr>
          <w:p w14:paraId="2BB8B7AF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Informações fundamentais para </w:t>
            </w:r>
            <w:r w:rsidRPr="00440E1F">
              <w:rPr>
                <w:b/>
                <w:bCs/>
              </w:rPr>
              <w:t xml:space="preserve">pesquisa qualitativa de </w:t>
            </w:r>
            <w:r w:rsidRPr="00440E1F">
              <w:rPr>
                <w:b/>
                <w:bCs/>
              </w:rPr>
              <w:lastRenderedPageBreak/>
              <w:t>experiência de uso</w:t>
            </w:r>
            <w:r w:rsidRPr="00440E1F">
              <w:t xml:space="preserve">, conforto, problemas, pontos de </w:t>
            </w:r>
            <w:proofErr w:type="gramStart"/>
            <w:r w:rsidRPr="00440E1F">
              <w:t>pressão, etc.</w:t>
            </w:r>
            <w:proofErr w:type="gramEnd"/>
            <w:r w:rsidRPr="00440E1F">
              <w:t xml:space="preserve"> São simultaneamente dados clínicos (feridas, irritação) e dados de UX/produto (conforto, facilidade de uso/limpeza).</w:t>
            </w:r>
          </w:p>
        </w:tc>
        <w:tc>
          <w:tcPr>
            <w:tcW w:w="0" w:type="auto"/>
            <w:hideMark/>
          </w:tcPr>
          <w:p w14:paraId="686B880B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Se todo o time de produto tiver acesso a dados clínicos identificados, há </w:t>
            </w:r>
            <w:r w:rsidRPr="00440E1F">
              <w:lastRenderedPageBreak/>
              <w:t>risco de acesso desnecessário a dado sensível. LGPD (art. 6º, III) exige minimização também em termos de acesso.</w:t>
            </w:r>
          </w:p>
        </w:tc>
        <w:tc>
          <w:tcPr>
            <w:tcW w:w="0" w:type="auto"/>
            <w:hideMark/>
          </w:tcPr>
          <w:p w14:paraId="004EF52D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Manter; na arquitetura de governança, criar </w:t>
            </w:r>
            <w:r w:rsidRPr="00440E1F">
              <w:lastRenderedPageBreak/>
              <w:t xml:space="preserve">duas “visões”: clínica (dentista, suporte de saúde) com tudo; visão de produto/P&amp;D com dados </w:t>
            </w:r>
            <w:proofErr w:type="spellStart"/>
            <w:r w:rsidRPr="00440E1F">
              <w:t>pseudonimizados</w:t>
            </w:r>
            <w:proofErr w:type="spellEnd"/>
            <w:r w:rsidRPr="00440E1F">
              <w:t xml:space="preserve"> e foco em métricas (notas de conforto, frequência de uso) e textos anonimizados.</w:t>
            </w:r>
          </w:p>
        </w:tc>
        <w:tc>
          <w:tcPr>
            <w:tcW w:w="0" w:type="auto"/>
            <w:hideMark/>
          </w:tcPr>
          <w:p w14:paraId="70207764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lastRenderedPageBreak/>
              <w:t xml:space="preserve">Clínico: 20 anos. UX/produto: base </w:t>
            </w:r>
            <w:proofErr w:type="spellStart"/>
            <w:r w:rsidRPr="00440E1F">
              <w:t>anonimizante</w:t>
            </w:r>
            <w:proofErr w:type="spellEnd"/>
            <w:r w:rsidRPr="00440E1F">
              <w:t xml:space="preserve"> pode </w:t>
            </w:r>
            <w:r w:rsidRPr="00440E1F">
              <w:lastRenderedPageBreak/>
              <w:t>ser mantida enquanto o produto estiver em desenvolvimento/evolução.</w:t>
            </w:r>
          </w:p>
        </w:tc>
      </w:tr>
      <w:tr w:rsidR="00440E1F" w:rsidRPr="00440E1F" w14:paraId="6477A299" w14:textId="77777777" w:rsidTr="0044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8C555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Seção “Uso do BITEPLANER” – Q7–Q8 + “Feedback aberto para P&amp;D” (o que mais gosta/menos gosta; melhorias)</w:t>
            </w:r>
          </w:p>
        </w:tc>
        <w:tc>
          <w:tcPr>
            <w:tcW w:w="0" w:type="auto"/>
            <w:hideMark/>
          </w:tcPr>
          <w:p w14:paraId="33C73522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Manter; tratar explicitamente como pesquisa qualitativa de produto</w:t>
            </w:r>
          </w:p>
        </w:tc>
        <w:tc>
          <w:tcPr>
            <w:tcW w:w="0" w:type="auto"/>
            <w:hideMark/>
          </w:tcPr>
          <w:p w14:paraId="7C4E185D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Bloco é claramente de </w:t>
            </w:r>
            <w:r w:rsidRPr="00440E1F">
              <w:rPr>
                <w:b/>
                <w:bCs/>
              </w:rPr>
              <w:t>P&amp;D</w:t>
            </w:r>
            <w:r w:rsidRPr="00440E1F">
              <w:t xml:space="preserve"> – pesquisa qualitativa de produto, integração com app, sensores etc. Não pede dados de saúde, mas pode conter referências a dor, vida </w:t>
            </w:r>
            <w:proofErr w:type="gramStart"/>
            <w:r w:rsidRPr="00440E1F">
              <w:t>pessoal, etc.</w:t>
            </w:r>
            <w:proofErr w:type="gramEnd"/>
            <w:r w:rsidRPr="00440E1F">
              <w:t>, em respostas abertas.</w:t>
            </w:r>
          </w:p>
        </w:tc>
        <w:tc>
          <w:tcPr>
            <w:tcW w:w="0" w:type="auto"/>
            <w:hideMark/>
          </w:tcPr>
          <w:p w14:paraId="5B099EC5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Campo aberto pode conter dados sensíveis ou de terceiros por iniciativa do usuário. Ainda assim, há base em tutela da saúde / consentimento amplo, se </w:t>
            </w:r>
            <w:proofErr w:type="gramStart"/>
            <w:r w:rsidRPr="00440E1F">
              <w:t>bem informada</w:t>
            </w:r>
            <w:proofErr w:type="gramEnd"/>
            <w:r w:rsidRPr="00440E1F">
              <w:t xml:space="preserve"> a finalidade de P&amp;D.</w:t>
            </w:r>
          </w:p>
        </w:tc>
        <w:tc>
          <w:tcPr>
            <w:tcW w:w="0" w:type="auto"/>
            <w:hideMark/>
          </w:tcPr>
          <w:p w14:paraId="1B1CD67E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Manter; colocar antes do bloco um aviso curto: “Essas respostas são usadas pelo time de pesquisa e desenvolvimento da NEXOR para melhorar o dispositivo e os serviços, sempre de forma confidencial </w:t>
            </w:r>
            <w:r w:rsidRPr="00440E1F">
              <w:lastRenderedPageBreak/>
              <w:t>e, quando analisadas, sem seu nome/apelido.”</w:t>
            </w:r>
          </w:p>
        </w:tc>
        <w:tc>
          <w:tcPr>
            <w:tcW w:w="0" w:type="auto"/>
            <w:hideMark/>
          </w:tcPr>
          <w:p w14:paraId="3C5D5AF8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lastRenderedPageBreak/>
              <w:t>5–10 anos em bases de P&amp;D; textos devem ser anonimizados quando usados em relatórios internos ou materiais de aprendizagem de máquina/</w:t>
            </w:r>
            <w:proofErr w:type="spellStart"/>
            <w:r w:rsidRPr="00440E1F">
              <w:t>analytics</w:t>
            </w:r>
            <w:proofErr w:type="spellEnd"/>
            <w:r w:rsidRPr="00440E1F">
              <w:t>.</w:t>
            </w:r>
          </w:p>
        </w:tc>
      </w:tr>
      <w:tr w:rsidR="00440E1F" w:rsidRPr="00440E1F" w14:paraId="219A94DA" w14:textId="77777777" w:rsidTr="0044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5C4DC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Seção 5 – Feedback Final – Q8 (campo aberto; já contém aviso de não incluir dados de terceiros)</w:t>
            </w:r>
          </w:p>
        </w:tc>
        <w:tc>
          <w:tcPr>
            <w:tcW w:w="0" w:type="auto"/>
            <w:hideMark/>
          </w:tcPr>
          <w:p w14:paraId="5E7E20BC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Manter, com pequeno reforço sobre dados de saúde e terceiros</w:t>
            </w:r>
          </w:p>
        </w:tc>
        <w:tc>
          <w:tcPr>
            <w:tcW w:w="0" w:type="auto"/>
            <w:hideMark/>
          </w:tcPr>
          <w:p w14:paraId="27BAACF5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 xml:space="preserve">Campo é valioso para capturar </w:t>
            </w:r>
            <w:r w:rsidRPr="00440E1F">
              <w:rPr>
                <w:b/>
                <w:bCs/>
              </w:rPr>
              <w:t>insights qualitativos espontâneos</w:t>
            </w:r>
            <w:r w:rsidRPr="00440E1F">
              <w:t>, inclusive preocupações que não apareceram nas perguntas estruturadas. Já existe aviso para não incluir dados de terceiros, o que é positivo.</w:t>
            </w:r>
          </w:p>
        </w:tc>
        <w:tc>
          <w:tcPr>
            <w:tcW w:w="0" w:type="auto"/>
            <w:hideMark/>
          </w:tcPr>
          <w:p w14:paraId="3F89F29E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Ainda pode conter dados de saúde detalhados e relatos de terceiros (mesmo com aviso). Sempre que houver dado sensível adicional, deve ser tratado com as mesmas salvaguardas dos outros dados clínicos.</w:t>
            </w:r>
          </w:p>
        </w:tc>
        <w:tc>
          <w:tcPr>
            <w:tcW w:w="0" w:type="auto"/>
            <w:hideMark/>
          </w:tcPr>
          <w:p w14:paraId="2A2D7968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Manter; reforçar levemente: “Evite mencionar nomes completos de outras pessoas ou detalhes muito específicos sobre saúde que não deseje registrar no seu prontuário.”</w:t>
            </w:r>
          </w:p>
        </w:tc>
        <w:tc>
          <w:tcPr>
            <w:tcW w:w="0" w:type="auto"/>
            <w:hideMark/>
          </w:tcPr>
          <w:p w14:paraId="2D9754BD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20 anos, pois pode conter informações que se tornam parte relevante do prontuário; para fins de pesquisa qualitativa, extrair apenas temas e citações anonimizadas.</w:t>
            </w:r>
          </w:p>
        </w:tc>
      </w:tr>
      <w:tr w:rsidR="00440E1F" w:rsidRPr="00440E1F" w14:paraId="667FE747" w14:textId="77777777" w:rsidTr="0044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D3FE5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>Seção 5 – Feedback Final – (ausência do campo de indicação de amigos, já removido nesta versão)</w:t>
            </w:r>
          </w:p>
        </w:tc>
        <w:tc>
          <w:tcPr>
            <w:tcW w:w="0" w:type="auto"/>
            <w:hideMark/>
          </w:tcPr>
          <w:p w14:paraId="2898FFB9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Nenhum ajuste necessário (ponto positivo)</w:t>
            </w:r>
          </w:p>
        </w:tc>
        <w:tc>
          <w:tcPr>
            <w:tcW w:w="0" w:type="auto"/>
            <w:hideMark/>
          </w:tcPr>
          <w:p w14:paraId="10971348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A versão atual já </w:t>
            </w:r>
            <w:r w:rsidRPr="00440E1F">
              <w:rPr>
                <w:b/>
                <w:bCs/>
              </w:rPr>
              <w:t>removeu</w:t>
            </w:r>
            <w:r w:rsidRPr="00440E1F">
              <w:t xml:space="preserve"> o campo “Nos indique a amigos / passe o nome e contato”, que era crítico em versões anteriores das suas estruturas de formulário. Isso é alinhado à LGPD.</w:t>
            </w:r>
          </w:p>
        </w:tc>
        <w:tc>
          <w:tcPr>
            <w:tcW w:w="0" w:type="auto"/>
            <w:hideMark/>
          </w:tcPr>
          <w:p w14:paraId="0ECB780B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>A remoção elimina o problema de coleta de dados de terceiros sem consentimento.</w:t>
            </w:r>
          </w:p>
        </w:tc>
        <w:tc>
          <w:tcPr>
            <w:tcW w:w="0" w:type="auto"/>
            <w:hideMark/>
          </w:tcPr>
          <w:p w14:paraId="2EC8EB08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t xml:space="preserve">Manter sem reintroduzir campos que peçam nome/contato de terceiros. Se um programa de indicação for desejado, que seja via link </w:t>
            </w:r>
            <w:r w:rsidRPr="00440E1F">
              <w:lastRenderedPageBreak/>
              <w:t>compartilhável, sem coleta prévia de dados de terceiros.</w:t>
            </w:r>
          </w:p>
        </w:tc>
        <w:tc>
          <w:tcPr>
            <w:tcW w:w="0" w:type="auto"/>
            <w:hideMark/>
          </w:tcPr>
          <w:p w14:paraId="6CED4BC0" w14:textId="77777777" w:rsidR="00440E1F" w:rsidRPr="00440E1F" w:rsidRDefault="00440E1F" w:rsidP="00440E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0E1F">
              <w:lastRenderedPageBreak/>
              <w:t>Não aplicável (campo removido).</w:t>
            </w:r>
          </w:p>
        </w:tc>
      </w:tr>
      <w:tr w:rsidR="00440E1F" w:rsidRPr="00440E1F" w14:paraId="30CD2407" w14:textId="77777777" w:rsidTr="0044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88999" w14:textId="77777777" w:rsidR="00440E1F" w:rsidRPr="00440E1F" w:rsidRDefault="00440E1F" w:rsidP="00440E1F">
            <w:pPr>
              <w:spacing w:after="160" w:line="278" w:lineRule="auto"/>
            </w:pPr>
            <w:r w:rsidRPr="00440E1F">
              <w:t xml:space="preserve">Seção 6 – Mensagem de encerramento + rodapé Google </w:t>
            </w:r>
            <w:proofErr w:type="spellStart"/>
            <w:r w:rsidRPr="00440E1F">
              <w:t>Forms</w:t>
            </w:r>
            <w:proofErr w:type="spellEnd"/>
            <w:r w:rsidRPr="00440E1F">
              <w:t xml:space="preserve"> (textos genéricos Google)</w:t>
            </w:r>
          </w:p>
        </w:tc>
        <w:tc>
          <w:tcPr>
            <w:tcW w:w="0" w:type="auto"/>
            <w:hideMark/>
          </w:tcPr>
          <w:p w14:paraId="3523A79F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Ajustar infraestrutura; remover menção a Google em versões finais</w:t>
            </w:r>
          </w:p>
        </w:tc>
        <w:tc>
          <w:tcPr>
            <w:tcW w:w="0" w:type="auto"/>
            <w:hideMark/>
          </w:tcPr>
          <w:p w14:paraId="33E24DF6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A mensagem final da NEXOR é adequada. Já o texto “Este conteúdo não foi criado nem aprovado pelo Google/Formulários” indica que a coleta está sendo feita em ferramenta de terceiro (Google), possivelmente com servidores no exterior. Isso implica transferência internacional de dados de saúde.</w:t>
            </w:r>
          </w:p>
        </w:tc>
        <w:tc>
          <w:tcPr>
            <w:tcW w:w="0" w:type="auto"/>
            <w:hideMark/>
          </w:tcPr>
          <w:p w14:paraId="0BD5AFFC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LGPD (art. 33–36) exige base legal e salvaguardas para transferência internacional de dados, especialmente sensíveis. É necessário contrato de operador e transparência ao titular sobre o uso de serviços como Google.</w:t>
            </w:r>
          </w:p>
        </w:tc>
        <w:tc>
          <w:tcPr>
            <w:tcW w:w="0" w:type="auto"/>
            <w:hideMark/>
          </w:tcPr>
          <w:p w14:paraId="1FCD1351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Migrar o formulário para infraestrutura controlada pela NEXOR/</w:t>
            </w:r>
            <w:proofErr w:type="spellStart"/>
            <w:r w:rsidRPr="00440E1F">
              <w:t>ethosX</w:t>
            </w:r>
            <w:proofErr w:type="spellEnd"/>
            <w:r w:rsidRPr="00440E1F">
              <w:t xml:space="preserve"> em produção. Nas versões impressas/oficiais, remover qualquer rodapé padrão do Google. Se Google continuar a ser usado em alguma etapa, formalizar contrato de operador e listar o provedor na política de privacidade.</w:t>
            </w:r>
          </w:p>
        </w:tc>
        <w:tc>
          <w:tcPr>
            <w:tcW w:w="0" w:type="auto"/>
            <w:hideMark/>
          </w:tcPr>
          <w:p w14:paraId="196AC9D1" w14:textId="77777777" w:rsidR="00440E1F" w:rsidRPr="00440E1F" w:rsidRDefault="00440E1F" w:rsidP="00440E1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E1F">
              <w:t>Dados clínicos devem ser mantidos no repositório principal (</w:t>
            </w:r>
            <w:proofErr w:type="spellStart"/>
            <w:r w:rsidRPr="00440E1F">
              <w:t>ethosX</w:t>
            </w:r>
            <w:proofErr w:type="spellEnd"/>
            <w:r w:rsidRPr="00440E1F">
              <w:t>) por 20 anos. Dados residuais em serviços terceiros devem seguir cláusulas contratuais de exclusão ao fim da relação.</w:t>
            </w:r>
          </w:p>
        </w:tc>
      </w:tr>
    </w:tbl>
    <w:p w14:paraId="71B01AA2" w14:textId="3E86D80C" w:rsidR="00402A2E" w:rsidRDefault="00440E1F">
      <w:r w:rsidRPr="00440E1F">
        <w:t>* Prazos de retenção sugeridos com base em: (i) natureza clínica dos dados (prontuário odontológico – recomendação de até 20 anos); (</w:t>
      </w:r>
      <w:proofErr w:type="spellStart"/>
      <w:r w:rsidRPr="00440E1F">
        <w:t>ii</w:t>
      </w:r>
      <w:proofErr w:type="spellEnd"/>
      <w:r w:rsidRPr="00440E1F">
        <w:t>) natureza analítica/qualitativa (pesquisa e P&amp;D); (</w:t>
      </w:r>
      <w:proofErr w:type="spellStart"/>
      <w:r w:rsidRPr="00440E1F">
        <w:t>iii</w:t>
      </w:r>
      <w:proofErr w:type="spellEnd"/>
      <w:r w:rsidRPr="00440E1F">
        <w:t>) papel da NEXOR/</w:t>
      </w:r>
      <w:proofErr w:type="spellStart"/>
      <w:r w:rsidRPr="00440E1F">
        <w:t>ethosX</w:t>
      </w:r>
      <w:proofErr w:type="spellEnd"/>
      <w:r w:rsidRPr="00440E1F">
        <w:t xml:space="preserve"> como intermediária tecnológica entre paciente e dentista. Em caso de norma setorial específica mais restritiva, ela prevalece.</w:t>
      </w:r>
    </w:p>
    <w:sectPr w:rsidR="00402A2E" w:rsidSect="00440E1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1F"/>
    <w:rsid w:val="00402A2E"/>
    <w:rsid w:val="00440E1F"/>
    <w:rsid w:val="0073694F"/>
    <w:rsid w:val="0097296E"/>
    <w:rsid w:val="00DE09FE"/>
    <w:rsid w:val="00E24CA1"/>
    <w:rsid w:val="00EC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B5FD8"/>
  <w15:chartTrackingRefBased/>
  <w15:docId w15:val="{D9D99014-CA39-4F2F-96D9-EC48B24B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0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0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0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0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0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0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0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0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0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0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0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0E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0E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0E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0E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0E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0E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0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0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0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0E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0E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0E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0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0E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0E1F"/>
    <w:rPr>
      <w:b/>
      <w:bCs/>
      <w:smallCaps/>
      <w:color w:val="0F4761" w:themeColor="accent1" w:themeShade="BF"/>
      <w:spacing w:val="5"/>
    </w:rPr>
  </w:style>
  <w:style w:type="table" w:styleId="TabeladeGrade5Escura-nfase4">
    <w:name w:val="Grid Table 5 Dark Accent 4"/>
    <w:basedOn w:val="Tabelanormal"/>
    <w:uiPriority w:val="50"/>
    <w:rsid w:val="00440E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2431</Words>
  <Characters>13128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Goto</dc:creator>
  <cp:keywords/>
  <dc:description/>
  <cp:lastModifiedBy>Edson Goto</cp:lastModifiedBy>
  <cp:revision>2</cp:revision>
  <dcterms:created xsi:type="dcterms:W3CDTF">2026-05-05T18:25:00Z</dcterms:created>
  <dcterms:modified xsi:type="dcterms:W3CDTF">2026-05-05T18:41:00Z</dcterms:modified>
</cp:coreProperties>
</file>