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0063" w14:textId="3D358B04" w:rsidR="000B1FA2" w:rsidRDefault="000B1FA2" w:rsidP="000B1FA2">
      <w:pPr>
        <w:rPr>
          <w:b/>
          <w:bCs/>
        </w:rPr>
      </w:pPr>
      <w:r w:rsidRPr="000B1FA2">
        <w:rPr>
          <w:b/>
          <w:bCs/>
        </w:rPr>
        <w:t>Formulário de Relatório de Treino de Usuário BITEPLANER</w:t>
      </w:r>
    </w:p>
    <w:p w14:paraId="0E4A0952" w14:textId="3C6F4CCC" w:rsidR="000B1FA2" w:rsidRPr="000B1FA2" w:rsidRDefault="000B1FA2" w:rsidP="000B1FA2">
      <w:pPr>
        <w:rPr>
          <w:b/>
          <w:bCs/>
        </w:rPr>
      </w:pPr>
      <w:r w:rsidRPr="000B1FA2">
        <w:rPr>
          <w:b/>
          <w:bCs/>
        </w:rPr>
        <w:t>Documento de Conformidade com a LGPD</w:t>
      </w:r>
      <w:r w:rsidRPr="000B1FA2">
        <w:rPr>
          <w:b/>
          <w:bCs/>
        </w:rPr>
        <w:t xml:space="preserve"> </w:t>
      </w:r>
      <w:r w:rsidRPr="000B1FA2">
        <w:rPr>
          <w:b/>
          <w:bCs/>
        </w:rPr>
        <w:t xml:space="preserve">Tabela de Revisão - Formulário de Relatório de Treino de Usuário BITEPLANER </w:t>
      </w:r>
    </w:p>
    <w:tbl>
      <w:tblPr>
        <w:tblStyle w:val="TabeladeGrade5Escura-nfase4"/>
        <w:tblW w:w="0" w:type="auto"/>
        <w:tblLook w:val="04A0" w:firstRow="1" w:lastRow="0" w:firstColumn="1" w:lastColumn="0" w:noHBand="0" w:noVBand="1"/>
      </w:tblPr>
      <w:tblGrid>
        <w:gridCol w:w="2245"/>
        <w:gridCol w:w="2150"/>
        <w:gridCol w:w="2663"/>
        <w:gridCol w:w="2297"/>
        <w:gridCol w:w="2502"/>
        <w:gridCol w:w="2137"/>
      </w:tblGrid>
      <w:tr w:rsidR="000B1FA2" w:rsidRPr="000B1FA2" w14:paraId="6F32EE05" w14:textId="77777777" w:rsidTr="000B1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443D7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/ Questão</w:t>
            </w:r>
          </w:p>
        </w:tc>
        <w:tc>
          <w:tcPr>
            <w:tcW w:w="0" w:type="auto"/>
            <w:hideMark/>
          </w:tcPr>
          <w:p w14:paraId="40BB59A9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Tipo de ajuste</w:t>
            </w:r>
          </w:p>
        </w:tc>
        <w:tc>
          <w:tcPr>
            <w:tcW w:w="0" w:type="auto"/>
            <w:hideMark/>
          </w:tcPr>
          <w:p w14:paraId="6E6B77F7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Comentário (finalidade de pesquisa qualitativa, compliance e governança)</w:t>
            </w:r>
          </w:p>
        </w:tc>
        <w:tc>
          <w:tcPr>
            <w:tcW w:w="0" w:type="auto"/>
            <w:hideMark/>
          </w:tcPr>
          <w:p w14:paraId="2BE63B30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Pontos de conflito com a LGPD / Questões legais</w:t>
            </w:r>
          </w:p>
        </w:tc>
        <w:tc>
          <w:tcPr>
            <w:tcW w:w="0" w:type="auto"/>
            <w:hideMark/>
          </w:tcPr>
          <w:p w14:paraId="3A796F0A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Ação recomendada</w:t>
            </w:r>
          </w:p>
        </w:tc>
        <w:tc>
          <w:tcPr>
            <w:tcW w:w="0" w:type="auto"/>
            <w:hideMark/>
          </w:tcPr>
          <w:p w14:paraId="5FA59ADD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 xml:space="preserve">Prazo de retenção na plataforma </w:t>
            </w:r>
            <w:proofErr w:type="spellStart"/>
            <w:r w:rsidRPr="000B1FA2">
              <w:t>ethosX</w:t>
            </w:r>
            <w:proofErr w:type="spellEnd"/>
            <w:r w:rsidRPr="000B1FA2">
              <w:t>*</w:t>
            </w:r>
          </w:p>
        </w:tc>
      </w:tr>
      <w:tr w:rsidR="000B1FA2" w:rsidRPr="000B1FA2" w14:paraId="243AD204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21893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Q1 (Consentimento LGPD)</w:t>
            </w:r>
          </w:p>
        </w:tc>
        <w:tc>
          <w:tcPr>
            <w:tcW w:w="0" w:type="auto"/>
            <w:hideMark/>
          </w:tcPr>
          <w:p w14:paraId="6FD58276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B1FA2">
              <w:t>Granularização</w:t>
            </w:r>
            <w:proofErr w:type="spellEnd"/>
            <w:r w:rsidRPr="000B1FA2">
              <w:t xml:space="preserve"> e especificação de finalidades</w:t>
            </w:r>
          </w:p>
        </w:tc>
        <w:tc>
          <w:tcPr>
            <w:tcW w:w="0" w:type="auto"/>
            <w:hideMark/>
          </w:tcPr>
          <w:p w14:paraId="6CFAD882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 xml:space="preserve">O texto atual agrupa múltiplas finalidades ("feedbacks, informes personalizados, comunicações, banco de dados…") sem distinção clara entre operação e pesquisa. Para </w:t>
            </w:r>
            <w:r w:rsidRPr="000B1FA2">
              <w:rPr>
                <w:b/>
                <w:bCs/>
              </w:rPr>
              <w:t>pesquisa qualitativa</w:t>
            </w:r>
            <w:r w:rsidRPr="000B1FA2">
              <w:t>, é essencial explicitar separadamente o uso em estudos observacionais.</w:t>
            </w:r>
          </w:p>
        </w:tc>
        <w:tc>
          <w:tcPr>
            <w:tcW w:w="0" w:type="auto"/>
            <w:hideMark/>
          </w:tcPr>
          <w:p w14:paraId="6E50E5F0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Consentimento genérico viola o princípio da finalidade determinada (Art. 6º, I, LGPD). Dados de performance física podem configurar dado sensível quando associados à saúde.</w:t>
            </w:r>
          </w:p>
        </w:tc>
        <w:tc>
          <w:tcPr>
            <w:tcW w:w="0" w:type="auto"/>
            <w:hideMark/>
          </w:tcPr>
          <w:p w14:paraId="30922BFD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 xml:space="preserve">Dividir em dois </w:t>
            </w:r>
            <w:proofErr w:type="spellStart"/>
            <w:r w:rsidRPr="000B1FA2">
              <w:t>checkboxes</w:t>
            </w:r>
            <w:proofErr w:type="spellEnd"/>
            <w:r w:rsidRPr="000B1FA2">
              <w:t>: (a) "Operação e atendimento"; (b) "Uso em pesquisas anonimizadas para desenvolvimento de produtos". Incluir menção explícita: "Seus dados de treino serão usados para estudos de performance orofacial".</w:t>
            </w:r>
          </w:p>
        </w:tc>
        <w:tc>
          <w:tcPr>
            <w:tcW w:w="0" w:type="auto"/>
            <w:hideMark/>
          </w:tcPr>
          <w:p w14:paraId="72AE4FDD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Dados brutos: 2 anos; dados anonimizados para pesquisa: prazo indeterminado.</w:t>
            </w:r>
          </w:p>
        </w:tc>
      </w:tr>
      <w:tr w:rsidR="000B1FA2" w:rsidRPr="000B1FA2" w14:paraId="3F549343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79953" w14:textId="77777777" w:rsidR="000B1FA2" w:rsidRPr="000B1FA2" w:rsidRDefault="000B1FA2" w:rsidP="000B1FA2">
            <w:pPr>
              <w:spacing w:after="160" w:line="278" w:lineRule="auto"/>
            </w:pPr>
            <w:r w:rsidRPr="000B1FA2">
              <w:lastRenderedPageBreak/>
              <w:t>Q2 (E-mail de usuário cadastrado)</w:t>
            </w:r>
          </w:p>
        </w:tc>
        <w:tc>
          <w:tcPr>
            <w:tcW w:w="0" w:type="auto"/>
            <w:hideMark/>
          </w:tcPr>
          <w:p w14:paraId="75E1F5FE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 xml:space="preserve">Manter com </w:t>
            </w:r>
            <w:proofErr w:type="spellStart"/>
            <w:r w:rsidRPr="000B1FA2">
              <w:t>pseudonimização</w:t>
            </w:r>
            <w:proofErr w:type="spellEnd"/>
            <w:r w:rsidRPr="000B1FA2">
              <w:t xml:space="preserve"> para análise</w:t>
            </w:r>
          </w:p>
        </w:tc>
        <w:tc>
          <w:tcPr>
            <w:tcW w:w="0" w:type="auto"/>
            <w:hideMark/>
          </w:tcPr>
          <w:p w14:paraId="78A70064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Campo essencial para vincular relatórios ao usuário, mas deve ser dissociado das respostas de pesquisa após coleta.</w:t>
            </w:r>
          </w:p>
        </w:tc>
        <w:tc>
          <w:tcPr>
            <w:tcW w:w="0" w:type="auto"/>
            <w:hideMark/>
          </w:tcPr>
          <w:p w14:paraId="39C6E48E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Identificador direto exige medidas técnicas de segurança reforçada (Art. 46, LGPD).</w:t>
            </w:r>
          </w:p>
        </w:tc>
        <w:tc>
          <w:tcPr>
            <w:tcW w:w="0" w:type="auto"/>
            <w:hideMark/>
          </w:tcPr>
          <w:p w14:paraId="1E3AE88A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Manter como campo obrigatório; em bancos de pesquisa qualitativa, substituir por ID único não reversível.</w:t>
            </w:r>
          </w:p>
        </w:tc>
        <w:tc>
          <w:tcPr>
            <w:tcW w:w="0" w:type="auto"/>
            <w:hideMark/>
          </w:tcPr>
          <w:p w14:paraId="54F7BE83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2 anos (vinculado ao ciclo de vida do produto).</w:t>
            </w:r>
          </w:p>
        </w:tc>
      </w:tr>
      <w:tr w:rsidR="000B1FA2" w:rsidRPr="000B1FA2" w14:paraId="2BA8EB05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24BDB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2 - Q7 (Último treino antes deste)</w:t>
            </w:r>
          </w:p>
        </w:tc>
        <w:tc>
          <w:tcPr>
            <w:tcW w:w="0" w:type="auto"/>
            <w:hideMark/>
          </w:tcPr>
          <w:p w14:paraId="2F44D438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Simplificar categorias</w:t>
            </w:r>
          </w:p>
        </w:tc>
        <w:tc>
          <w:tcPr>
            <w:tcW w:w="0" w:type="auto"/>
            <w:hideMark/>
          </w:tcPr>
          <w:p w14:paraId="7E8E4301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Opções excessivamente detalhadas ("entre 3-4 semanas", "entre 6 meses-1 ano") geram dados fragmentados de baixa utilidade para pesquisa qualitativa.</w:t>
            </w:r>
          </w:p>
        </w:tc>
        <w:tc>
          <w:tcPr>
            <w:tcW w:w="0" w:type="auto"/>
            <w:hideMark/>
          </w:tcPr>
          <w:p w14:paraId="32AD7553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Princípio da minimização (Art. 6º, III, LGPD): coleta desproporcional para a finalidade.</w:t>
            </w:r>
          </w:p>
        </w:tc>
        <w:tc>
          <w:tcPr>
            <w:tcW w:w="0" w:type="auto"/>
            <w:hideMark/>
          </w:tcPr>
          <w:p w14:paraId="437AC3A6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Reduzir para: "&lt; 1 semana", "1-4 semanas", "1-6 meses", "&gt; 6 meses".</w:t>
            </w:r>
          </w:p>
        </w:tc>
        <w:tc>
          <w:tcPr>
            <w:tcW w:w="0" w:type="auto"/>
            <w:hideMark/>
          </w:tcPr>
          <w:p w14:paraId="57B0909E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2 anos.</w:t>
            </w:r>
          </w:p>
        </w:tc>
      </w:tr>
      <w:tr w:rsidR="000B1FA2" w:rsidRPr="000B1FA2" w14:paraId="54DFFC1C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CEEB2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3 - Q11 (Uso do BITEPLANER)</w:t>
            </w:r>
          </w:p>
        </w:tc>
        <w:tc>
          <w:tcPr>
            <w:tcW w:w="0" w:type="auto"/>
            <w:hideMark/>
          </w:tcPr>
          <w:p w14:paraId="446DC7E7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Adicionar campo de "motivo" quando resposta for "Não"</w:t>
            </w:r>
          </w:p>
        </w:tc>
        <w:tc>
          <w:tcPr>
            <w:tcW w:w="0" w:type="auto"/>
            <w:hideMark/>
          </w:tcPr>
          <w:p w14:paraId="429ACD52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A ausência de justificativa para não uso limita a pesquisa qualitativa sobre barreiras de adoção.</w:t>
            </w:r>
          </w:p>
        </w:tc>
        <w:tc>
          <w:tcPr>
            <w:tcW w:w="0" w:type="auto"/>
            <w:hideMark/>
          </w:tcPr>
          <w:p w14:paraId="47C3ABEA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Sem risco direto, mas perda de oportunidade para insights valiosos.</w:t>
            </w:r>
          </w:p>
        </w:tc>
        <w:tc>
          <w:tcPr>
            <w:tcW w:w="0" w:type="auto"/>
            <w:hideMark/>
          </w:tcPr>
          <w:p w14:paraId="38A703C7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Incluir: "Se 'Não', breve motivo: ( ) Desconforto ( ) Esqueceu ( ) Não viu necessidade".</w:t>
            </w:r>
          </w:p>
        </w:tc>
        <w:tc>
          <w:tcPr>
            <w:tcW w:w="0" w:type="auto"/>
            <w:hideMark/>
          </w:tcPr>
          <w:p w14:paraId="7A48C5FA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2 anos.</w:t>
            </w:r>
          </w:p>
        </w:tc>
      </w:tr>
      <w:tr w:rsidR="000B1FA2" w:rsidRPr="000B1FA2" w14:paraId="505A9967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7946A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3 - Q12 (Comentário sobre uso)</w:t>
            </w:r>
          </w:p>
        </w:tc>
        <w:tc>
          <w:tcPr>
            <w:tcW w:w="0" w:type="auto"/>
            <w:hideMark/>
          </w:tcPr>
          <w:p w14:paraId="7C6582F7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Inserir aviso de proteção de dados sensíveis</w:t>
            </w:r>
          </w:p>
        </w:tc>
        <w:tc>
          <w:tcPr>
            <w:tcW w:w="0" w:type="auto"/>
            <w:hideMark/>
          </w:tcPr>
          <w:p w14:paraId="5D5E437A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 xml:space="preserve">Campo aberto pode conter relatos involuntários de condições de saúde </w:t>
            </w:r>
            <w:r w:rsidRPr="000B1FA2">
              <w:lastRenderedPageBreak/>
              <w:t>("dor na ATM", "lesão cervical"), transformando-se em dado sensível.</w:t>
            </w:r>
          </w:p>
        </w:tc>
        <w:tc>
          <w:tcPr>
            <w:tcW w:w="0" w:type="auto"/>
            <w:hideMark/>
          </w:tcPr>
          <w:p w14:paraId="044F8201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lastRenderedPageBreak/>
              <w:t xml:space="preserve">Tratamento não intencional de dado sensível exige base </w:t>
            </w:r>
            <w:r w:rsidRPr="000B1FA2">
              <w:lastRenderedPageBreak/>
              <w:t>legal específica (Art. 11, LGPD).</w:t>
            </w:r>
          </w:p>
        </w:tc>
        <w:tc>
          <w:tcPr>
            <w:tcW w:w="0" w:type="auto"/>
            <w:hideMark/>
          </w:tcPr>
          <w:p w14:paraId="793B1C4E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lastRenderedPageBreak/>
              <w:t xml:space="preserve">Acrescentar nota: "Evite descrever condições médicas específicas. Para </w:t>
            </w:r>
            <w:r w:rsidRPr="000B1FA2">
              <w:lastRenderedPageBreak/>
              <w:t>questões de saúde, consulte seu dentista".</w:t>
            </w:r>
          </w:p>
        </w:tc>
        <w:tc>
          <w:tcPr>
            <w:tcW w:w="0" w:type="auto"/>
            <w:hideMark/>
          </w:tcPr>
          <w:p w14:paraId="6BB9C229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lastRenderedPageBreak/>
              <w:t xml:space="preserve">2 anos; revisão semestral para exclusão de </w:t>
            </w:r>
            <w:r w:rsidRPr="000B1FA2">
              <w:lastRenderedPageBreak/>
              <w:t>menções sensíveis.</w:t>
            </w:r>
          </w:p>
        </w:tc>
      </w:tr>
      <w:tr w:rsidR="000B1FA2" w:rsidRPr="000B1FA2" w14:paraId="28655B75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BDDA8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4 - Q18-Q20 (Cidade, local, nome do local)</w:t>
            </w:r>
          </w:p>
        </w:tc>
        <w:tc>
          <w:tcPr>
            <w:tcW w:w="0" w:type="auto"/>
            <w:hideMark/>
          </w:tcPr>
          <w:p w14:paraId="48335CAF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Reduzir para "Cidade/Região onde treinou"</w:t>
            </w:r>
          </w:p>
        </w:tc>
        <w:tc>
          <w:tcPr>
            <w:tcW w:w="0" w:type="auto"/>
            <w:hideMark/>
          </w:tcPr>
          <w:p w14:paraId="75777991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Coleta tripla de informação geográfica é redundante para pesquisa qualitativa. Nome do local pode identificar estabelecimentos específicos sem necessidade.</w:t>
            </w:r>
          </w:p>
        </w:tc>
        <w:tc>
          <w:tcPr>
            <w:tcW w:w="0" w:type="auto"/>
            <w:hideMark/>
          </w:tcPr>
          <w:p w14:paraId="037FA145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Risco de identificação indireta do usuário + exposição desnecessária de terceiros (academias).</w:t>
            </w:r>
          </w:p>
        </w:tc>
        <w:tc>
          <w:tcPr>
            <w:tcW w:w="0" w:type="auto"/>
            <w:hideMark/>
          </w:tcPr>
          <w:p w14:paraId="525A95A1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Unificar em um único campo: "Cidade ou região onde ocorreu o treino".</w:t>
            </w:r>
          </w:p>
        </w:tc>
        <w:tc>
          <w:tcPr>
            <w:tcW w:w="0" w:type="auto"/>
            <w:hideMark/>
          </w:tcPr>
          <w:p w14:paraId="782B18DA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1 ano (dado geográfico agregado para estudos regionais).</w:t>
            </w:r>
          </w:p>
        </w:tc>
      </w:tr>
      <w:tr w:rsidR="000B1FA2" w:rsidRPr="000B1FA2" w14:paraId="6384F514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25F82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Seção 5 - Q22 (Conselho para desenvolvimento)</w:t>
            </w:r>
          </w:p>
        </w:tc>
        <w:tc>
          <w:tcPr>
            <w:tcW w:w="0" w:type="auto"/>
            <w:hideMark/>
          </w:tcPr>
          <w:p w14:paraId="65C6ED6B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Manter como núcleo da pesquisa qualitativa</w:t>
            </w:r>
          </w:p>
        </w:tc>
        <w:tc>
          <w:tcPr>
            <w:tcW w:w="0" w:type="auto"/>
            <w:hideMark/>
          </w:tcPr>
          <w:p w14:paraId="1B8F10FE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Campo crucial para capturar insights de P&amp;D diretamente dos usuários. Não coleta dados identificáveis por padrão.</w:t>
            </w:r>
          </w:p>
        </w:tc>
        <w:tc>
          <w:tcPr>
            <w:tcW w:w="0" w:type="auto"/>
            <w:hideMark/>
          </w:tcPr>
          <w:p w14:paraId="5A8BA20F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Baixo risco, desde que não solicite dados pessoais.</w:t>
            </w:r>
          </w:p>
        </w:tc>
        <w:tc>
          <w:tcPr>
            <w:tcW w:w="0" w:type="auto"/>
            <w:hideMark/>
          </w:tcPr>
          <w:p w14:paraId="39D505B9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Manter sem alterações; incluir exemplo neutro: "</w:t>
            </w:r>
            <w:proofErr w:type="spellStart"/>
            <w:r w:rsidRPr="000B1FA2">
              <w:t>ex</w:t>
            </w:r>
            <w:proofErr w:type="spellEnd"/>
            <w:r w:rsidRPr="000B1FA2">
              <w:t>: 'melhorar encaixe nos molares'".</w:t>
            </w:r>
          </w:p>
        </w:tc>
        <w:tc>
          <w:tcPr>
            <w:tcW w:w="0" w:type="auto"/>
            <w:hideMark/>
          </w:tcPr>
          <w:p w14:paraId="3C494FBE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3 anos (ciclo típico de desenvolvimento de produto).</w:t>
            </w:r>
          </w:p>
        </w:tc>
      </w:tr>
      <w:tr w:rsidR="000B1FA2" w:rsidRPr="000B1FA2" w14:paraId="4084DC6D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ADDEC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Ausência de política de retenção explícita</w:t>
            </w:r>
          </w:p>
        </w:tc>
        <w:tc>
          <w:tcPr>
            <w:tcW w:w="0" w:type="auto"/>
            <w:hideMark/>
          </w:tcPr>
          <w:p w14:paraId="61E0A8E2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Inserir nota no rodapé</w:t>
            </w:r>
          </w:p>
        </w:tc>
        <w:tc>
          <w:tcPr>
            <w:tcW w:w="0" w:type="auto"/>
            <w:hideMark/>
          </w:tcPr>
          <w:p w14:paraId="02BBD393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 xml:space="preserve">O formulário não informa por quanto tempo os dados serão armazenados, violando </w:t>
            </w:r>
            <w:r w:rsidRPr="000B1FA2">
              <w:lastRenderedPageBreak/>
              <w:t>o princípio da transparência (Art. 6º, VI, LGPD).</w:t>
            </w:r>
          </w:p>
        </w:tc>
        <w:tc>
          <w:tcPr>
            <w:tcW w:w="0" w:type="auto"/>
            <w:hideMark/>
          </w:tcPr>
          <w:p w14:paraId="7AB07056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lastRenderedPageBreak/>
              <w:t>Obrigação de informar prazos de retenção ao titular (Art. 9º, §5º, LGPD).</w:t>
            </w:r>
          </w:p>
        </w:tc>
        <w:tc>
          <w:tcPr>
            <w:tcW w:w="0" w:type="auto"/>
            <w:hideMark/>
          </w:tcPr>
          <w:p w14:paraId="5DD28D73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 xml:space="preserve">Adicionar: "Seus dados serão conservados conforme </w:t>
            </w:r>
            <w:r w:rsidRPr="000B1FA2">
              <w:lastRenderedPageBreak/>
              <w:t>necessidade operacional e de pesquisa, conforme detalhado em nossa Política de Retenção [link]".</w:t>
            </w:r>
          </w:p>
        </w:tc>
        <w:tc>
          <w:tcPr>
            <w:tcW w:w="0" w:type="auto"/>
            <w:hideMark/>
          </w:tcPr>
          <w:p w14:paraId="71896F6F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lastRenderedPageBreak/>
              <w:t>-</w:t>
            </w:r>
          </w:p>
        </w:tc>
      </w:tr>
      <w:tr w:rsidR="000B1FA2" w:rsidRPr="000B1FA2" w14:paraId="5599B13D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9190A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Coleta de massa corporal (Q5)</w:t>
            </w:r>
          </w:p>
        </w:tc>
        <w:tc>
          <w:tcPr>
            <w:tcW w:w="0" w:type="auto"/>
            <w:hideMark/>
          </w:tcPr>
          <w:p w14:paraId="2C126D80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Tornar opcional e adicionar contexto</w:t>
            </w:r>
          </w:p>
        </w:tc>
        <w:tc>
          <w:tcPr>
            <w:tcW w:w="0" w:type="auto"/>
            <w:hideMark/>
          </w:tcPr>
          <w:p w14:paraId="59FF8B4F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Dado biométrico sem relação direta com a pesquisa orofacial. Pode ser percebido como invasivo.</w:t>
            </w:r>
          </w:p>
        </w:tc>
        <w:tc>
          <w:tcPr>
            <w:tcW w:w="0" w:type="auto"/>
            <w:hideMark/>
          </w:tcPr>
          <w:p w14:paraId="3B903E4D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Dado biométrico é considerado sensível se permitir identificação (Art. 5º, II, LGPD).</w:t>
            </w:r>
          </w:p>
        </w:tc>
        <w:tc>
          <w:tcPr>
            <w:tcW w:w="0" w:type="auto"/>
            <w:hideMark/>
          </w:tcPr>
          <w:p w14:paraId="27B2D954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Incluir justificativa: "Opcional: nos ajude a correlacionar biótipo com adaptação ao dispositivo".</w:t>
            </w:r>
          </w:p>
        </w:tc>
        <w:tc>
          <w:tcPr>
            <w:tcW w:w="0" w:type="auto"/>
            <w:hideMark/>
          </w:tcPr>
          <w:p w14:paraId="13483EB0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1 ano (após análise estatística, manter apenas faixas: &lt;60kg, 60-80kg, &gt;80kg).</w:t>
            </w:r>
          </w:p>
        </w:tc>
      </w:tr>
    </w:tbl>
    <w:p w14:paraId="2B7B2E56" w14:textId="77777777" w:rsidR="000B1FA2" w:rsidRDefault="000B1FA2" w:rsidP="000B1FA2"/>
    <w:p w14:paraId="0431600F" w14:textId="0C51717B" w:rsidR="000B1FA2" w:rsidRPr="000B1FA2" w:rsidRDefault="000B1FA2" w:rsidP="000B1FA2">
      <w:r w:rsidRPr="000B1FA2">
        <w:t>* Prazos baseados: (i) natureza operacional (relatórios de treino); (</w:t>
      </w:r>
      <w:proofErr w:type="spellStart"/>
      <w:r w:rsidRPr="000B1FA2">
        <w:t>ii</w:t>
      </w:r>
      <w:proofErr w:type="spellEnd"/>
      <w:r w:rsidRPr="000B1FA2">
        <w:t>) papel da NEXOR/</w:t>
      </w:r>
      <w:proofErr w:type="spellStart"/>
      <w:r w:rsidRPr="000B1FA2">
        <w:t>ethosX</w:t>
      </w:r>
      <w:proofErr w:type="spellEnd"/>
      <w:r w:rsidRPr="000B1FA2">
        <w:t xml:space="preserve"> como intermediária técnica; (</w:t>
      </w:r>
      <w:proofErr w:type="spellStart"/>
      <w:r w:rsidRPr="000B1FA2">
        <w:t>iii</w:t>
      </w:r>
      <w:proofErr w:type="spellEnd"/>
      <w:r w:rsidRPr="000B1FA2">
        <w:t>) diretrizes ANPD para dados de pesquisa. Em caso de obrigação contratual com usuário, prevalece o prazo acordado.</w:t>
      </w:r>
    </w:p>
    <w:p w14:paraId="753ECC54" w14:textId="77777777" w:rsidR="000B1FA2" w:rsidRPr="000B1FA2" w:rsidRDefault="000B1FA2" w:rsidP="000B1FA2">
      <w:pPr>
        <w:rPr>
          <w:b/>
          <w:bCs/>
        </w:rPr>
      </w:pPr>
      <w:r w:rsidRPr="000B1FA2">
        <w:rPr>
          <w:b/>
          <w:bCs/>
        </w:rPr>
        <w:t xml:space="preserve">Anexo: Resumo de Conformidade Legal </w:t>
      </w:r>
    </w:p>
    <w:p w14:paraId="0531AB27" w14:textId="77777777" w:rsidR="000B1FA2" w:rsidRPr="000B1FA2" w:rsidRDefault="000B1FA2" w:rsidP="000B1FA2">
      <w:pPr>
        <w:rPr>
          <w:b/>
          <w:bCs/>
        </w:rPr>
      </w:pPr>
      <w:r w:rsidRPr="000B1FA2">
        <w:rPr>
          <w:b/>
          <w:bCs/>
        </w:rPr>
        <w:t xml:space="preserve">Bases Legais Aplicáveis </w:t>
      </w:r>
    </w:p>
    <w:p w14:paraId="5D7FBBBA" w14:textId="77777777" w:rsidR="000B1FA2" w:rsidRPr="000B1FA2" w:rsidRDefault="000B1FA2" w:rsidP="000B1FA2">
      <w:pPr>
        <w:numPr>
          <w:ilvl w:val="0"/>
          <w:numId w:val="1"/>
        </w:numPr>
      </w:pPr>
      <w:r w:rsidRPr="000B1FA2">
        <w:rPr>
          <w:b/>
          <w:bCs/>
        </w:rPr>
        <w:t>Operação do serviço</w:t>
      </w:r>
      <w:r w:rsidRPr="000B1FA2">
        <w:t>: Contrato (Art. 7º, V, LGPD)</w:t>
      </w:r>
    </w:p>
    <w:p w14:paraId="0851B021" w14:textId="77777777" w:rsidR="000B1FA2" w:rsidRPr="000B1FA2" w:rsidRDefault="000B1FA2" w:rsidP="000B1FA2">
      <w:pPr>
        <w:numPr>
          <w:ilvl w:val="0"/>
          <w:numId w:val="1"/>
        </w:numPr>
      </w:pPr>
      <w:r w:rsidRPr="000B1FA2">
        <w:rPr>
          <w:b/>
          <w:bCs/>
        </w:rPr>
        <w:t>Pesquisa qualitativa</w:t>
      </w:r>
      <w:r w:rsidRPr="000B1FA2">
        <w:t>: Legítimo interesse (Art. 7º, IX) + anonimização</w:t>
      </w:r>
    </w:p>
    <w:p w14:paraId="40DEA87F" w14:textId="77777777" w:rsidR="000B1FA2" w:rsidRPr="000B1FA2" w:rsidRDefault="000B1FA2" w:rsidP="000B1FA2">
      <w:pPr>
        <w:numPr>
          <w:ilvl w:val="0"/>
          <w:numId w:val="1"/>
        </w:numPr>
      </w:pPr>
      <w:r w:rsidRPr="000B1FA2">
        <w:rPr>
          <w:b/>
          <w:bCs/>
        </w:rPr>
        <w:t>Dados sensíveis incidentais</w:t>
      </w:r>
      <w:r w:rsidRPr="000B1FA2">
        <w:t>: Tutela da saúde (Art. 11, II, a) mediante notificação</w:t>
      </w:r>
    </w:p>
    <w:p w14:paraId="38F2E70E" w14:textId="77777777" w:rsidR="000B1FA2" w:rsidRPr="000B1FA2" w:rsidRDefault="000B1FA2" w:rsidP="000B1FA2">
      <w:pPr>
        <w:rPr>
          <w:b/>
          <w:bCs/>
        </w:rPr>
      </w:pPr>
      <w:r w:rsidRPr="000B1FA2">
        <w:rPr>
          <w:b/>
          <w:bCs/>
        </w:rPr>
        <w:lastRenderedPageBreak/>
        <w:t xml:space="preserve">Medidas Críticas para </w:t>
      </w:r>
      <w:proofErr w:type="spellStart"/>
      <w:r w:rsidRPr="000B1FA2">
        <w:rPr>
          <w:b/>
          <w:bCs/>
        </w:rPr>
        <w:t>EthosX</w:t>
      </w:r>
      <w:proofErr w:type="spellEnd"/>
      <w:r w:rsidRPr="000B1FA2">
        <w:rPr>
          <w:b/>
          <w:bCs/>
        </w:rPr>
        <w:t xml:space="preserve"> (como intermediária) </w:t>
      </w:r>
    </w:p>
    <w:p w14:paraId="5996D289" w14:textId="77777777" w:rsidR="000B1FA2" w:rsidRPr="000B1FA2" w:rsidRDefault="000B1FA2" w:rsidP="000B1FA2">
      <w:pPr>
        <w:numPr>
          <w:ilvl w:val="0"/>
          <w:numId w:val="2"/>
        </w:numPr>
      </w:pPr>
      <w:r w:rsidRPr="000B1FA2">
        <w:rPr>
          <w:b/>
          <w:bCs/>
        </w:rPr>
        <w:t>Contratos com operadores</w:t>
      </w:r>
      <w:r w:rsidRPr="000B1FA2">
        <w:t>: Formalizar relação com dentistas/laboratórios que acessam dados via plataforma</w:t>
      </w:r>
    </w:p>
    <w:p w14:paraId="0A17B26E" w14:textId="77777777" w:rsidR="000B1FA2" w:rsidRPr="000B1FA2" w:rsidRDefault="000B1FA2" w:rsidP="000B1FA2">
      <w:pPr>
        <w:numPr>
          <w:ilvl w:val="0"/>
          <w:numId w:val="2"/>
        </w:numPr>
      </w:pPr>
      <w:r w:rsidRPr="000B1FA2">
        <w:rPr>
          <w:b/>
          <w:bCs/>
        </w:rPr>
        <w:t>RAZ (Registro de Atividades de Tratamento)</w:t>
      </w:r>
      <w:r w:rsidRPr="000B1FA2">
        <w:t>: Especificar finalidade de pesquisa qualitativa separadamente de operações</w:t>
      </w:r>
    </w:p>
    <w:p w14:paraId="4A24E593" w14:textId="77777777" w:rsidR="000B1FA2" w:rsidRPr="000B1FA2" w:rsidRDefault="000B1FA2" w:rsidP="000B1FA2">
      <w:pPr>
        <w:numPr>
          <w:ilvl w:val="0"/>
          <w:numId w:val="2"/>
        </w:numPr>
      </w:pPr>
      <w:r w:rsidRPr="000B1FA2">
        <w:rPr>
          <w:b/>
          <w:bCs/>
        </w:rPr>
        <w:t>Governança de acesso</w:t>
      </w:r>
      <w:r w:rsidRPr="000B1FA2">
        <w:t>: Restringir dados brutos a equipe técnica; pesquisadores acessam apenas conjuntos anonimizados</w:t>
      </w:r>
    </w:p>
    <w:p w14:paraId="04881A6A" w14:textId="77777777" w:rsidR="000B1FA2" w:rsidRPr="000B1FA2" w:rsidRDefault="000B1FA2" w:rsidP="000B1FA2">
      <w:pPr>
        <w:numPr>
          <w:ilvl w:val="0"/>
          <w:numId w:val="2"/>
        </w:numPr>
      </w:pPr>
      <w:r w:rsidRPr="000B1FA2">
        <w:rPr>
          <w:b/>
          <w:bCs/>
        </w:rPr>
        <w:t>Transferência internacional</w:t>
      </w:r>
      <w:r w:rsidRPr="000B1FA2">
        <w:t>: Se usar cloud externa, adotar cláusulas padrão ANPD ou certificações adequadas</w:t>
      </w:r>
    </w:p>
    <w:p w14:paraId="32DE117B" w14:textId="77777777" w:rsidR="000B1FA2" w:rsidRDefault="000B1FA2" w:rsidP="000B1FA2">
      <w:pPr>
        <w:rPr>
          <w:b/>
          <w:bCs/>
        </w:rPr>
      </w:pPr>
    </w:p>
    <w:p w14:paraId="7469F819" w14:textId="0969974D" w:rsidR="000B1FA2" w:rsidRPr="000B1FA2" w:rsidRDefault="000B1FA2" w:rsidP="000B1FA2">
      <w:pPr>
        <w:rPr>
          <w:b/>
          <w:bCs/>
        </w:rPr>
      </w:pPr>
      <w:r w:rsidRPr="000B1FA2">
        <w:rPr>
          <w:b/>
          <w:bCs/>
        </w:rPr>
        <w:t xml:space="preserve">Retenção Diferenciada por Categoria </w:t>
      </w:r>
    </w:p>
    <w:tbl>
      <w:tblPr>
        <w:tblStyle w:val="TabeladeGrade5Escura-nfase6"/>
        <w:tblW w:w="0" w:type="auto"/>
        <w:tblLook w:val="04A0" w:firstRow="1" w:lastRow="0" w:firstColumn="1" w:lastColumn="0" w:noHBand="0" w:noVBand="1"/>
      </w:tblPr>
      <w:tblGrid>
        <w:gridCol w:w="3675"/>
        <w:gridCol w:w="1634"/>
        <w:gridCol w:w="6943"/>
      </w:tblGrid>
      <w:tr w:rsidR="000B1FA2" w:rsidRPr="000B1FA2" w14:paraId="50F5B0FC" w14:textId="77777777" w:rsidTr="000B1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FBBA3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Categoria de Dado</w:t>
            </w:r>
          </w:p>
        </w:tc>
        <w:tc>
          <w:tcPr>
            <w:tcW w:w="0" w:type="auto"/>
            <w:hideMark/>
          </w:tcPr>
          <w:p w14:paraId="13AE2D11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 xml:space="preserve">Prazo </w:t>
            </w:r>
            <w:proofErr w:type="spellStart"/>
            <w:r w:rsidRPr="000B1FA2">
              <w:t>EthosX</w:t>
            </w:r>
            <w:proofErr w:type="spellEnd"/>
          </w:p>
        </w:tc>
        <w:tc>
          <w:tcPr>
            <w:tcW w:w="0" w:type="auto"/>
            <w:hideMark/>
          </w:tcPr>
          <w:p w14:paraId="1C039848" w14:textId="77777777" w:rsidR="000B1FA2" w:rsidRPr="000B1FA2" w:rsidRDefault="000B1FA2" w:rsidP="000B1FA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Fundamentação</w:t>
            </w:r>
          </w:p>
        </w:tc>
      </w:tr>
      <w:tr w:rsidR="000B1FA2" w:rsidRPr="000B1FA2" w14:paraId="2F507CF3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3A18A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Identificadores (e-mail, CPF)</w:t>
            </w:r>
          </w:p>
        </w:tc>
        <w:tc>
          <w:tcPr>
            <w:tcW w:w="0" w:type="auto"/>
            <w:hideMark/>
          </w:tcPr>
          <w:p w14:paraId="46A91DD9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2 anos</w:t>
            </w:r>
          </w:p>
        </w:tc>
        <w:tc>
          <w:tcPr>
            <w:tcW w:w="0" w:type="auto"/>
            <w:hideMark/>
          </w:tcPr>
          <w:p w14:paraId="60EAEB44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Ciclo de vida do produto + prescrição consumerista (CDC Art. 27)</w:t>
            </w:r>
          </w:p>
        </w:tc>
      </w:tr>
      <w:tr w:rsidR="000B1FA2" w:rsidRPr="000B1FA2" w14:paraId="4F0B4ABF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649AC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Dados de desempenho físico</w:t>
            </w:r>
          </w:p>
        </w:tc>
        <w:tc>
          <w:tcPr>
            <w:tcW w:w="0" w:type="auto"/>
            <w:hideMark/>
          </w:tcPr>
          <w:p w14:paraId="60D52BB1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3 anos</w:t>
            </w:r>
          </w:p>
        </w:tc>
        <w:tc>
          <w:tcPr>
            <w:tcW w:w="0" w:type="auto"/>
            <w:hideMark/>
          </w:tcPr>
          <w:p w14:paraId="6CFA07D4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Ciclos típicos de pesquisa em bioengenharia</w:t>
            </w:r>
          </w:p>
        </w:tc>
      </w:tr>
      <w:tr w:rsidR="000B1FA2" w:rsidRPr="000B1FA2" w14:paraId="3B984AA1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F6F9A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Comentários textuais</w:t>
            </w:r>
          </w:p>
        </w:tc>
        <w:tc>
          <w:tcPr>
            <w:tcW w:w="0" w:type="auto"/>
            <w:hideMark/>
          </w:tcPr>
          <w:p w14:paraId="3FA96E91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2 anos</w:t>
            </w:r>
          </w:p>
        </w:tc>
        <w:tc>
          <w:tcPr>
            <w:tcW w:w="0" w:type="auto"/>
            <w:hideMark/>
          </w:tcPr>
          <w:p w14:paraId="620381D2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Redução de risco de reidentificação por contexto</w:t>
            </w:r>
          </w:p>
        </w:tc>
      </w:tr>
      <w:tr w:rsidR="000B1FA2" w:rsidRPr="000B1FA2" w14:paraId="0FBDD010" w14:textId="77777777" w:rsidTr="000B1F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3C732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Dados anonimizados agregados</w:t>
            </w:r>
          </w:p>
        </w:tc>
        <w:tc>
          <w:tcPr>
            <w:tcW w:w="0" w:type="auto"/>
            <w:hideMark/>
          </w:tcPr>
          <w:p w14:paraId="60ADB8A8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Sem limite</w:t>
            </w:r>
          </w:p>
        </w:tc>
        <w:tc>
          <w:tcPr>
            <w:tcW w:w="0" w:type="auto"/>
            <w:hideMark/>
          </w:tcPr>
          <w:p w14:paraId="0391E9AA" w14:textId="77777777" w:rsidR="000B1FA2" w:rsidRPr="000B1FA2" w:rsidRDefault="000B1FA2" w:rsidP="000B1FA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1FA2">
              <w:t>Não constituem dado pessoal (Art. 12, §1º)</w:t>
            </w:r>
          </w:p>
        </w:tc>
      </w:tr>
      <w:tr w:rsidR="000B1FA2" w:rsidRPr="000B1FA2" w14:paraId="1F2AAFFC" w14:textId="77777777" w:rsidTr="000B1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3BD37" w14:textId="77777777" w:rsidR="000B1FA2" w:rsidRPr="000B1FA2" w:rsidRDefault="000B1FA2" w:rsidP="000B1FA2">
            <w:pPr>
              <w:spacing w:after="160" w:line="278" w:lineRule="auto"/>
            </w:pPr>
            <w:r w:rsidRPr="000B1FA2">
              <w:t>Metadados de sistema</w:t>
            </w:r>
          </w:p>
        </w:tc>
        <w:tc>
          <w:tcPr>
            <w:tcW w:w="0" w:type="auto"/>
            <w:hideMark/>
          </w:tcPr>
          <w:p w14:paraId="5EDEEB27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5 anos</w:t>
            </w:r>
          </w:p>
        </w:tc>
        <w:tc>
          <w:tcPr>
            <w:tcW w:w="0" w:type="auto"/>
            <w:hideMark/>
          </w:tcPr>
          <w:p w14:paraId="28F020E5" w14:textId="77777777" w:rsidR="000B1FA2" w:rsidRPr="000B1FA2" w:rsidRDefault="000B1FA2" w:rsidP="000B1FA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1FA2">
              <w:t>Requisito de segurança (Art. 47, LGPD)</w:t>
            </w:r>
          </w:p>
        </w:tc>
      </w:tr>
    </w:tbl>
    <w:p w14:paraId="39A2FA9C" w14:textId="77777777" w:rsidR="00402A2E" w:rsidRDefault="00402A2E"/>
    <w:sectPr w:rsidR="00402A2E" w:rsidSect="000B1FA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740"/>
    <w:multiLevelType w:val="multilevel"/>
    <w:tmpl w:val="9670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765ED"/>
    <w:multiLevelType w:val="multilevel"/>
    <w:tmpl w:val="0DD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24448">
    <w:abstractNumId w:val="1"/>
  </w:num>
  <w:num w:numId="2" w16cid:durableId="43393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A2"/>
    <w:rsid w:val="000B1FA2"/>
    <w:rsid w:val="00402A2E"/>
    <w:rsid w:val="0073694F"/>
    <w:rsid w:val="00EC616C"/>
    <w:rsid w:val="00FE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C4E20"/>
  <w15:chartTrackingRefBased/>
  <w15:docId w15:val="{C0A8868A-F950-4780-A91F-19FD602D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1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1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1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1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1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1F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1F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1F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1F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1F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1F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1F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1F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1F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1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1F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1FA2"/>
    <w:rPr>
      <w:b/>
      <w:bCs/>
      <w:smallCaps/>
      <w:color w:val="0F4761" w:themeColor="accent1" w:themeShade="BF"/>
      <w:spacing w:val="5"/>
    </w:rPr>
  </w:style>
  <w:style w:type="table" w:styleId="TabeladeGrade5Escura-nfase6">
    <w:name w:val="Grid Table 5 Dark Accent 6"/>
    <w:basedOn w:val="Tabelanormal"/>
    <w:uiPriority w:val="50"/>
    <w:rsid w:val="000B1F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0B1F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944</Words>
  <Characters>5102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1</cp:revision>
  <dcterms:created xsi:type="dcterms:W3CDTF">2026-05-05T18:53:00Z</dcterms:created>
  <dcterms:modified xsi:type="dcterms:W3CDTF">2026-05-05T19:01:00Z</dcterms:modified>
</cp:coreProperties>
</file>