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832D" w14:textId="7E6131B1" w:rsidR="00ED2C3B" w:rsidRDefault="00ED2C3B" w:rsidP="00ED2C3B">
      <w:pPr>
        <w:rPr>
          <w:b/>
          <w:bCs/>
        </w:rPr>
      </w:pPr>
      <w:r w:rsidRPr="00DC4385">
        <w:rPr>
          <w:b/>
          <w:bCs/>
        </w:rPr>
        <w:t xml:space="preserve">NEXOR - Cadastro de Novo </w:t>
      </w:r>
      <w:r w:rsidRPr="00DC4385">
        <w:rPr>
          <w:b/>
          <w:bCs/>
        </w:rPr>
        <w:t>Usuário</w:t>
      </w:r>
      <w:r>
        <w:rPr>
          <w:b/>
          <w:bCs/>
        </w:rPr>
        <w:t xml:space="preserve"> </w:t>
      </w:r>
      <w:r w:rsidRPr="00DC4385">
        <w:rPr>
          <w:b/>
          <w:bCs/>
        </w:rPr>
        <w:t>Documento</w:t>
      </w:r>
      <w:r w:rsidRPr="00DC4385">
        <w:rPr>
          <w:b/>
          <w:bCs/>
        </w:rPr>
        <w:t xml:space="preserve"> de Conformidade com a LGPD </w:t>
      </w:r>
    </w:p>
    <w:p w14:paraId="13BE6733" w14:textId="2DA90F7A" w:rsidR="00ED2C3B" w:rsidRPr="00ED2C3B" w:rsidRDefault="00ED2C3B" w:rsidP="00ED2C3B">
      <w:pPr>
        <w:rPr>
          <w:b/>
          <w:bCs/>
        </w:rPr>
      </w:pPr>
      <w:r w:rsidRPr="00ED2C3B">
        <w:rPr>
          <w:b/>
          <w:bCs/>
        </w:rPr>
        <w:t xml:space="preserve">Tabela de Correções Críticas e Ajustes Recomendados – Pesquisa Qualitativa entre Stakeholders NEXOR (Cadastro + Anamnese + Avaliações) </w:t>
      </w:r>
    </w:p>
    <w:tbl>
      <w:tblPr>
        <w:tblStyle w:val="TabeladeGrade5Escura-nfase6"/>
        <w:tblW w:w="0" w:type="auto"/>
        <w:tblLook w:val="04A0" w:firstRow="1" w:lastRow="0" w:firstColumn="1" w:lastColumn="0" w:noHBand="0" w:noVBand="1"/>
      </w:tblPr>
      <w:tblGrid>
        <w:gridCol w:w="2128"/>
        <w:gridCol w:w="2131"/>
        <w:gridCol w:w="2381"/>
        <w:gridCol w:w="2906"/>
        <w:gridCol w:w="2597"/>
        <w:gridCol w:w="1851"/>
      </w:tblGrid>
      <w:tr w:rsidR="00ED2C3B" w:rsidRPr="00ED2C3B" w14:paraId="69BEE9B9" w14:textId="77777777" w:rsidTr="00ED2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9C63B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Formulário / Seção / Nº da questão</w:t>
            </w:r>
          </w:p>
        </w:tc>
        <w:tc>
          <w:tcPr>
            <w:tcW w:w="0" w:type="auto"/>
            <w:hideMark/>
          </w:tcPr>
          <w:p w14:paraId="62866979" w14:textId="77777777" w:rsidR="00ED2C3B" w:rsidRPr="00ED2C3B" w:rsidRDefault="00ED2C3B" w:rsidP="00ED2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Tipo de ajuste</w:t>
            </w:r>
          </w:p>
        </w:tc>
        <w:tc>
          <w:tcPr>
            <w:tcW w:w="0" w:type="auto"/>
            <w:hideMark/>
          </w:tcPr>
          <w:p w14:paraId="59892EF5" w14:textId="77777777" w:rsidR="00ED2C3B" w:rsidRPr="00ED2C3B" w:rsidRDefault="00ED2C3B" w:rsidP="00ED2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Comentário (finalidade de pesquisa qualitativa, compliance e governança)</w:t>
            </w:r>
          </w:p>
        </w:tc>
        <w:tc>
          <w:tcPr>
            <w:tcW w:w="0" w:type="auto"/>
            <w:hideMark/>
          </w:tcPr>
          <w:p w14:paraId="7EDB4B56" w14:textId="77777777" w:rsidR="00ED2C3B" w:rsidRPr="00ED2C3B" w:rsidRDefault="00ED2C3B" w:rsidP="00ED2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Pontos de conflito com a LGPD / Questões legais</w:t>
            </w:r>
          </w:p>
        </w:tc>
        <w:tc>
          <w:tcPr>
            <w:tcW w:w="0" w:type="auto"/>
            <w:hideMark/>
          </w:tcPr>
          <w:p w14:paraId="3DE61662" w14:textId="77777777" w:rsidR="00ED2C3B" w:rsidRPr="00ED2C3B" w:rsidRDefault="00ED2C3B" w:rsidP="00ED2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Ação recomendada</w:t>
            </w:r>
          </w:p>
        </w:tc>
        <w:tc>
          <w:tcPr>
            <w:tcW w:w="0" w:type="auto"/>
            <w:hideMark/>
          </w:tcPr>
          <w:p w14:paraId="3EF5760F" w14:textId="77777777" w:rsidR="00ED2C3B" w:rsidRPr="00ED2C3B" w:rsidRDefault="00ED2C3B" w:rsidP="00ED2C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Prazo de retenção na plataforma </w:t>
            </w:r>
            <w:proofErr w:type="spellStart"/>
            <w:r w:rsidRPr="00ED2C3B">
              <w:t>ethosX</w:t>
            </w:r>
            <w:proofErr w:type="spellEnd"/>
            <w:r w:rsidRPr="00ED2C3B">
              <w:t>*</w:t>
            </w:r>
          </w:p>
        </w:tc>
      </w:tr>
      <w:tr w:rsidR="00ED2C3B" w:rsidRPr="00ED2C3B" w14:paraId="61D50965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95AF6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 xml:space="preserve">Cadastro – Q1 (texto de finalidade + </w:t>
            </w:r>
            <w:proofErr w:type="spellStart"/>
            <w:r w:rsidRPr="00ED2C3B">
              <w:t>checkbox</w:t>
            </w:r>
            <w:proofErr w:type="spellEnd"/>
            <w:r w:rsidRPr="00ED2C3B">
              <w:t xml:space="preserve"> “Li e concordo…”)</w:t>
            </w:r>
          </w:p>
        </w:tc>
        <w:tc>
          <w:tcPr>
            <w:tcW w:w="0" w:type="auto"/>
            <w:hideMark/>
          </w:tcPr>
          <w:p w14:paraId="53C379C4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Tornar consentimento granular e mais específico</w:t>
            </w:r>
          </w:p>
        </w:tc>
        <w:tc>
          <w:tcPr>
            <w:tcW w:w="0" w:type="auto"/>
            <w:hideMark/>
          </w:tcPr>
          <w:p w14:paraId="0D232B59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O texto concentra </w:t>
            </w:r>
            <w:r w:rsidRPr="00ED2C3B">
              <w:rPr>
                <w:b/>
                <w:bCs/>
              </w:rPr>
              <w:t>múltiplas finalidades</w:t>
            </w:r>
            <w:r w:rsidRPr="00ED2C3B">
              <w:t xml:space="preserve"> (cadastro, atendimento, feedbacks, comunicações, banco de dados para pesquisa e desenvolvimento) em um único bloco. Para </w:t>
            </w:r>
            <w:r w:rsidRPr="00ED2C3B">
              <w:rPr>
                <w:b/>
                <w:bCs/>
              </w:rPr>
              <w:t>pesquisa qualitativa</w:t>
            </w:r>
            <w:r w:rsidRPr="00ED2C3B">
              <w:t xml:space="preserve"> com usuários e outros </w:t>
            </w:r>
            <w:r w:rsidRPr="00ED2C3B">
              <w:lastRenderedPageBreak/>
              <w:t>stakeholders, é importante separar claramente: (i) uso para atendimento/operacional, (</w:t>
            </w:r>
            <w:proofErr w:type="spellStart"/>
            <w:r w:rsidRPr="00ED2C3B">
              <w:t>ii</w:t>
            </w:r>
            <w:proofErr w:type="spellEnd"/>
            <w:r w:rsidRPr="00ED2C3B">
              <w:t>) uso para comunicações/marketing, (</w:t>
            </w:r>
            <w:proofErr w:type="spellStart"/>
            <w:r w:rsidRPr="00ED2C3B">
              <w:t>iii</w:t>
            </w:r>
            <w:proofErr w:type="spellEnd"/>
            <w:r w:rsidRPr="00ED2C3B">
              <w:t>) uso para pesquisa/</w:t>
            </w:r>
            <w:proofErr w:type="spellStart"/>
            <w:r w:rsidRPr="00ED2C3B">
              <w:t>analytics</w:t>
            </w:r>
            <w:proofErr w:type="spellEnd"/>
            <w:r w:rsidRPr="00ED2C3B">
              <w:t xml:space="preserve"> (incluindo dados anonimizados).</w:t>
            </w:r>
          </w:p>
        </w:tc>
        <w:tc>
          <w:tcPr>
            <w:tcW w:w="0" w:type="auto"/>
            <w:hideMark/>
          </w:tcPr>
          <w:p w14:paraId="1942B254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Consentimento genérico pode ser considerado inválido por falta de </w:t>
            </w:r>
            <w:r w:rsidRPr="00ED2C3B">
              <w:rPr>
                <w:b/>
                <w:bCs/>
              </w:rPr>
              <w:t>granularidade</w:t>
            </w:r>
            <w:r w:rsidRPr="00ED2C3B">
              <w:t xml:space="preserve"> (art. 8º, LGPD). Para pesquisa + marketing, é recomendável consentimento separado e revogável, especialmente com dados sensíveis de saúde.</w:t>
            </w:r>
          </w:p>
        </w:tc>
        <w:tc>
          <w:tcPr>
            <w:tcW w:w="0" w:type="auto"/>
            <w:hideMark/>
          </w:tcPr>
          <w:p w14:paraId="2EBFEE73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Subdividir a questão em 3 </w:t>
            </w:r>
            <w:proofErr w:type="spellStart"/>
            <w:r w:rsidRPr="00ED2C3B">
              <w:t>checkboxes</w:t>
            </w:r>
            <w:proofErr w:type="spellEnd"/>
            <w:r w:rsidRPr="00ED2C3B">
              <w:t xml:space="preserve"> independentes: (a) “cadastro e atendimento”; (b) “comunicações e informes personalizados”; (c) “uso de dados, preferencialmente anonimizados, para pesquisa e desenvolvimento NEXOR/</w:t>
            </w:r>
            <w:proofErr w:type="spellStart"/>
            <w:r w:rsidRPr="00ED2C3B">
              <w:t>ethosX</w:t>
            </w:r>
            <w:proofErr w:type="spellEnd"/>
            <w:r w:rsidRPr="00ED2C3B">
              <w:t>”.</w:t>
            </w:r>
          </w:p>
        </w:tc>
        <w:tc>
          <w:tcPr>
            <w:tcW w:w="0" w:type="auto"/>
            <w:hideMark/>
          </w:tcPr>
          <w:p w14:paraId="142B7285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Dados operacionais (cadastro): até 10 anos após término da relação. Dados de pesquisa: manter em bases anonimizadas pelo tempo necessário. Marketing: até 5 anos ou até </w:t>
            </w:r>
            <w:r w:rsidRPr="00ED2C3B">
              <w:lastRenderedPageBreak/>
              <w:t>revogação do consentimento.</w:t>
            </w:r>
          </w:p>
        </w:tc>
      </w:tr>
      <w:tr w:rsidR="00ED2C3B" w:rsidRPr="00ED2C3B" w14:paraId="290AA4D1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6408E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Cadastro – Seção 2 – Q1–Q3 (nome completo, telefone, app de mensagens)</w:t>
            </w:r>
          </w:p>
        </w:tc>
        <w:tc>
          <w:tcPr>
            <w:tcW w:w="0" w:type="auto"/>
            <w:hideMark/>
          </w:tcPr>
          <w:p w14:paraId="6A7771C2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Manter, com vínculo explícito à finalidade de contato e pesquisa</w:t>
            </w:r>
          </w:p>
        </w:tc>
        <w:tc>
          <w:tcPr>
            <w:tcW w:w="0" w:type="auto"/>
            <w:hideMark/>
          </w:tcPr>
          <w:p w14:paraId="03540815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Dados são necessários para identificação, suporte, eventuais convites para entrevistas qualitativas e devolutivas. Para </w:t>
            </w:r>
            <w:r w:rsidRPr="00ED2C3B">
              <w:rPr>
                <w:b/>
                <w:bCs/>
              </w:rPr>
              <w:t>pesquisa qualitativa</w:t>
            </w:r>
            <w:r w:rsidRPr="00ED2C3B">
              <w:t xml:space="preserve">, não é necessário manter vínculo direto nome–resposta após </w:t>
            </w:r>
            <w:r w:rsidRPr="00ED2C3B">
              <w:lastRenderedPageBreak/>
              <w:t xml:space="preserve">análise; pode-se </w:t>
            </w:r>
            <w:proofErr w:type="spellStart"/>
            <w:r w:rsidRPr="00ED2C3B">
              <w:t>pseudonimizar</w:t>
            </w:r>
            <w:proofErr w:type="spellEnd"/>
            <w:r w:rsidRPr="00ED2C3B">
              <w:t>.</w:t>
            </w:r>
          </w:p>
        </w:tc>
        <w:tc>
          <w:tcPr>
            <w:tcW w:w="0" w:type="auto"/>
            <w:hideMark/>
          </w:tcPr>
          <w:p w14:paraId="49C6B09F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>Dados pessoais de identificação (art. 5º, I) exigem base legal clara e medidas de segurança. Risco maior é de uso para marketing sem consentimento ou vazamento.</w:t>
            </w:r>
          </w:p>
        </w:tc>
        <w:tc>
          <w:tcPr>
            <w:tcW w:w="0" w:type="auto"/>
            <w:hideMark/>
          </w:tcPr>
          <w:p w14:paraId="667296EF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 campos; deixar explícito no texto inicial que dados de contato podem ser usados para convidar o usuário a participar de novas pesquisas, se ele tiver autorizado a opção de comunicações.</w:t>
            </w:r>
          </w:p>
        </w:tc>
        <w:tc>
          <w:tcPr>
            <w:tcW w:w="0" w:type="auto"/>
            <w:hideMark/>
          </w:tcPr>
          <w:p w14:paraId="55153121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Cadastro de contato: até 10 anos após último uso relevante. Para pesquisa qualitativa, preferir </w:t>
            </w:r>
            <w:proofErr w:type="spellStart"/>
            <w:r w:rsidRPr="00ED2C3B">
              <w:t>pseudonimização</w:t>
            </w:r>
            <w:proofErr w:type="spellEnd"/>
            <w:r w:rsidRPr="00ED2C3B">
              <w:t xml:space="preserve"> / </w:t>
            </w:r>
            <w:proofErr w:type="spellStart"/>
            <w:r w:rsidRPr="00ED2C3B">
              <w:t>IDs</w:t>
            </w:r>
            <w:proofErr w:type="spellEnd"/>
            <w:r w:rsidRPr="00ED2C3B">
              <w:t xml:space="preserve"> em análises e relatórios.</w:t>
            </w:r>
          </w:p>
        </w:tc>
      </w:tr>
      <w:tr w:rsidR="00ED2C3B" w:rsidRPr="00ED2C3B" w14:paraId="44C9F63C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1BA00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Cadastro – Seção 2 – CPF, endereço completo, profissão</w:t>
            </w:r>
          </w:p>
        </w:tc>
        <w:tc>
          <w:tcPr>
            <w:tcW w:w="0" w:type="auto"/>
            <w:hideMark/>
          </w:tcPr>
          <w:p w14:paraId="78293DD4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Reavaliar necessidade para pesquisa; separar claramente módulo cadastral x pesquisa</w:t>
            </w:r>
          </w:p>
        </w:tc>
        <w:tc>
          <w:tcPr>
            <w:tcW w:w="0" w:type="auto"/>
            <w:hideMark/>
          </w:tcPr>
          <w:p w14:paraId="6135F82F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CPF e endereço completo são relevantes para aspectos </w:t>
            </w:r>
            <w:r w:rsidRPr="00ED2C3B">
              <w:rPr>
                <w:b/>
                <w:bCs/>
              </w:rPr>
              <w:t>contratuais/fiscais</w:t>
            </w:r>
            <w:r w:rsidRPr="00ED2C3B">
              <w:t xml:space="preserve">, mas não são estritamente necessários para </w:t>
            </w:r>
            <w:r w:rsidRPr="00ED2C3B">
              <w:rPr>
                <w:b/>
                <w:bCs/>
              </w:rPr>
              <w:t>pesquisa qualitativa entre stakeholders</w:t>
            </w:r>
            <w:r w:rsidRPr="00ED2C3B">
              <w:t>. Profissão pode ser útil em pesquisa, mas CPF e endereço podem ser mantidos apenas na camada cadastral, não precisando ser exportados para bases analíticas.</w:t>
            </w:r>
          </w:p>
        </w:tc>
        <w:tc>
          <w:tcPr>
            <w:tcW w:w="0" w:type="auto"/>
            <w:hideMark/>
          </w:tcPr>
          <w:p w14:paraId="6E7EFAD0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Princípio da </w:t>
            </w:r>
            <w:r w:rsidRPr="00ED2C3B">
              <w:rPr>
                <w:b/>
                <w:bCs/>
              </w:rPr>
              <w:t>minimização</w:t>
            </w:r>
            <w:r w:rsidRPr="00ED2C3B">
              <w:t xml:space="preserve"> (art. 6º, III): evitar coleta e uso além do necessário para cada finalidade. Risco de uso indevido, vazamento ou percepção de invasividade.</w:t>
            </w:r>
          </w:p>
        </w:tc>
        <w:tc>
          <w:tcPr>
            <w:tcW w:w="0" w:type="auto"/>
            <w:hideMark/>
          </w:tcPr>
          <w:p w14:paraId="1868F24E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 CPF e endereço restritos ao módulo de cadastro/financeiro, com acesso limitado. Na camada de pesquisa, utilizar apenas ID interno, profissão e cidade/UF, sem CPF/endereço nominal.</w:t>
            </w:r>
          </w:p>
        </w:tc>
        <w:tc>
          <w:tcPr>
            <w:tcW w:w="0" w:type="auto"/>
            <w:hideMark/>
          </w:tcPr>
          <w:p w14:paraId="0D244DD1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Dados cadastrais: até 10 anos (exigências fiscais/contratuais). Em bases de pesquisa qualitativa: trabalhar apenas com dados desidentificados (sem CPF/endereço).</w:t>
            </w:r>
          </w:p>
        </w:tc>
      </w:tr>
      <w:tr w:rsidR="00ED2C3B" w:rsidRPr="00ED2C3B" w14:paraId="10D7343D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83530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Cadastro – Seção 3 – Sexo biológico, data nascimento, peso, altura</w:t>
            </w:r>
          </w:p>
        </w:tc>
        <w:tc>
          <w:tcPr>
            <w:tcW w:w="0" w:type="auto"/>
            <w:hideMark/>
          </w:tcPr>
          <w:p w14:paraId="571D40A9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Manter, com explicitação de uso em análise de perfis e, quando aplicável, em pesquisa de saúde/performance</w:t>
            </w:r>
          </w:p>
        </w:tc>
        <w:tc>
          <w:tcPr>
            <w:tcW w:w="0" w:type="auto"/>
            <w:hideMark/>
          </w:tcPr>
          <w:p w14:paraId="18468583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Variáveis fundamentais para segmentar qualitativamente perfis (homens/mulheres, faixas etárias, composição corporal) em estudos sobre performance e uso do BITEPLANER e do modelo integrado NEXOR. São dados de </w:t>
            </w:r>
            <w:r w:rsidRPr="00ED2C3B">
              <w:rPr>
                <w:b/>
                <w:bCs/>
              </w:rPr>
              <w:t>perfil</w:t>
            </w:r>
            <w:r w:rsidRPr="00ED2C3B">
              <w:t xml:space="preserve"> que, combinados com saúde, se aproximam de dados sensíveis.</w:t>
            </w:r>
          </w:p>
        </w:tc>
        <w:tc>
          <w:tcPr>
            <w:tcW w:w="0" w:type="auto"/>
            <w:hideMark/>
          </w:tcPr>
          <w:p w14:paraId="647CBE91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Não são “sensíveis” pela lei per se, mas, combinados com dados de saúde, exigem maior cuidado. Risco de discriminação indireta por sexo, idade ou biotipo em modelos de negócio.</w:t>
            </w:r>
          </w:p>
        </w:tc>
        <w:tc>
          <w:tcPr>
            <w:tcW w:w="0" w:type="auto"/>
            <w:hideMark/>
          </w:tcPr>
          <w:p w14:paraId="20A7A18F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Manter, mas explicitar que serão utilizados para análise de perfis de uso e performance, e garantir que relatórios externos usem apenas dados agregados por faixas (idade, IMC </w:t>
            </w:r>
            <w:proofErr w:type="gramStart"/>
            <w:r w:rsidRPr="00ED2C3B">
              <w:t>aproximado, etc.</w:t>
            </w:r>
            <w:proofErr w:type="gramEnd"/>
            <w:r w:rsidRPr="00ED2C3B">
              <w:t>).</w:t>
            </w:r>
          </w:p>
        </w:tc>
        <w:tc>
          <w:tcPr>
            <w:tcW w:w="0" w:type="auto"/>
            <w:hideMark/>
          </w:tcPr>
          <w:p w14:paraId="59EDBF78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10 anos em bases internas; em bases analíticas de longo prazo, manter apenas faixas agregadas (ex.: 18–25, 26–35, etc.).</w:t>
            </w:r>
          </w:p>
        </w:tc>
      </w:tr>
      <w:tr w:rsidR="00ED2C3B" w:rsidRPr="00ED2C3B" w14:paraId="39143BD1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BD33D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Cadastro – Seção 4 – Q1 e Q13 (esportes atuais e passados)</w:t>
            </w:r>
          </w:p>
        </w:tc>
        <w:tc>
          <w:tcPr>
            <w:tcW w:w="0" w:type="auto"/>
            <w:hideMark/>
          </w:tcPr>
          <w:p w14:paraId="19E3A527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Manter, com foco em pesquisa de segmentos e jornada esportiva</w:t>
            </w:r>
          </w:p>
        </w:tc>
        <w:tc>
          <w:tcPr>
            <w:tcW w:w="0" w:type="auto"/>
            <w:hideMark/>
          </w:tcPr>
          <w:p w14:paraId="4D43826A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Excelente para </w:t>
            </w:r>
            <w:r w:rsidRPr="00ED2C3B">
              <w:rPr>
                <w:b/>
                <w:bCs/>
              </w:rPr>
              <w:t>pesquisa qualitativa e quantitativa</w:t>
            </w:r>
            <w:r w:rsidRPr="00ED2C3B">
              <w:t xml:space="preserve"> sobre perfis esportivos, </w:t>
            </w:r>
            <w:r w:rsidRPr="00ED2C3B">
              <w:lastRenderedPageBreak/>
              <w:t>jornada de treino e aderência ao dispositivo. Não são dados sensíveis.</w:t>
            </w:r>
          </w:p>
        </w:tc>
        <w:tc>
          <w:tcPr>
            <w:tcW w:w="0" w:type="auto"/>
            <w:hideMark/>
          </w:tcPr>
          <w:p w14:paraId="31EEEDA8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>Risco baixo, mas pode ser usado para inferir hábitos/</w:t>
            </w:r>
            <w:proofErr w:type="spellStart"/>
            <w:r w:rsidRPr="00ED2C3B">
              <w:t>lifestyle</w:t>
            </w:r>
            <w:proofErr w:type="spellEnd"/>
            <w:r w:rsidRPr="00ED2C3B">
              <w:t xml:space="preserve">. Necessário garantir que não seja base para </w:t>
            </w:r>
            <w:r w:rsidRPr="00ED2C3B">
              <w:lastRenderedPageBreak/>
              <w:t>decisões discriminatórias (ex.: negar produto a certos esportes).</w:t>
            </w:r>
          </w:p>
        </w:tc>
        <w:tc>
          <w:tcPr>
            <w:tcW w:w="0" w:type="auto"/>
            <w:hideMark/>
          </w:tcPr>
          <w:p w14:paraId="36201502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Manter integralmente; garantir que comunicações externas usem apenas estatísticas agregadas </w:t>
            </w:r>
            <w:r w:rsidRPr="00ED2C3B">
              <w:lastRenderedPageBreak/>
              <w:t>(ex.: % de usuários que fazem musculação + crossfit).</w:t>
            </w:r>
          </w:p>
        </w:tc>
        <w:tc>
          <w:tcPr>
            <w:tcW w:w="0" w:type="auto"/>
            <w:hideMark/>
          </w:tcPr>
          <w:p w14:paraId="07D2B271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5–10 anos para análise de tendência de mercado e perfil de uso do </w:t>
            </w:r>
            <w:r w:rsidRPr="00ED2C3B">
              <w:lastRenderedPageBreak/>
              <w:t>BITEPLANER e da plataforma NEXOR.</w:t>
            </w:r>
          </w:p>
        </w:tc>
      </w:tr>
      <w:tr w:rsidR="00ED2C3B" w:rsidRPr="00ED2C3B" w14:paraId="4C107BA1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7A58E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Cadastro – Seção 4 – nome dos locais onde treina + quem direciona/acompanha</w:t>
            </w:r>
          </w:p>
        </w:tc>
        <w:tc>
          <w:tcPr>
            <w:tcW w:w="0" w:type="auto"/>
            <w:hideMark/>
          </w:tcPr>
          <w:p w14:paraId="4FA71040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Reduzir granularidade em bases de pesquisa; prevenir exposição de terceiros</w:t>
            </w:r>
          </w:p>
        </w:tc>
        <w:tc>
          <w:tcPr>
            <w:tcW w:w="0" w:type="auto"/>
            <w:hideMark/>
          </w:tcPr>
          <w:p w14:paraId="57275505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Para governança de rede, saber o </w:t>
            </w:r>
            <w:r w:rsidRPr="00ED2C3B">
              <w:rPr>
                <w:b/>
                <w:bCs/>
              </w:rPr>
              <w:t>nome da academia</w:t>
            </w:r>
            <w:r w:rsidRPr="00ED2C3B">
              <w:t xml:space="preserve"> e o tipo de profissional que acompanha faz sentido. Porém, em pesquisa qualitativa ampla, não é necessário analisar a nível de local específico; pode-se trabalhar por tipo de local (academia, </w:t>
            </w:r>
            <w:proofErr w:type="gramStart"/>
            <w:r w:rsidRPr="00ED2C3B">
              <w:t>estúdio, etc.</w:t>
            </w:r>
            <w:proofErr w:type="gramEnd"/>
            <w:r w:rsidRPr="00ED2C3B">
              <w:t>) e tipo de profissional (personal, coach).</w:t>
            </w:r>
          </w:p>
        </w:tc>
        <w:tc>
          <w:tcPr>
            <w:tcW w:w="0" w:type="auto"/>
            <w:hideMark/>
          </w:tcPr>
          <w:p w14:paraId="1AF57EA1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Nome de pessoas físicas (personal, coach) e de estabelecimentos pode ser dado pessoal/profissional, e seu uso analítico sem previsão contratual pode gerar conflito de expectativas e de LGPD (</w:t>
            </w:r>
            <w:proofErr w:type="spellStart"/>
            <w:r w:rsidRPr="00ED2C3B">
              <w:t>profiling</w:t>
            </w:r>
            <w:proofErr w:type="spellEnd"/>
            <w:r w:rsidRPr="00ED2C3B">
              <w:t>).</w:t>
            </w:r>
          </w:p>
        </w:tc>
        <w:tc>
          <w:tcPr>
            <w:tcW w:w="0" w:type="auto"/>
            <w:hideMark/>
          </w:tcPr>
          <w:p w14:paraId="5707A9D9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Manter campo para uso operacional; em bases analíticas/pesquisa, substituir nomes por categorias (tipo de local, tipo de profissional) ou por </w:t>
            </w:r>
            <w:proofErr w:type="spellStart"/>
            <w:r w:rsidRPr="00ED2C3B">
              <w:t>IDs</w:t>
            </w:r>
            <w:proofErr w:type="spellEnd"/>
            <w:r w:rsidRPr="00ED2C3B">
              <w:t xml:space="preserve"> internos, com contratos prevendo avaliação da rede quando aplicável.</w:t>
            </w:r>
          </w:p>
        </w:tc>
        <w:tc>
          <w:tcPr>
            <w:tcW w:w="0" w:type="auto"/>
            <w:hideMark/>
          </w:tcPr>
          <w:p w14:paraId="5C0BCEFC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Dados brutos operacionais: até 10 anos. Em pesquisa qualitativa: usar apenas categorias agregadas, mantendo série histórica de forma </w:t>
            </w:r>
            <w:proofErr w:type="spellStart"/>
            <w:r w:rsidRPr="00ED2C3B">
              <w:t>anonimizante</w:t>
            </w:r>
            <w:proofErr w:type="spellEnd"/>
            <w:r w:rsidRPr="00ED2C3B">
              <w:t>.</w:t>
            </w:r>
          </w:p>
        </w:tc>
      </w:tr>
      <w:tr w:rsidR="00ED2C3B" w:rsidRPr="00ED2C3B" w14:paraId="78217F11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3A06A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Cadastro – Seção 5 – Q21 e Q22 (lesões/problem</w:t>
            </w:r>
            <w:r w:rsidRPr="00ED2C3B">
              <w:lastRenderedPageBreak/>
              <w:t>as de saúde atuais e passados – campo aberto)</w:t>
            </w:r>
          </w:p>
        </w:tc>
        <w:tc>
          <w:tcPr>
            <w:tcW w:w="0" w:type="auto"/>
            <w:hideMark/>
          </w:tcPr>
          <w:p w14:paraId="1C0DBC94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Manter; reforçar aviso de dado sensível e uso </w:t>
            </w:r>
            <w:r w:rsidRPr="00ED2C3B">
              <w:lastRenderedPageBreak/>
              <w:t>clinicamente orientado e em pesquisa observacional anonimizada</w:t>
            </w:r>
          </w:p>
        </w:tc>
        <w:tc>
          <w:tcPr>
            <w:tcW w:w="0" w:type="auto"/>
            <w:hideMark/>
          </w:tcPr>
          <w:p w14:paraId="56084AD6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Campos centrais para caracterizar </w:t>
            </w:r>
            <w:r w:rsidRPr="00ED2C3B">
              <w:rPr>
                <w:b/>
                <w:bCs/>
              </w:rPr>
              <w:t xml:space="preserve">saúde </w:t>
            </w:r>
            <w:r w:rsidRPr="00ED2C3B">
              <w:rPr>
                <w:b/>
                <w:bCs/>
              </w:rPr>
              <w:lastRenderedPageBreak/>
              <w:t>musculoesquelética e histórico de lesões</w:t>
            </w:r>
            <w:r w:rsidRPr="00ED2C3B">
              <w:t xml:space="preserve"> – extremamente relevantes tanto clinicamente quanto para pesquisa qualitativa/observacional sobre relação treino–lesão–dispositivo. São dados sensíveis de saúde (art. 5º, II).</w:t>
            </w:r>
          </w:p>
        </w:tc>
        <w:tc>
          <w:tcPr>
            <w:tcW w:w="0" w:type="auto"/>
            <w:hideMark/>
          </w:tcPr>
          <w:p w14:paraId="172BE21D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Tratamento de dado sensível exige base em tutela da saúde (art. 11, II, </w:t>
            </w:r>
            <w:r w:rsidRPr="00ED2C3B">
              <w:lastRenderedPageBreak/>
              <w:t xml:space="preserve">f) e/ou pesquisa em saúde com salvaguardas (anonimização, comitê de </w:t>
            </w:r>
            <w:proofErr w:type="gramStart"/>
            <w:r w:rsidRPr="00ED2C3B">
              <w:t>ética, etc.</w:t>
            </w:r>
            <w:proofErr w:type="gramEnd"/>
            <w:r w:rsidRPr="00ED2C3B">
              <w:t>). Risco se usados para fins comerciais sem clareza.</w:t>
            </w:r>
          </w:p>
        </w:tc>
        <w:tc>
          <w:tcPr>
            <w:tcW w:w="0" w:type="auto"/>
            <w:hideMark/>
          </w:tcPr>
          <w:p w14:paraId="098E3B5E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Manter; inserir aviso (“Este campo pode conter dados de </w:t>
            </w:r>
            <w:r w:rsidRPr="00ED2C3B">
              <w:lastRenderedPageBreak/>
              <w:t>saúde; serão usados para entender melhor o impacto do treino na saúde e, quando usados em pesquisa, serão analisados em forma agregada/anonimizada.”).</w:t>
            </w:r>
          </w:p>
        </w:tc>
        <w:tc>
          <w:tcPr>
            <w:tcW w:w="0" w:type="auto"/>
            <w:hideMark/>
          </w:tcPr>
          <w:p w14:paraId="30884DE8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20 anos, se integrado a prontuário </w:t>
            </w:r>
            <w:r w:rsidRPr="00ED2C3B">
              <w:lastRenderedPageBreak/>
              <w:t>clínico; em pesquisa qualitativa, extrair categorias (tipo de lesão, tempo) e descartar descritivos identificáveis após 5 anos.</w:t>
            </w:r>
          </w:p>
        </w:tc>
      </w:tr>
      <w:tr w:rsidR="00ED2C3B" w:rsidRPr="00ED2C3B" w14:paraId="4292928A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49B73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Cadastro – Seção 6 – bloco financeiro (gastos, renda)</w:t>
            </w:r>
          </w:p>
        </w:tc>
        <w:tc>
          <w:tcPr>
            <w:tcW w:w="0" w:type="auto"/>
            <w:hideMark/>
          </w:tcPr>
          <w:p w14:paraId="099C5064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 parcialmente; tornar opcional e deixar claro que é para pesquisa de mercado/segmentação</w:t>
            </w:r>
          </w:p>
        </w:tc>
        <w:tc>
          <w:tcPr>
            <w:tcW w:w="0" w:type="auto"/>
            <w:hideMark/>
          </w:tcPr>
          <w:p w14:paraId="4CC4B5FD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Informações de gasto e renda são valiosas para </w:t>
            </w:r>
            <w:r w:rsidRPr="00ED2C3B">
              <w:rPr>
                <w:b/>
                <w:bCs/>
              </w:rPr>
              <w:t>pesquisa de mercado</w:t>
            </w:r>
            <w:r w:rsidRPr="00ED2C3B">
              <w:t xml:space="preserve">, precificação e desenho de planos, não para o atendimento clínico em si. São dados pessoais sensíveis </w:t>
            </w:r>
            <w:r w:rsidRPr="00ED2C3B">
              <w:lastRenderedPageBreak/>
              <w:t xml:space="preserve">socialmente, embora não sejam “sensíveis” na LGPD. Em pesquisa qualitativa, agregados, ajudam a entender disposição de pagar, perfil de </w:t>
            </w:r>
            <w:proofErr w:type="gramStart"/>
            <w:r w:rsidRPr="00ED2C3B">
              <w:t>consumo, etc.</w:t>
            </w:r>
            <w:proofErr w:type="gramEnd"/>
          </w:p>
        </w:tc>
        <w:tc>
          <w:tcPr>
            <w:tcW w:w="0" w:type="auto"/>
            <w:hideMark/>
          </w:tcPr>
          <w:p w14:paraId="31868473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>Risco de percepção de invasão de privacidade e de uso para discriminação econômica (ex.: tratamento diferenciado por renda). LGPD exige transparência de finalidade e respeito ao princípio da não-discriminação.</w:t>
            </w:r>
          </w:p>
        </w:tc>
        <w:tc>
          <w:tcPr>
            <w:tcW w:w="0" w:type="auto"/>
            <w:hideMark/>
          </w:tcPr>
          <w:p w14:paraId="10940BF1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Tornar todos os campos financeiros claramente opcionais, com aviso: “Usados apenas de forma agregada para estudo de perfil e planejamento de planos/produtos, nunca para </w:t>
            </w:r>
            <w:r w:rsidRPr="00ED2C3B">
              <w:lastRenderedPageBreak/>
              <w:t>discriminação individual.”</w:t>
            </w:r>
          </w:p>
        </w:tc>
        <w:tc>
          <w:tcPr>
            <w:tcW w:w="0" w:type="auto"/>
            <w:hideMark/>
          </w:tcPr>
          <w:p w14:paraId="1A9AE010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>5 anos, com uso exclusivamente em bases agregadas (faixas de gasto vs. uso do produto); evitar manter valores individualizado</w:t>
            </w:r>
            <w:r w:rsidRPr="00ED2C3B">
              <w:lastRenderedPageBreak/>
              <w:t>s após esse período.</w:t>
            </w:r>
          </w:p>
        </w:tc>
      </w:tr>
      <w:tr w:rsidR="00ED2C3B" w:rsidRPr="00ED2C3B" w14:paraId="52049990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C91FA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Cadastro – Seção 7 – objetivos, preocupação principal, impacto do trabalho</w:t>
            </w:r>
          </w:p>
        </w:tc>
        <w:tc>
          <w:tcPr>
            <w:tcW w:w="0" w:type="auto"/>
            <w:hideMark/>
          </w:tcPr>
          <w:p w14:paraId="5948CF21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 como núcleo de pesquisa qualitativa de persona</w:t>
            </w:r>
          </w:p>
        </w:tc>
        <w:tc>
          <w:tcPr>
            <w:tcW w:w="0" w:type="auto"/>
            <w:hideMark/>
          </w:tcPr>
          <w:p w14:paraId="593EFE60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Questões desenhadas para </w:t>
            </w:r>
            <w:r w:rsidRPr="00ED2C3B">
              <w:rPr>
                <w:b/>
                <w:bCs/>
              </w:rPr>
              <w:t>mapear persona, objetivos, dores e barreiras</w:t>
            </w:r>
            <w:r w:rsidRPr="00ED2C3B">
              <w:t xml:space="preserve"> – absolutamente centrais para pesquisa qualitativa (produto, jornada, comunicação). Não coletam dados sensíveis.</w:t>
            </w:r>
          </w:p>
        </w:tc>
        <w:tc>
          <w:tcPr>
            <w:tcW w:w="0" w:type="auto"/>
            <w:hideMark/>
          </w:tcPr>
          <w:p w14:paraId="60B19D76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Risco baixo; eventual risco é uso para segmentação agressiva de marketing sem consentimento específico.</w:t>
            </w:r>
          </w:p>
        </w:tc>
        <w:tc>
          <w:tcPr>
            <w:tcW w:w="0" w:type="auto"/>
            <w:hideMark/>
          </w:tcPr>
          <w:p w14:paraId="18F2A9FC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Manter; deixar claro que respostas serão usadas para compreender melhor perfil e necessidades dos usuários e para desenvolver o modelo integrado e a comunicação da NEXOR.</w:t>
            </w:r>
          </w:p>
        </w:tc>
        <w:tc>
          <w:tcPr>
            <w:tcW w:w="0" w:type="auto"/>
            <w:hideMark/>
          </w:tcPr>
          <w:p w14:paraId="306FF487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5–10 anos para comparações de coortes de usuários ao longo da evolução da plataforma.</w:t>
            </w:r>
          </w:p>
        </w:tc>
      </w:tr>
      <w:tr w:rsidR="00ED2C3B" w:rsidRPr="00ED2C3B" w14:paraId="1CC8BC17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3FDD6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 xml:space="preserve">Cadastro – Seção 8 – Q sobre </w:t>
            </w:r>
            <w:r w:rsidRPr="00ED2C3B">
              <w:lastRenderedPageBreak/>
              <w:t>chance de usar o modelo integrado, porquês e funcionalidades desejadas</w:t>
            </w:r>
          </w:p>
        </w:tc>
        <w:tc>
          <w:tcPr>
            <w:tcW w:w="0" w:type="auto"/>
            <w:hideMark/>
          </w:tcPr>
          <w:p w14:paraId="03ADAA07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Manter; estruturá-las explicitamente </w:t>
            </w:r>
            <w:r w:rsidRPr="00ED2C3B">
              <w:lastRenderedPageBreak/>
              <w:t>como pesquisa de produto</w:t>
            </w:r>
          </w:p>
        </w:tc>
        <w:tc>
          <w:tcPr>
            <w:tcW w:w="0" w:type="auto"/>
            <w:hideMark/>
          </w:tcPr>
          <w:p w14:paraId="38607342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É o coração da </w:t>
            </w:r>
            <w:r w:rsidRPr="00ED2C3B">
              <w:rPr>
                <w:b/>
                <w:bCs/>
              </w:rPr>
              <w:t xml:space="preserve">pesquisa </w:t>
            </w:r>
            <w:r w:rsidRPr="00ED2C3B">
              <w:rPr>
                <w:b/>
                <w:bCs/>
              </w:rPr>
              <w:lastRenderedPageBreak/>
              <w:t>qualitativa/quantitativa sobre aceitação do modelo integrado</w:t>
            </w:r>
            <w:r w:rsidRPr="00ED2C3B">
              <w:t xml:space="preserve">. Dados de opinião não sensíveis, essenciais para P&amp;D, estratégia de </w:t>
            </w:r>
            <w:proofErr w:type="spellStart"/>
            <w:r w:rsidRPr="00ED2C3B">
              <w:t>roadmap</w:t>
            </w:r>
            <w:proofErr w:type="spellEnd"/>
            <w:r w:rsidRPr="00ED2C3B">
              <w:t>.</w:t>
            </w:r>
          </w:p>
        </w:tc>
        <w:tc>
          <w:tcPr>
            <w:tcW w:w="0" w:type="auto"/>
            <w:hideMark/>
          </w:tcPr>
          <w:p w14:paraId="673284F7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Risco baixo; principal ponto é garantir que </w:t>
            </w:r>
            <w:r w:rsidRPr="00ED2C3B">
              <w:lastRenderedPageBreak/>
              <w:t>usuários saibam que essas respostas podem orientar decisões de produto e não implicam obrigações contratuais.</w:t>
            </w:r>
          </w:p>
        </w:tc>
        <w:tc>
          <w:tcPr>
            <w:tcW w:w="0" w:type="auto"/>
            <w:hideMark/>
          </w:tcPr>
          <w:p w14:paraId="1823D757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Manter sem alterações substantivas; no </w:t>
            </w:r>
            <w:r w:rsidRPr="00ED2C3B">
              <w:lastRenderedPageBreak/>
              <w:t>cabeçalho da seção, incluir: “Esta seção é uma pesquisa para ajudar a NEXOR a decidir o futuro da plataforma e dos serviços oferecidos.”</w:t>
            </w:r>
          </w:p>
        </w:tc>
        <w:tc>
          <w:tcPr>
            <w:tcW w:w="0" w:type="auto"/>
            <w:hideMark/>
          </w:tcPr>
          <w:p w14:paraId="3208F5C1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5–10 anos, pois permitem </w:t>
            </w:r>
            <w:r w:rsidRPr="00ED2C3B">
              <w:lastRenderedPageBreak/>
              <w:t>comparações históricas sobre aceitação de features e do modelo integrado.</w:t>
            </w:r>
          </w:p>
        </w:tc>
      </w:tr>
      <w:tr w:rsidR="00ED2C3B" w:rsidRPr="00ED2C3B" w14:paraId="35ECD993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48310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Cadastro – Seção 8 – Q “Você indicaria a NEXOR para amigos/conhecidos?”</w:t>
            </w:r>
          </w:p>
        </w:tc>
        <w:tc>
          <w:tcPr>
            <w:tcW w:w="0" w:type="auto"/>
            <w:hideMark/>
          </w:tcPr>
          <w:p w14:paraId="6884EC4E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 (NPS), com finalidade clara de pesquisa de satisfação</w:t>
            </w:r>
          </w:p>
        </w:tc>
        <w:tc>
          <w:tcPr>
            <w:tcW w:w="0" w:type="auto"/>
            <w:hideMark/>
          </w:tcPr>
          <w:p w14:paraId="4E6A50F7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Pergunta padrão de NPS (“recomendaria?”). Importante para medição qualitativa de lealdade e percepção de valor.</w:t>
            </w:r>
          </w:p>
        </w:tc>
        <w:tc>
          <w:tcPr>
            <w:tcW w:w="0" w:type="auto"/>
            <w:hideMark/>
          </w:tcPr>
          <w:p w14:paraId="5FB0EB65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Risco baixo; deve ser tratada como dado de satisfação/experiência, não como autorização para uso de dados de terceiros.</w:t>
            </w:r>
          </w:p>
        </w:tc>
        <w:tc>
          <w:tcPr>
            <w:tcW w:w="0" w:type="auto"/>
            <w:hideMark/>
          </w:tcPr>
          <w:p w14:paraId="21436F77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Manter; explicitar que serve para medir satisfação com a NEXOR/</w:t>
            </w:r>
            <w:proofErr w:type="spellStart"/>
            <w:r w:rsidRPr="00ED2C3B">
              <w:t>Biteplaner</w:t>
            </w:r>
            <w:proofErr w:type="spellEnd"/>
            <w:r w:rsidRPr="00ED2C3B">
              <w:t xml:space="preserve"> e melhoria da experiência.</w:t>
            </w:r>
          </w:p>
        </w:tc>
        <w:tc>
          <w:tcPr>
            <w:tcW w:w="0" w:type="auto"/>
            <w:hideMark/>
          </w:tcPr>
          <w:p w14:paraId="3317DFAE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5 anos, com uso agregado em índices de satisfação e NPS.</w:t>
            </w:r>
          </w:p>
        </w:tc>
      </w:tr>
      <w:tr w:rsidR="00ED2C3B" w:rsidRPr="00ED2C3B" w14:paraId="099AFC49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39B31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Cadastro – Seção 8 – campo “Nos indique a amigos / conhecidos… ou passe o nome e o contato aqui”</w:t>
            </w:r>
          </w:p>
        </w:tc>
        <w:tc>
          <w:tcPr>
            <w:tcW w:w="0" w:type="auto"/>
            <w:hideMark/>
          </w:tcPr>
          <w:p w14:paraId="3A4588E2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rPr>
                <w:b/>
                <w:bCs/>
              </w:rPr>
              <w:t>Crítico – remover ou substituir por mecanismo sem coleta de terceiros</w:t>
            </w:r>
          </w:p>
        </w:tc>
        <w:tc>
          <w:tcPr>
            <w:tcW w:w="0" w:type="auto"/>
            <w:hideMark/>
          </w:tcPr>
          <w:p w14:paraId="18A11707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Campo solicita que o usuário forneça </w:t>
            </w:r>
            <w:r w:rsidRPr="00ED2C3B">
              <w:rPr>
                <w:b/>
                <w:bCs/>
              </w:rPr>
              <w:t>nome e contato de terceiros</w:t>
            </w:r>
            <w:r w:rsidRPr="00ED2C3B">
              <w:t xml:space="preserve"> que não foram informados, não consentiram e não têm relação </w:t>
            </w:r>
            <w:r w:rsidRPr="00ED2C3B">
              <w:lastRenderedPageBreak/>
              <w:t>direta com a NEXOR/</w:t>
            </w:r>
            <w:proofErr w:type="spellStart"/>
            <w:r w:rsidRPr="00ED2C3B">
              <w:t>ethosX</w:t>
            </w:r>
            <w:proofErr w:type="spellEnd"/>
            <w:r w:rsidRPr="00ED2C3B">
              <w:t>. Não é necessário para pesquisa qualitativa; é um mecanismo de indicação/marketing.</w:t>
            </w:r>
          </w:p>
        </w:tc>
        <w:tc>
          <w:tcPr>
            <w:tcW w:w="0" w:type="auto"/>
            <w:hideMark/>
          </w:tcPr>
          <w:p w14:paraId="76FD219C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Conflito direto com LGPD: ausência de base legal para tratamento de dados de terceiros (art. 7º, I – consentimento), difícil sustentar legítimo </w:t>
            </w:r>
            <w:r w:rsidRPr="00ED2C3B">
              <w:lastRenderedPageBreak/>
              <w:t>interesse neste contexto de saúde/performance.</w:t>
            </w:r>
          </w:p>
        </w:tc>
        <w:tc>
          <w:tcPr>
            <w:tcW w:w="0" w:type="auto"/>
            <w:hideMark/>
          </w:tcPr>
          <w:p w14:paraId="67FF551B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Remover o campo de coleta de nome/contato. Caso programa de indicação seja estratégico, substituí-lo por instrução: “Se quiser </w:t>
            </w:r>
            <w:r w:rsidRPr="00ED2C3B">
              <w:lastRenderedPageBreak/>
              <w:t>indicar alguém, compartilhe o link do nosso site/app com essa pessoa.”</w:t>
            </w:r>
          </w:p>
        </w:tc>
        <w:tc>
          <w:tcPr>
            <w:tcW w:w="0" w:type="auto"/>
            <w:hideMark/>
          </w:tcPr>
          <w:p w14:paraId="4970DB54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Dados já coletados: excluir ou anonimizar em até 30 dias; não reaproveitar base de </w:t>
            </w:r>
            <w:r w:rsidRPr="00ED2C3B">
              <w:lastRenderedPageBreak/>
              <w:t>terceiros obtida sem consentimento.</w:t>
            </w:r>
          </w:p>
        </w:tc>
      </w:tr>
      <w:tr w:rsidR="00ED2C3B" w:rsidRPr="00ED2C3B" w14:paraId="36BDD33A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D3D09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Cadastro – Seção 9 – campos abertos (conselho, coisa mais importante, campo 51 aberto)</w:t>
            </w:r>
          </w:p>
        </w:tc>
        <w:tc>
          <w:tcPr>
            <w:tcW w:w="0" w:type="auto"/>
            <w:hideMark/>
          </w:tcPr>
          <w:p w14:paraId="71AB44CE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Manter, com aviso padrão sobre não incluir dados de terceiros ou detalhes excessivamente sensíveis</w:t>
            </w:r>
          </w:p>
        </w:tc>
        <w:tc>
          <w:tcPr>
            <w:tcW w:w="0" w:type="auto"/>
            <w:hideMark/>
          </w:tcPr>
          <w:p w14:paraId="527B7810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Campos abertos são extremamente valiosos para </w:t>
            </w:r>
            <w:r w:rsidRPr="00ED2C3B">
              <w:rPr>
                <w:b/>
                <w:bCs/>
              </w:rPr>
              <w:t>pesquisa qualitativa profunda</w:t>
            </w:r>
            <w:r w:rsidRPr="00ED2C3B">
              <w:t>, pois trazem linguagem espontânea sobre necessidades, críticas e prioridades. Porém, concentram riscos (menção de nomes, dados de saúde, dados de terceiros, desabafos pessoais).</w:t>
            </w:r>
          </w:p>
        </w:tc>
        <w:tc>
          <w:tcPr>
            <w:tcW w:w="0" w:type="auto"/>
            <w:hideMark/>
          </w:tcPr>
          <w:p w14:paraId="65B9E6EF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Possibilidade de tratamento de dados sensíveis “não solicitados” e dados de terceiros (cônjuge, filhos, colegas, </w:t>
            </w:r>
            <w:proofErr w:type="gramStart"/>
            <w:r w:rsidRPr="00ED2C3B">
              <w:t>dentistas, etc.</w:t>
            </w:r>
            <w:proofErr w:type="gramEnd"/>
            <w:r w:rsidRPr="00ED2C3B">
              <w:t xml:space="preserve">). Ainda assim, se o titular opta por preencher, há base em tutela da saúde e/ou consentimento amplo, desde que </w:t>
            </w:r>
            <w:proofErr w:type="gramStart"/>
            <w:r w:rsidRPr="00ED2C3B">
              <w:t>bem informado</w:t>
            </w:r>
            <w:proofErr w:type="gramEnd"/>
            <w:r w:rsidRPr="00ED2C3B">
              <w:t>.</w:t>
            </w:r>
          </w:p>
        </w:tc>
        <w:tc>
          <w:tcPr>
            <w:tcW w:w="0" w:type="auto"/>
            <w:hideMark/>
          </w:tcPr>
          <w:p w14:paraId="27DD58F6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 todos os campos; adicionar aviso antes do primeiro campo aberto geral: “Não inclua dados pessoais (nome completo, contato) de outras pessoas e evite detalhes médicos muito específicos que não deseje compartilhar.”</w:t>
            </w:r>
          </w:p>
        </w:tc>
        <w:tc>
          <w:tcPr>
            <w:tcW w:w="0" w:type="auto"/>
            <w:hideMark/>
          </w:tcPr>
          <w:p w14:paraId="71AA8BB0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5 anos como base de pesquisa qualitativa bruta; para longo prazo, reter apenas temas categorizados e citações anonimizadas.</w:t>
            </w:r>
          </w:p>
        </w:tc>
      </w:tr>
      <w:tr w:rsidR="00ED2C3B" w:rsidRPr="00ED2C3B" w14:paraId="26A61075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D2E50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Anamnese CD – estrutura geral</w:t>
            </w:r>
          </w:p>
        </w:tc>
        <w:tc>
          <w:tcPr>
            <w:tcW w:w="0" w:type="auto"/>
            <w:hideMark/>
          </w:tcPr>
          <w:p w14:paraId="30C68F86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Diferenciar camadas: uso clínico x uso em pesquisa qualitativa</w:t>
            </w:r>
          </w:p>
        </w:tc>
        <w:tc>
          <w:tcPr>
            <w:tcW w:w="0" w:type="auto"/>
            <w:hideMark/>
          </w:tcPr>
          <w:p w14:paraId="4C7CE710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A anamnese é primariamente </w:t>
            </w:r>
            <w:r w:rsidRPr="00ED2C3B">
              <w:rPr>
                <w:b/>
                <w:bCs/>
              </w:rPr>
              <w:t>clínica</w:t>
            </w:r>
            <w:r w:rsidRPr="00ED2C3B">
              <w:t>, mas seu desenho já favorece uso em pesquisa qualitativa/observacional (dor, hábitos, impacto no treino). É necessário deixar claro para o paciente que, além do uso assistencial, os dados podem ser analisados em forma agregada/anonimizada para fins de pesquisa e melhoria do dispositivo/ecossistema.</w:t>
            </w:r>
          </w:p>
        </w:tc>
        <w:tc>
          <w:tcPr>
            <w:tcW w:w="0" w:type="auto"/>
            <w:hideMark/>
          </w:tcPr>
          <w:p w14:paraId="6EB9336A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Dados de saúde são dados sensíveis (art. 5º, II; art. 11). A base para uso assistencial é tutela da saúde; uso em pesquisa qualitativa/científica exige anonimização/</w:t>
            </w:r>
            <w:proofErr w:type="spellStart"/>
            <w:r w:rsidRPr="00ED2C3B">
              <w:t>pseudonimização</w:t>
            </w:r>
            <w:proofErr w:type="spellEnd"/>
            <w:r w:rsidRPr="00ED2C3B">
              <w:t xml:space="preserve"> e, idealmente, consentimento específico informando essa finalidade.</w:t>
            </w:r>
          </w:p>
        </w:tc>
        <w:tc>
          <w:tcPr>
            <w:tcW w:w="0" w:type="auto"/>
            <w:hideMark/>
          </w:tcPr>
          <w:p w14:paraId="51F66B35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Incluir, antes da anamnese, texto curto: “Seus dados clínicos serão usados para sua avaliação e, de forma agregada e anonimizados, poderão ser utilizados em pesquisas para melhorar o BITEPLANER e a plataforma NEXOR.”</w:t>
            </w:r>
          </w:p>
        </w:tc>
        <w:tc>
          <w:tcPr>
            <w:tcW w:w="0" w:type="auto"/>
            <w:hideMark/>
          </w:tcPr>
          <w:p w14:paraId="757BBA46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Dados clínicos: 20 anos (prontuário). Dados exportados para pesquisa qualitativa: somente em forma anonimizadas para uso contínuo em estudos.</w:t>
            </w:r>
          </w:p>
        </w:tc>
      </w:tr>
      <w:tr w:rsidR="00ED2C3B" w:rsidRPr="00ED2C3B" w14:paraId="37386229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22A40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 xml:space="preserve">Anamnese – Seção 3 – Q1–Q7 (diagnóstico </w:t>
            </w:r>
            <w:r w:rsidRPr="00ED2C3B">
              <w:lastRenderedPageBreak/>
              <w:t>DTM, dor, sintomas articulares, tratamentos prévios)</w:t>
            </w:r>
          </w:p>
        </w:tc>
        <w:tc>
          <w:tcPr>
            <w:tcW w:w="0" w:type="auto"/>
            <w:hideMark/>
          </w:tcPr>
          <w:p w14:paraId="58ABB99B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Manter integralmente; marcar como </w:t>
            </w:r>
            <w:r w:rsidRPr="00ED2C3B">
              <w:lastRenderedPageBreak/>
              <w:t>prioridade para pesquisa observacional</w:t>
            </w:r>
          </w:p>
        </w:tc>
        <w:tc>
          <w:tcPr>
            <w:tcW w:w="0" w:type="auto"/>
            <w:hideMark/>
          </w:tcPr>
          <w:p w14:paraId="4EFC5FC6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Perguntas formam um bloco extremamente rico </w:t>
            </w:r>
            <w:r w:rsidRPr="00ED2C3B">
              <w:lastRenderedPageBreak/>
              <w:t xml:space="preserve">para </w:t>
            </w:r>
            <w:r w:rsidRPr="00ED2C3B">
              <w:rPr>
                <w:b/>
                <w:bCs/>
              </w:rPr>
              <w:t>pesquisa qualitativa e quantitativa</w:t>
            </w:r>
            <w:r w:rsidRPr="00ED2C3B">
              <w:t xml:space="preserve"> sobre DTM e dor orofacial, incluindo resposta a tratamentos.</w:t>
            </w:r>
          </w:p>
        </w:tc>
        <w:tc>
          <w:tcPr>
            <w:tcW w:w="0" w:type="auto"/>
            <w:hideMark/>
          </w:tcPr>
          <w:p w14:paraId="42F3216C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Dados sensíveis. Risco principal é segurança (vazamento) e eventual </w:t>
            </w:r>
            <w:r w:rsidRPr="00ED2C3B">
              <w:lastRenderedPageBreak/>
              <w:t>uso comercial não declarado (ex.: segmentação de ofertas baseadas em fragilidade clínica).</w:t>
            </w:r>
          </w:p>
        </w:tc>
        <w:tc>
          <w:tcPr>
            <w:tcW w:w="0" w:type="auto"/>
            <w:hideMark/>
          </w:tcPr>
          <w:p w14:paraId="0455F4B2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Manter; na governança interna, limitar acesso nominal desses dados </w:t>
            </w:r>
            <w:r w:rsidRPr="00ED2C3B">
              <w:lastRenderedPageBreak/>
              <w:t xml:space="preserve">a dentistas e equipe clínica. Para pesquisa, trabalhar com bases </w:t>
            </w:r>
            <w:proofErr w:type="spellStart"/>
            <w:r w:rsidRPr="00ED2C3B">
              <w:t>pseudonimizadas</w:t>
            </w:r>
            <w:proofErr w:type="spellEnd"/>
            <w:r w:rsidRPr="00ED2C3B">
              <w:t>, sem nome/contato/</w:t>
            </w:r>
            <w:proofErr w:type="spellStart"/>
            <w:r w:rsidRPr="00ED2C3B">
              <w:t>showdesk</w:t>
            </w:r>
            <w:proofErr w:type="spellEnd"/>
            <w:r w:rsidRPr="00ED2C3B">
              <w:t>.</w:t>
            </w:r>
          </w:p>
        </w:tc>
        <w:tc>
          <w:tcPr>
            <w:tcW w:w="0" w:type="auto"/>
            <w:hideMark/>
          </w:tcPr>
          <w:p w14:paraId="7098F693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20 anos (clínico). Em pesquisa, </w:t>
            </w:r>
            <w:r w:rsidRPr="00ED2C3B">
              <w:lastRenderedPageBreak/>
              <w:t xml:space="preserve">manter apenas </w:t>
            </w:r>
            <w:proofErr w:type="spellStart"/>
            <w:r w:rsidRPr="00ED2C3B">
              <w:t>IDs</w:t>
            </w:r>
            <w:proofErr w:type="spellEnd"/>
            <w:r w:rsidRPr="00ED2C3B">
              <w:t xml:space="preserve"> e variáveis clínicas, sem dados diretos de identificação.</w:t>
            </w:r>
          </w:p>
        </w:tc>
      </w:tr>
      <w:tr w:rsidR="00ED2C3B" w:rsidRPr="00ED2C3B" w14:paraId="67AF05CF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A8302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Anamnese – Seção 3 – Q8 (frequenta regularmente algum dentista? – “não visível ao dentista licenciado selecionado”)</w:t>
            </w:r>
          </w:p>
        </w:tc>
        <w:tc>
          <w:tcPr>
            <w:tcW w:w="0" w:type="auto"/>
            <w:hideMark/>
          </w:tcPr>
          <w:p w14:paraId="59209B79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Ajustar transparência e tratamento de terceiros</w:t>
            </w:r>
          </w:p>
        </w:tc>
        <w:tc>
          <w:tcPr>
            <w:tcW w:w="0" w:type="auto"/>
            <w:hideMark/>
          </w:tcPr>
          <w:p w14:paraId="52F95031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O campo é útil para saber se há dentista de referência, mas a indicação de “não visível ao dentista licenciado selecionado” gera dúvidas de transparência para o próprio titular: ele pode entender que parte das informações não é compartilhada com o profissional que cuida dele. Além disso, pedir </w:t>
            </w:r>
            <w:r w:rsidRPr="00ED2C3B">
              <w:lastRenderedPageBreak/>
              <w:t>nome/contato do dentista é dado de terceiro.</w:t>
            </w:r>
          </w:p>
        </w:tc>
        <w:tc>
          <w:tcPr>
            <w:tcW w:w="0" w:type="auto"/>
            <w:hideMark/>
          </w:tcPr>
          <w:p w14:paraId="41863C78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>LGPD exige transparência quanto a quem acessa os dados (art. 6º, VI). Além disso, dado de terceiro (dentista regular) não deve ser coletado além do necessário e sem informar que será armazenado.</w:t>
            </w:r>
          </w:p>
        </w:tc>
        <w:tc>
          <w:tcPr>
            <w:tcW w:w="0" w:type="auto"/>
            <w:hideMark/>
          </w:tcPr>
          <w:p w14:paraId="55CAAB2C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Tornar campo opcional e limitar a informação a “possui dentista de referência? (Sim/Não)” e, no máximo, “cidade/bairro”. Remover a observação “não visível” do ponto de vista do paciente em documento impresso.</w:t>
            </w:r>
          </w:p>
        </w:tc>
        <w:tc>
          <w:tcPr>
            <w:tcW w:w="0" w:type="auto"/>
            <w:hideMark/>
          </w:tcPr>
          <w:p w14:paraId="5B15A02F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Dado como parte da anamnese: 20 anos, se mantido. Para pesquisa de rede, utilizar apenas informação de existência de dentista regular (sim/não) e região.</w:t>
            </w:r>
          </w:p>
        </w:tc>
      </w:tr>
      <w:tr w:rsidR="00ED2C3B" w:rsidRPr="00ED2C3B" w14:paraId="518BFCAC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ED521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Anamnese – Seção 4.3 – Q1–Q5 (impacto da dor na performance, interrupção de treinos)</w:t>
            </w:r>
          </w:p>
        </w:tc>
        <w:tc>
          <w:tcPr>
            <w:tcW w:w="0" w:type="auto"/>
            <w:hideMark/>
          </w:tcPr>
          <w:p w14:paraId="5CC32149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Manter, com explicitação de uso em pesquisa de performance</w:t>
            </w:r>
          </w:p>
        </w:tc>
        <w:tc>
          <w:tcPr>
            <w:tcW w:w="0" w:type="auto"/>
            <w:hideMark/>
          </w:tcPr>
          <w:p w14:paraId="44E0E69B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Bloco é um elo direto entre dor orofacial e impacto em performance esportiva – </w:t>
            </w:r>
            <w:r w:rsidRPr="00ED2C3B">
              <w:rPr>
                <w:b/>
                <w:bCs/>
              </w:rPr>
              <w:t>essencial para pesquisa qualitativa do BITEPLANER</w:t>
            </w:r>
            <w:r w:rsidRPr="00ED2C3B">
              <w:t xml:space="preserve"> no contexto de academias.</w:t>
            </w:r>
          </w:p>
        </w:tc>
        <w:tc>
          <w:tcPr>
            <w:tcW w:w="0" w:type="auto"/>
            <w:hideMark/>
          </w:tcPr>
          <w:p w14:paraId="02FB902B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Risco baixo adicional; trata de dados de desempenho e comportamento. Combinação com saúde e renda exige governança de quem pode cruzar esses dados.</w:t>
            </w:r>
          </w:p>
        </w:tc>
        <w:tc>
          <w:tcPr>
            <w:tcW w:w="0" w:type="auto"/>
            <w:hideMark/>
          </w:tcPr>
          <w:p w14:paraId="07D67C85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Manter; no termo de privacidade, citar explicitamente que parte da pesquisa da NEXOR envolve estudar a relação entre dor, treino e uso do dispositivo, sempre de forma agregada/anonimizada.</w:t>
            </w:r>
          </w:p>
        </w:tc>
        <w:tc>
          <w:tcPr>
            <w:tcW w:w="0" w:type="auto"/>
            <w:hideMark/>
          </w:tcPr>
          <w:p w14:paraId="4A73A4F4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20 anos como prontuário; em pesquisa qualitativa de longo prazo, manter bases específicas </w:t>
            </w:r>
            <w:proofErr w:type="spellStart"/>
            <w:r w:rsidRPr="00ED2C3B">
              <w:t>pseudonimizadas</w:t>
            </w:r>
            <w:proofErr w:type="spellEnd"/>
            <w:r w:rsidRPr="00ED2C3B">
              <w:t>.</w:t>
            </w:r>
          </w:p>
        </w:tc>
      </w:tr>
      <w:tr w:rsidR="00ED2C3B" w:rsidRPr="00ED2C3B" w14:paraId="31F63CEB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92D74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Anamnese – Seção “Sobre a NEXOR e o BITEPLANER – caso usuário novo” – Q1 (como conheceu)</w:t>
            </w:r>
          </w:p>
        </w:tc>
        <w:tc>
          <w:tcPr>
            <w:tcW w:w="0" w:type="auto"/>
            <w:hideMark/>
          </w:tcPr>
          <w:p w14:paraId="18015BE3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Separar finalidade de marketing vs. pesquisa; manter com consentimento adequado</w:t>
            </w:r>
          </w:p>
        </w:tc>
        <w:tc>
          <w:tcPr>
            <w:tcW w:w="0" w:type="auto"/>
            <w:hideMark/>
          </w:tcPr>
          <w:p w14:paraId="072ED568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Pergunta mapeia </w:t>
            </w:r>
            <w:r w:rsidRPr="00ED2C3B">
              <w:rPr>
                <w:b/>
                <w:bCs/>
              </w:rPr>
              <w:t>canal de aquisição</w:t>
            </w:r>
            <w:r w:rsidRPr="00ED2C3B">
              <w:t>, típica de marketing, mas também útil para pesquisa qualitativa de quais canais geram usuários mais engajados.</w:t>
            </w:r>
          </w:p>
        </w:tc>
        <w:tc>
          <w:tcPr>
            <w:tcW w:w="0" w:type="auto"/>
            <w:hideMark/>
          </w:tcPr>
          <w:p w14:paraId="2ABDBB44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Mistura de finalidade assistencial e marketing. Para uso como dado de marketing (planejar campanhas), é recomendável consentimento separado e clara indicação dessa finalidade.</w:t>
            </w:r>
          </w:p>
        </w:tc>
        <w:tc>
          <w:tcPr>
            <w:tcW w:w="0" w:type="auto"/>
            <w:hideMark/>
          </w:tcPr>
          <w:p w14:paraId="4BC5FA4B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Manter; vincular explicitamente a bloco “Pesquisa sobre canais de comunicação e aquisição”, com consentimento separado para uso de </w:t>
            </w:r>
            <w:r w:rsidRPr="00ED2C3B">
              <w:lastRenderedPageBreak/>
              <w:t>dados de contato em ações de marketing.</w:t>
            </w:r>
          </w:p>
        </w:tc>
        <w:tc>
          <w:tcPr>
            <w:tcW w:w="0" w:type="auto"/>
            <w:hideMark/>
          </w:tcPr>
          <w:p w14:paraId="051FD9E1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>5 anos; após isso, manter apenas estatísticas agregadas por canal (ex.: % via redes sociais).</w:t>
            </w:r>
          </w:p>
        </w:tc>
      </w:tr>
      <w:tr w:rsidR="00ED2C3B" w:rsidRPr="00ED2C3B" w14:paraId="74C2B24C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BD558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Anamnese – “Sobre a NEXOR…” – Q2–Q6 (motivação, expectativa, barreiras)</w:t>
            </w:r>
          </w:p>
        </w:tc>
        <w:tc>
          <w:tcPr>
            <w:tcW w:w="0" w:type="auto"/>
            <w:hideMark/>
          </w:tcPr>
          <w:p w14:paraId="65845FDE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Manter; marcar claramente como pesquisa de produto/experiência</w:t>
            </w:r>
          </w:p>
        </w:tc>
        <w:tc>
          <w:tcPr>
            <w:tcW w:w="0" w:type="auto"/>
            <w:hideMark/>
          </w:tcPr>
          <w:p w14:paraId="225EABC1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Bloco alinha motivação, expectativas e barreiras – núcleo da </w:t>
            </w:r>
            <w:r w:rsidRPr="00ED2C3B">
              <w:rPr>
                <w:b/>
                <w:bCs/>
              </w:rPr>
              <w:t>pesquisa qualitativa de valor percebido</w:t>
            </w:r>
            <w:r w:rsidRPr="00ED2C3B">
              <w:t xml:space="preserve"> do dispositivo. Não são dados sensíveis, mas são perfis comportamentais e de expectativa.</w:t>
            </w:r>
          </w:p>
        </w:tc>
        <w:tc>
          <w:tcPr>
            <w:tcW w:w="0" w:type="auto"/>
            <w:hideMark/>
          </w:tcPr>
          <w:p w14:paraId="24EFD85E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Risco baixo; atenção apenas para que respostas não sejam usadas para excluir perfis específicos de acesso a serviço (ex.: “quem vem por curiosidade não será atendido”).</w:t>
            </w:r>
          </w:p>
        </w:tc>
        <w:tc>
          <w:tcPr>
            <w:tcW w:w="0" w:type="auto"/>
            <w:hideMark/>
          </w:tcPr>
          <w:p w14:paraId="204C4C0B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Manter; descrever no início da seção: “Essas perguntas ajudam a NEXOR a entender como as pessoas percebem a proposta do BITEPLANER e a melhorar a comunicação e o produto.”</w:t>
            </w:r>
          </w:p>
        </w:tc>
        <w:tc>
          <w:tcPr>
            <w:tcW w:w="0" w:type="auto"/>
            <w:hideMark/>
          </w:tcPr>
          <w:p w14:paraId="2A0DF6D2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5–10 anos em bases de pesquisa e </w:t>
            </w:r>
            <w:proofErr w:type="spellStart"/>
            <w:r w:rsidRPr="00ED2C3B">
              <w:t>analytics</w:t>
            </w:r>
            <w:proofErr w:type="spellEnd"/>
            <w:r w:rsidRPr="00ED2C3B">
              <w:t xml:space="preserve">, em formato agregado e </w:t>
            </w:r>
            <w:proofErr w:type="spellStart"/>
            <w:r w:rsidRPr="00ED2C3B">
              <w:t>anonimizante</w:t>
            </w:r>
            <w:proofErr w:type="spellEnd"/>
            <w:r w:rsidRPr="00ED2C3B">
              <w:t>.</w:t>
            </w:r>
          </w:p>
        </w:tc>
      </w:tr>
      <w:tr w:rsidR="00ED2C3B" w:rsidRPr="00ED2C3B" w14:paraId="2B908029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F0FE8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Anamnese – Seção “Uso do BITEPLANER” – Q1–Q8 + perguntas de melhorias</w:t>
            </w:r>
          </w:p>
        </w:tc>
        <w:tc>
          <w:tcPr>
            <w:tcW w:w="0" w:type="auto"/>
            <w:hideMark/>
          </w:tcPr>
          <w:p w14:paraId="4A5232B0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Manter, com divisão de acesso (clínico x produto)**</w:t>
            </w:r>
          </w:p>
        </w:tc>
        <w:tc>
          <w:tcPr>
            <w:tcW w:w="0" w:type="auto"/>
            <w:hideMark/>
          </w:tcPr>
          <w:p w14:paraId="4E6F6A12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Campos combinam dados clínicos (dor, feridas, ajustes) com feedback de UX/produto (o que mais gosta/menos gosta, melhorias, integração com app). Todos são </w:t>
            </w:r>
            <w:r w:rsidRPr="00ED2C3B">
              <w:lastRenderedPageBreak/>
              <w:t>importantes para pesquisa qualitativa, mas diferentes times deveriam ver camadas distintas.</w:t>
            </w:r>
          </w:p>
        </w:tc>
        <w:tc>
          <w:tcPr>
            <w:tcW w:w="0" w:type="auto"/>
            <w:hideMark/>
          </w:tcPr>
          <w:p w14:paraId="2345101A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Dados clínicos são sensíveis e devem ter acesso restrito; dados de UX podem ser vistos por equipe de produto, de preferência com dados </w:t>
            </w:r>
            <w:proofErr w:type="spellStart"/>
            <w:r w:rsidRPr="00ED2C3B">
              <w:t>pseudonimizados</w:t>
            </w:r>
            <w:proofErr w:type="spellEnd"/>
            <w:r w:rsidRPr="00ED2C3B">
              <w:t>.</w:t>
            </w:r>
          </w:p>
        </w:tc>
        <w:tc>
          <w:tcPr>
            <w:tcW w:w="0" w:type="auto"/>
            <w:hideMark/>
          </w:tcPr>
          <w:p w14:paraId="2B878DF0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Definir, em governança de dados: (i) quais campos são “clínicos” (acesso dentista/saúde); (</w:t>
            </w:r>
            <w:proofErr w:type="spellStart"/>
            <w:r w:rsidRPr="00ED2C3B">
              <w:t>ii</w:t>
            </w:r>
            <w:proofErr w:type="spellEnd"/>
            <w:r w:rsidRPr="00ED2C3B">
              <w:t xml:space="preserve">) quais campos são “produto/UX” (acesso time de produto, com </w:t>
            </w:r>
            <w:proofErr w:type="spellStart"/>
            <w:r w:rsidRPr="00ED2C3B">
              <w:t>IDs</w:t>
            </w:r>
            <w:proofErr w:type="spellEnd"/>
            <w:r w:rsidRPr="00ED2C3B">
              <w:t xml:space="preserve"> e sem dados </w:t>
            </w:r>
            <w:r w:rsidRPr="00ED2C3B">
              <w:lastRenderedPageBreak/>
              <w:t>diretos de identificação).</w:t>
            </w:r>
          </w:p>
        </w:tc>
        <w:tc>
          <w:tcPr>
            <w:tcW w:w="0" w:type="auto"/>
            <w:hideMark/>
          </w:tcPr>
          <w:p w14:paraId="0A5CF786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Clínico: 20 anos. UX/produto: armazenar em base própria </w:t>
            </w:r>
            <w:proofErr w:type="spellStart"/>
            <w:r w:rsidRPr="00ED2C3B">
              <w:t>anonimizante</w:t>
            </w:r>
            <w:proofErr w:type="spellEnd"/>
            <w:r w:rsidRPr="00ED2C3B">
              <w:t xml:space="preserve">, para uso contínuo em P&amp;D (sem prazo </w:t>
            </w:r>
            <w:r w:rsidRPr="00ED2C3B">
              <w:lastRenderedPageBreak/>
              <w:t>rígido, com revisões periódicas).</w:t>
            </w:r>
          </w:p>
        </w:tc>
      </w:tr>
      <w:tr w:rsidR="00ED2C3B" w:rsidRPr="00ED2C3B" w14:paraId="46D142C3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16C60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Anamnese – Seção 5 – Feedback Final – Q7 (indicar amigos, nome e contato)</w:t>
            </w:r>
          </w:p>
        </w:tc>
        <w:tc>
          <w:tcPr>
            <w:tcW w:w="0" w:type="auto"/>
            <w:hideMark/>
          </w:tcPr>
          <w:p w14:paraId="22F783A8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rPr>
                <w:b/>
                <w:bCs/>
              </w:rPr>
              <w:t>Crítico – remover / reformular</w:t>
            </w:r>
          </w:p>
        </w:tc>
        <w:tc>
          <w:tcPr>
            <w:tcW w:w="0" w:type="auto"/>
            <w:hideMark/>
          </w:tcPr>
          <w:p w14:paraId="0C828346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Campo repete problema idêntico ao do Cadastro: solicita nome e contato de terceiros para indicação, sem que esses terceiros tenham ciência ou consentimento. Não contribui para pesquisa qualitativa entre stakeholders; é puramente mecanismo de aquisição.</w:t>
            </w:r>
          </w:p>
        </w:tc>
        <w:tc>
          <w:tcPr>
            <w:tcW w:w="0" w:type="auto"/>
            <w:hideMark/>
          </w:tcPr>
          <w:p w14:paraId="05F2D399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Incompatível com LGPD (art. 7º, I) no formato atual. Não há base legal sólida para tratar dados de pessoas que não interagiram com a NEXOR/</w:t>
            </w:r>
            <w:proofErr w:type="spellStart"/>
            <w:r w:rsidRPr="00ED2C3B">
              <w:t>ethosX</w:t>
            </w:r>
            <w:proofErr w:type="spellEnd"/>
            <w:r w:rsidRPr="00ED2C3B">
              <w:t xml:space="preserve"> nem foram informadas.</w:t>
            </w:r>
          </w:p>
        </w:tc>
        <w:tc>
          <w:tcPr>
            <w:tcW w:w="0" w:type="auto"/>
            <w:hideMark/>
          </w:tcPr>
          <w:p w14:paraId="4FAC4CC7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Remover a possibilidade de informar nome/contato; substituir por texto: “Se quiser indicar alguém, compartilhe diretamente com a pessoa o link do nosso site, app ou materiais.”</w:t>
            </w:r>
          </w:p>
        </w:tc>
        <w:tc>
          <w:tcPr>
            <w:tcW w:w="0" w:type="auto"/>
            <w:hideMark/>
          </w:tcPr>
          <w:p w14:paraId="200A50FA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Dados já coletados: apagar ou anonimizar em até 30 dias. Não reusar esses contatos para campanhas.</w:t>
            </w:r>
          </w:p>
        </w:tc>
      </w:tr>
      <w:tr w:rsidR="00ED2C3B" w:rsidRPr="00ED2C3B" w14:paraId="2E02BE1A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B18AA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 xml:space="preserve">Anamnese – Seção 6 – mensagem final </w:t>
            </w:r>
            <w:r w:rsidRPr="00ED2C3B">
              <w:lastRenderedPageBreak/>
              <w:t xml:space="preserve">+ rodapé Google </w:t>
            </w:r>
            <w:proofErr w:type="spellStart"/>
            <w:r w:rsidRPr="00ED2C3B">
              <w:t>Forms</w:t>
            </w:r>
            <w:proofErr w:type="spellEnd"/>
          </w:p>
        </w:tc>
        <w:tc>
          <w:tcPr>
            <w:tcW w:w="0" w:type="auto"/>
            <w:hideMark/>
          </w:tcPr>
          <w:p w14:paraId="0FEE2C32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Ajustar infraestrutura; remover menção </w:t>
            </w:r>
            <w:r w:rsidRPr="00ED2C3B">
              <w:lastRenderedPageBreak/>
              <w:t>Google na versão definitiva</w:t>
            </w:r>
          </w:p>
        </w:tc>
        <w:tc>
          <w:tcPr>
            <w:tcW w:w="0" w:type="auto"/>
            <w:hideMark/>
          </w:tcPr>
          <w:p w14:paraId="3F2225FF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Mensagem final é adequada; rodapé indicando </w:t>
            </w:r>
            <w:r w:rsidRPr="00ED2C3B">
              <w:lastRenderedPageBreak/>
              <w:t>“Formulários Google” revela uso de ferramenta de terceiro que pode realizar transferência internacional de dados de saúde sensíveis.</w:t>
            </w:r>
          </w:p>
        </w:tc>
        <w:tc>
          <w:tcPr>
            <w:tcW w:w="0" w:type="auto"/>
            <w:hideMark/>
          </w:tcPr>
          <w:p w14:paraId="1C188B72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LGPD (art. 33–36): transferência internacional de dados </w:t>
            </w:r>
            <w:r w:rsidRPr="00ED2C3B">
              <w:lastRenderedPageBreak/>
              <w:t>exige base legal e salvaguardas (contratos, cláusulas-padrão). Para dados de saúde, o cuidado deve ser redobrado.</w:t>
            </w:r>
          </w:p>
        </w:tc>
        <w:tc>
          <w:tcPr>
            <w:tcW w:w="0" w:type="auto"/>
            <w:hideMark/>
          </w:tcPr>
          <w:p w14:paraId="74AA45CA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>Migrar o formulário para infraestrutura própria (</w:t>
            </w:r>
            <w:proofErr w:type="spellStart"/>
            <w:r w:rsidRPr="00ED2C3B">
              <w:t>ethosX</w:t>
            </w:r>
            <w:proofErr w:type="spellEnd"/>
            <w:r w:rsidRPr="00ED2C3B">
              <w:t xml:space="preserve">) e </w:t>
            </w:r>
            <w:r w:rsidRPr="00ED2C3B">
              <w:lastRenderedPageBreak/>
              <w:t xml:space="preserve">remover menção a Google em versões de produção/impressão. Se Google continuar como </w:t>
            </w:r>
            <w:proofErr w:type="spellStart"/>
            <w:r w:rsidRPr="00ED2C3B">
              <w:t>suboperador</w:t>
            </w:r>
            <w:proofErr w:type="spellEnd"/>
            <w:r w:rsidRPr="00ED2C3B">
              <w:t>, formalizar contrato DPA e informar na política.</w:t>
            </w:r>
          </w:p>
        </w:tc>
        <w:tc>
          <w:tcPr>
            <w:tcW w:w="0" w:type="auto"/>
            <w:hideMark/>
          </w:tcPr>
          <w:p w14:paraId="43444B1F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lastRenderedPageBreak/>
              <w:t xml:space="preserve">Dados clínicos na </w:t>
            </w:r>
            <w:proofErr w:type="spellStart"/>
            <w:r w:rsidRPr="00ED2C3B">
              <w:t>ethosX</w:t>
            </w:r>
            <w:proofErr w:type="spellEnd"/>
            <w:r w:rsidRPr="00ED2C3B">
              <w:t xml:space="preserve">: 20 anos. Em </w:t>
            </w:r>
            <w:r w:rsidRPr="00ED2C3B">
              <w:lastRenderedPageBreak/>
              <w:t>qualquer provedor externo, obrigar por contrato a exclusão ao fim da prestação de serviço, mantendo apenas o repositório principal controlado pela NEXOR/</w:t>
            </w:r>
            <w:proofErr w:type="spellStart"/>
            <w:r w:rsidRPr="00ED2C3B">
              <w:t>ethosX</w:t>
            </w:r>
            <w:proofErr w:type="spellEnd"/>
            <w:r w:rsidRPr="00ED2C3B">
              <w:t>.</w:t>
            </w:r>
          </w:p>
        </w:tc>
      </w:tr>
      <w:tr w:rsidR="00ED2C3B" w:rsidRPr="00ED2C3B" w14:paraId="2FD3CB8A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3BD1E" w14:textId="77777777" w:rsidR="00ED2C3B" w:rsidRPr="00ED2C3B" w:rsidRDefault="00ED2C3B" w:rsidP="00ED2C3B">
            <w:pPr>
              <w:spacing w:after="160" w:line="278" w:lineRule="auto"/>
            </w:pPr>
            <w:r w:rsidRPr="00ED2C3B">
              <w:lastRenderedPageBreak/>
              <w:t>Formulário Avaliação de Dentista por Laboratório – Q1–Q3</w:t>
            </w:r>
          </w:p>
        </w:tc>
        <w:tc>
          <w:tcPr>
            <w:tcW w:w="0" w:type="auto"/>
            <w:hideMark/>
          </w:tcPr>
          <w:p w14:paraId="53BB0149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Manter; explicitar finalidade de pesquisa de qualidade da rede</w:t>
            </w:r>
          </w:p>
        </w:tc>
        <w:tc>
          <w:tcPr>
            <w:tcW w:w="0" w:type="auto"/>
            <w:hideMark/>
          </w:tcPr>
          <w:p w14:paraId="482D421C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Notas de qualidade de arquivo, facilidade de contato e comentário são ferramentas de </w:t>
            </w:r>
            <w:r w:rsidRPr="00ED2C3B">
              <w:rPr>
                <w:b/>
                <w:bCs/>
              </w:rPr>
              <w:t>pesquisa qualitativa entre stakeholders B2B</w:t>
            </w:r>
            <w:r w:rsidRPr="00ED2C3B">
              <w:t xml:space="preserve"> (laboratório </w:t>
            </w:r>
            <w:r w:rsidRPr="00ED2C3B">
              <w:lastRenderedPageBreak/>
              <w:t>avaliando dentista). Não envolvem pacientes.</w:t>
            </w:r>
          </w:p>
        </w:tc>
        <w:tc>
          <w:tcPr>
            <w:tcW w:w="0" w:type="auto"/>
            <w:hideMark/>
          </w:tcPr>
          <w:p w14:paraId="0B4DF7EE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>Dados pessoais profissionais do dentista (titular de dado). É necessário que ele saiba que faz parte de programa de avaliação da rede e que seus dados podem ser usados internamente para curadoria/parcerias.</w:t>
            </w:r>
          </w:p>
        </w:tc>
        <w:tc>
          <w:tcPr>
            <w:tcW w:w="0" w:type="auto"/>
            <w:hideMark/>
          </w:tcPr>
          <w:p w14:paraId="492D0B13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Manter, mas prever em contrato com dentistas: “Serão coletadas avaliações de laboratórios sobre sua atuação técnica e relacionamento, usadas para gestão da qualidade e pesquisa </w:t>
            </w:r>
            <w:r w:rsidRPr="00ED2C3B">
              <w:lastRenderedPageBreak/>
              <w:t>interna da rede NEXOR.”</w:t>
            </w:r>
          </w:p>
        </w:tc>
        <w:tc>
          <w:tcPr>
            <w:tcW w:w="0" w:type="auto"/>
            <w:hideMark/>
          </w:tcPr>
          <w:p w14:paraId="600EB8C8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>5 anos, com uso de indicadores agregados para decisões de curadoria de rede e melhoria de processos.</w:t>
            </w:r>
          </w:p>
        </w:tc>
      </w:tr>
      <w:tr w:rsidR="00ED2C3B" w:rsidRPr="00ED2C3B" w14:paraId="09ACECA7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442C6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Formulário Avaliação de Laboratório por Dentista – Q1–Q3 + comentário</w:t>
            </w:r>
          </w:p>
        </w:tc>
        <w:tc>
          <w:tcPr>
            <w:tcW w:w="0" w:type="auto"/>
            <w:hideMark/>
          </w:tcPr>
          <w:p w14:paraId="4EF2975F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Manter, com aviso sobre linguagem e terceiros</w:t>
            </w:r>
          </w:p>
        </w:tc>
        <w:tc>
          <w:tcPr>
            <w:tcW w:w="0" w:type="auto"/>
            <w:hideMark/>
          </w:tcPr>
          <w:p w14:paraId="4BA5F1A6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Similar ao anterior, agora com dentistas avaliando laboratórios. Serve à pesquisa qualitativa de qualidade técnica e logística.</w:t>
            </w:r>
          </w:p>
        </w:tc>
        <w:tc>
          <w:tcPr>
            <w:tcW w:w="0" w:type="auto"/>
            <w:hideMark/>
          </w:tcPr>
          <w:p w14:paraId="38345ADA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Podem aparecer nomes de funcionários e críticas diretas. Risco de dano reputacional se divulgadas sem filtro.</w:t>
            </w:r>
          </w:p>
        </w:tc>
        <w:tc>
          <w:tcPr>
            <w:tcW w:w="0" w:type="auto"/>
            <w:hideMark/>
          </w:tcPr>
          <w:p w14:paraId="4B8E261A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Manter; incluir aviso no campo “Comentário”: “Evite citar nomes completos de pessoas físicas. Foque em aspectos técnicos e de atendimento.”</w:t>
            </w:r>
          </w:p>
        </w:tc>
        <w:tc>
          <w:tcPr>
            <w:tcW w:w="0" w:type="auto"/>
            <w:hideMark/>
          </w:tcPr>
          <w:p w14:paraId="2758832C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5 anos; análises de longo prazo podem usar notas médias e temas recorrentes de comentários anonimizados.</w:t>
            </w:r>
          </w:p>
        </w:tc>
      </w:tr>
      <w:tr w:rsidR="00ED2C3B" w:rsidRPr="00ED2C3B" w14:paraId="005508A2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F88F3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Formulário Avaliação de Dentista por Cliente – Q1–Q6 + comentário</w:t>
            </w:r>
          </w:p>
        </w:tc>
        <w:tc>
          <w:tcPr>
            <w:tcW w:w="0" w:type="auto"/>
            <w:hideMark/>
          </w:tcPr>
          <w:p w14:paraId="6B35BAA6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Manter, com reforço de finalidade de pesquisa de experiência paciente–profissional</w:t>
            </w:r>
          </w:p>
        </w:tc>
        <w:tc>
          <w:tcPr>
            <w:tcW w:w="0" w:type="auto"/>
            <w:hideMark/>
          </w:tcPr>
          <w:p w14:paraId="0746737C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Estrutura clássica de pesquisa de satisfação; fundamental na perspectiva de pesquisa qualitativa da experiência do cliente com a rede de dentistas licenciados.</w:t>
            </w:r>
          </w:p>
        </w:tc>
        <w:tc>
          <w:tcPr>
            <w:tcW w:w="0" w:type="auto"/>
            <w:hideMark/>
          </w:tcPr>
          <w:p w14:paraId="34C91538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Titular do dado avaliado é o dentista; LGPD garante a ele direito de acesso a dados que o envolvam, sob certas circunstâncias. Necessário balancear transparência com anonimato do cliente para evitar retaliações.</w:t>
            </w:r>
          </w:p>
        </w:tc>
        <w:tc>
          <w:tcPr>
            <w:tcW w:w="0" w:type="auto"/>
            <w:hideMark/>
          </w:tcPr>
          <w:p w14:paraId="213FCF86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Manter; na governança, definir que: (i) dentistas podem receber feedbacks consolidados/anonimizados; (</w:t>
            </w:r>
            <w:proofErr w:type="spellStart"/>
            <w:r w:rsidRPr="00ED2C3B">
              <w:t>ii</w:t>
            </w:r>
            <w:proofErr w:type="spellEnd"/>
            <w:r w:rsidRPr="00ED2C3B">
              <w:t xml:space="preserve">) identidade do cliente só é revelada em exceções (ex.: com consentimento </w:t>
            </w:r>
            <w:r w:rsidRPr="00ED2C3B">
              <w:lastRenderedPageBreak/>
              <w:t>explícito ou em disputa formal).</w:t>
            </w:r>
          </w:p>
        </w:tc>
        <w:tc>
          <w:tcPr>
            <w:tcW w:w="0" w:type="auto"/>
            <w:hideMark/>
          </w:tcPr>
          <w:p w14:paraId="28091AC7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>5 anos; com consolidação em indicadores de qualidade (médias, NPS) para fins de gerenciamento da rede e pesquisa sobre experiência do paciente.</w:t>
            </w:r>
          </w:p>
        </w:tc>
      </w:tr>
      <w:tr w:rsidR="00ED2C3B" w:rsidRPr="00ED2C3B" w14:paraId="7D931E50" w14:textId="77777777" w:rsidTr="00ED2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8D524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Formulário Avaliação de Instituição/Coach por Cliente – Q1–Q4 + comentário</w:t>
            </w:r>
          </w:p>
        </w:tc>
        <w:tc>
          <w:tcPr>
            <w:tcW w:w="0" w:type="auto"/>
            <w:hideMark/>
          </w:tcPr>
          <w:p w14:paraId="745598F3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Manter; ajustar Q1 para casos de coach independente</w:t>
            </w:r>
          </w:p>
        </w:tc>
        <w:tc>
          <w:tcPr>
            <w:tcW w:w="0" w:type="auto"/>
            <w:hideMark/>
          </w:tcPr>
          <w:p w14:paraId="12D98676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 xml:space="preserve">Formulário importante para pesquisa qualitativa sobre a rede de suporte (academias, centros, </w:t>
            </w:r>
            <w:proofErr w:type="spellStart"/>
            <w:r w:rsidRPr="00ED2C3B">
              <w:t>coachers</w:t>
            </w:r>
            <w:proofErr w:type="spellEnd"/>
            <w:r w:rsidRPr="00ED2C3B">
              <w:t>). Q1 (“Instalações”) não faz sentido para profissionais que atendem sem espaço físico próprio.</w:t>
            </w:r>
          </w:p>
        </w:tc>
        <w:tc>
          <w:tcPr>
            <w:tcW w:w="0" w:type="auto"/>
            <w:hideMark/>
          </w:tcPr>
          <w:p w14:paraId="3E080ACC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Coleta de dado potencialmente irrelevante para parte dos respondentes, em conflito com minimização.</w:t>
            </w:r>
          </w:p>
        </w:tc>
        <w:tc>
          <w:tcPr>
            <w:tcW w:w="0" w:type="auto"/>
            <w:hideMark/>
          </w:tcPr>
          <w:p w14:paraId="55931B36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Manter Q1 com nota “Apenas se você treina em instituição com instalações físicas próprias; se for coach independente em outros ambientes, marque ‘não se aplica’, se disponível.”</w:t>
            </w:r>
          </w:p>
        </w:tc>
        <w:tc>
          <w:tcPr>
            <w:tcW w:w="0" w:type="auto"/>
            <w:hideMark/>
          </w:tcPr>
          <w:p w14:paraId="0787BE10" w14:textId="77777777" w:rsidR="00ED2C3B" w:rsidRPr="00ED2C3B" w:rsidRDefault="00ED2C3B" w:rsidP="00ED2C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2C3B">
              <w:t>5 anos; uso em análise de qualidade da rede e estudos de correlação entre ambiente de treino e aderência ao dispositivo.</w:t>
            </w:r>
          </w:p>
        </w:tc>
      </w:tr>
      <w:tr w:rsidR="00ED2C3B" w:rsidRPr="00ED2C3B" w14:paraId="0549CF21" w14:textId="77777777" w:rsidTr="00ED2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ECD3D" w14:textId="77777777" w:rsidR="00ED2C3B" w:rsidRPr="00ED2C3B" w:rsidRDefault="00ED2C3B" w:rsidP="00ED2C3B">
            <w:pPr>
              <w:spacing w:after="160" w:line="278" w:lineRule="auto"/>
            </w:pPr>
            <w:r w:rsidRPr="00ED2C3B">
              <w:t>Formulário Avaliação de Influencer por Cliente – Q1–Q3 + comentário</w:t>
            </w:r>
          </w:p>
        </w:tc>
        <w:tc>
          <w:tcPr>
            <w:tcW w:w="0" w:type="auto"/>
            <w:hideMark/>
          </w:tcPr>
          <w:p w14:paraId="3D145F79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Manter; alinhar contratualmente com influencers</w:t>
            </w:r>
          </w:p>
        </w:tc>
        <w:tc>
          <w:tcPr>
            <w:tcW w:w="0" w:type="auto"/>
            <w:hideMark/>
          </w:tcPr>
          <w:p w14:paraId="519F7548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>Mede qualidade de comunicação e influência – essencial para pesquisa qualitativa de impacto comunicacional.</w:t>
            </w:r>
          </w:p>
        </w:tc>
        <w:tc>
          <w:tcPr>
            <w:tcW w:w="0" w:type="auto"/>
            <w:hideMark/>
          </w:tcPr>
          <w:p w14:paraId="6D631A34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t xml:space="preserve">Titular é pessoa física influenciador; LGPD garante direitos sobre dados pessoais (ainda que profissionais). Necessário prever em contrato que haverá avaliação por clientes e </w:t>
            </w:r>
            <w:r w:rsidRPr="00ED2C3B">
              <w:lastRenderedPageBreak/>
              <w:t>uso interno dessas informações.</w:t>
            </w:r>
          </w:p>
        </w:tc>
        <w:tc>
          <w:tcPr>
            <w:tcW w:w="0" w:type="auto"/>
            <w:hideMark/>
          </w:tcPr>
          <w:p w14:paraId="0DF12EEF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 xml:space="preserve">Manter; inserir cláusula em contratos com influencers explicando que serão periodicamente avaliados por clientes, com uso de resultados para decisões de </w:t>
            </w:r>
            <w:r w:rsidRPr="00ED2C3B">
              <w:lastRenderedPageBreak/>
              <w:t>parceria e pesquisa interna.</w:t>
            </w:r>
          </w:p>
        </w:tc>
        <w:tc>
          <w:tcPr>
            <w:tcW w:w="0" w:type="auto"/>
            <w:hideMark/>
          </w:tcPr>
          <w:p w14:paraId="78A24BFB" w14:textId="77777777" w:rsidR="00ED2C3B" w:rsidRPr="00ED2C3B" w:rsidRDefault="00ED2C3B" w:rsidP="00ED2C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2C3B">
              <w:lastRenderedPageBreak/>
              <w:t>5 anos; uso agregado para análises de efetividade de campanhas e estratégias de influência.</w:t>
            </w:r>
          </w:p>
        </w:tc>
      </w:tr>
    </w:tbl>
    <w:p w14:paraId="7EE704E5" w14:textId="77777777" w:rsidR="00ED2C3B" w:rsidRDefault="00ED2C3B" w:rsidP="00ED2C3B"/>
    <w:p w14:paraId="7B9BCAAD" w14:textId="06D044AB" w:rsidR="00ED2C3B" w:rsidRPr="00ED2C3B" w:rsidRDefault="00ED2C3B" w:rsidP="00ED2C3B">
      <w:r w:rsidRPr="00ED2C3B">
        <w:t>*Prazos sugeridos considerando: (i) natureza clínica x cadastral x pesquisa qualitativa x marketing; (</w:t>
      </w:r>
      <w:proofErr w:type="spellStart"/>
      <w:r w:rsidRPr="00ED2C3B">
        <w:t>ii</w:t>
      </w:r>
      <w:proofErr w:type="spellEnd"/>
      <w:r w:rsidRPr="00ED2C3B">
        <w:t>) papel da NEXOR/</w:t>
      </w:r>
      <w:proofErr w:type="spellStart"/>
      <w:r w:rsidRPr="00ED2C3B">
        <w:t>ethosX</w:t>
      </w:r>
      <w:proofErr w:type="spellEnd"/>
      <w:r w:rsidRPr="00ED2C3B">
        <w:t xml:space="preserve"> como intermediária; (</w:t>
      </w:r>
      <w:proofErr w:type="spellStart"/>
      <w:r w:rsidRPr="00ED2C3B">
        <w:t>iii</w:t>
      </w:r>
      <w:proofErr w:type="spellEnd"/>
      <w:r w:rsidRPr="00ED2C3B">
        <w:t>) boas práticas da ANPD e prazos prescricionais comuns. Em caso de conflito com normas específicas de saúde ou exigências regulatórias, prevalece a regra setorial mais restritiva.</w:t>
      </w:r>
    </w:p>
    <w:p w14:paraId="04C81CD3" w14:textId="77777777" w:rsidR="00402A2E" w:rsidRPr="00BA4579" w:rsidRDefault="00402A2E" w:rsidP="00BA4579"/>
    <w:sectPr w:rsidR="00402A2E" w:rsidRPr="00BA4579" w:rsidSect="00BA457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79"/>
    <w:rsid w:val="00402A2E"/>
    <w:rsid w:val="006C6706"/>
    <w:rsid w:val="006F6F0D"/>
    <w:rsid w:val="0073694F"/>
    <w:rsid w:val="008F489A"/>
    <w:rsid w:val="00BA4579"/>
    <w:rsid w:val="00DA066D"/>
    <w:rsid w:val="00EC616C"/>
    <w:rsid w:val="00ED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377D6"/>
  <w15:chartTrackingRefBased/>
  <w15:docId w15:val="{9142EB78-7B36-40DE-B3E8-5649CB5C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4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4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4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4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4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4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4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4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4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4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4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4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4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45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4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45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4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4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4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4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4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4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4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45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45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45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4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45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4579"/>
    <w:rPr>
      <w:b/>
      <w:bCs/>
      <w:smallCaps/>
      <w:color w:val="0F4761" w:themeColor="accent1" w:themeShade="BF"/>
      <w:spacing w:val="5"/>
    </w:rPr>
  </w:style>
  <w:style w:type="table" w:styleId="TabeladeGrade5Escura-nfase4">
    <w:name w:val="Grid Table 5 Dark Accent 4"/>
    <w:basedOn w:val="Tabelanormal"/>
    <w:uiPriority w:val="50"/>
    <w:rsid w:val="00BA457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ED2C3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3706</Words>
  <Characters>20016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Goto</dc:creator>
  <cp:keywords/>
  <dc:description/>
  <cp:lastModifiedBy>Edson Goto</cp:lastModifiedBy>
  <cp:revision>4</cp:revision>
  <dcterms:created xsi:type="dcterms:W3CDTF">2026-05-05T14:13:00Z</dcterms:created>
  <dcterms:modified xsi:type="dcterms:W3CDTF">2026-05-05T18:13:00Z</dcterms:modified>
</cp:coreProperties>
</file>