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 w:hAnsi="times new roman "/>
        </w:rPr>
      </w:pPr>
      <w:r>
        <w:rPr>
          <w:rFonts w:ascii="times new roman " w:hAnsi="times new roman "/>
          <w:b/>
          <w:bCs/>
        </w:rPr>
        <w:t>Caso 5: Plataforma Integral de Trazabilidad y Gestión de Residuos Orgánicos para Compostaje</w:t>
      </w:r>
    </w:p>
    <w:p>
      <w:pPr>
        <w:pStyle w:val="Normal"/>
        <w:rPr>
          <w:rFonts w:ascii="times new roman " w:hAnsi="times new roman "/>
        </w:rPr>
      </w:pPr>
      <w:r>
        <w:rPr>
          <w:rFonts w:ascii="times new roman " w:hAnsi="times new roman "/>
          <w:b/>
          <w:bCs/>
        </w:rPr>
        <w:t>1. Análisis del Problema</w:t>
      </w:r>
    </w:p>
    <w:p>
      <w:pPr>
        <w:pStyle w:val="Normal"/>
        <w:rPr>
          <w:rFonts w:ascii="times new roman " w:hAnsi="times new roman "/>
        </w:rPr>
      </w:pPr>
      <w:r>
        <w:rPr>
          <w:rFonts w:ascii="times new roman " w:hAnsi="times new roman "/>
          <w:b/>
          <w:bCs/>
        </w:rPr>
        <w:t>1.1 Descripción del problema </w:t>
      </w:r>
    </w:p>
    <w:p>
      <w:pPr>
        <w:pStyle w:val="Normal"/>
        <w:rPr>
          <w:rFonts w:ascii="times new roman " w:hAnsi="times new roman "/>
        </w:rPr>
      </w:pPr>
      <w:r>
        <w:rPr>
          <w:rFonts w:ascii="times new roman " w:hAnsi="times new roman "/>
        </w:rPr>
        <w:t>BioCircular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pPr>
        <w:pStyle w:val="Normal"/>
        <w:rPr>
          <w:rFonts w:ascii="times new roman " w:hAnsi="times new roman "/>
        </w:rPr>
      </w:pPr>
      <w:r>
        <w:rPr>
          <w:rFonts w:ascii="times new roman " w:hAnsi="times new roman "/>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pPr>
        <w:pStyle w:val="Normal"/>
        <w:rPr>
          <w:rFonts w:ascii="times new roman " w:hAnsi="times new roman "/>
        </w:rPr>
      </w:pPr>
      <w:r>
        <w:rPr>
          <w:rFonts w:ascii="times new roman " w:hAnsi="times new roman "/>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pPr>
        <w:pStyle w:val="Normal"/>
        <w:rPr>
          <w:rFonts w:ascii="times new roman " w:hAnsi="times new roman "/>
        </w:rPr>
      </w:pPr>
      <w:r>
        <w:rPr>
          <w:rFonts w:ascii="times new roman " w:hAnsi="times new roman "/>
        </w:rPr>
        <w:t>Planificar los recorridos también resulta ser un reto pesado. Las frecuencias de recolección cambian bastante dependiendo del usuario. Y por si fuera poco, muchas veces los residuos llegan mal clasificados desde el origen, lo que frena todo el tratamiento y termina golpeando la calidad del compost.</w:t>
      </w:r>
    </w:p>
    <w:p>
      <w:pPr>
        <w:pStyle w:val="Normal"/>
        <w:rPr>
          <w:rFonts w:ascii="times new roman " w:hAnsi="times new roman "/>
        </w:rPr>
      </w:pPr>
      <w:r>
        <w:rPr>
          <w:rFonts w:ascii="times new roman " w:hAnsi="times new roman "/>
        </w:rPr>
        <w:t>Para salir de este cuello de botella, a BioCircular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pPr>
        <w:pStyle w:val="BodyText"/>
        <w:bidi w:val="0"/>
        <w:spacing w:lineRule="auto" w:line="331" w:before="0" w:after="0"/>
        <w:ind w:hanging="0" w:start="0" w:end="0"/>
        <w:rPr>
          <w:rFonts w:ascii="times new roman " w:hAnsi="times new roman "/>
          <w:b/>
          <w:i w:val="false"/>
          <w:caps w:val="false"/>
          <w:smallCaps w:val="false"/>
          <w:strike w:val="false"/>
          <w:dstrike w:val="false"/>
          <w:color w:val="000000"/>
          <w:sz w:val="22"/>
          <w:u w:val="none"/>
          <w:effect w:val="none"/>
          <w:shd w:fill="auto" w:val="clear"/>
        </w:rPr>
      </w:pPr>
      <w:bookmarkStart w:id="0" w:name="docs-internal-guid-aabf2054-7fff-e63b-e1"/>
      <w:bookmarkEnd w:id="0"/>
      <w:r>
        <w:rPr>
          <w:rFonts w:ascii="times new roman " w:hAnsi="times new roman "/>
          <w:b/>
          <w:i w:val="false"/>
          <w:caps w:val="false"/>
          <w:smallCaps w:val="false"/>
          <w:strike w:val="false"/>
          <w:dstrike w:val="false"/>
          <w:color w:val="000000"/>
          <w:sz w:val="22"/>
          <w:u w:val="none"/>
          <w:effect w:val="none"/>
          <w:shd w:fill="auto" w:val="clear"/>
        </w:rPr>
        <w:t>1.2 Objetivo General </w:t>
      </w:r>
    </w:p>
    <w:p>
      <w:pPr>
        <w:pStyle w:val="BodyText"/>
        <w:spacing w:lineRule="auto" w:line="259" w:before="0" w:after="160"/>
        <w:rPr>
          <w:rFonts w:ascii="times new roman " w:hAnsi="times new roman "/>
        </w:rPr>
      </w:pPr>
      <w:r>
        <w:rPr>
          <w:rFonts w:ascii="times new roman " w:hAnsi="times new roman "/>
        </w:rPr>
      </w:r>
    </w:p>
    <w:p>
      <w:pPr>
        <w:pStyle w:val="BodyText"/>
        <w:bidi w:val="0"/>
        <w:spacing w:lineRule="auto" w:line="331" w:before="0" w:after="0"/>
        <w:ind w:hanging="0" w:start="0" w:end="0"/>
        <w:rPr>
          <w:rFonts w:ascii="times new roman " w:hAnsi="times new roman "/>
          <w:b w:val="false"/>
          <w:i w:val="false"/>
          <w:caps w:val="false"/>
          <w:smallCaps w:val="false"/>
          <w:strike w:val="false"/>
          <w:dstrike w:val="false"/>
          <w:color w:val="000000"/>
          <w:sz w:val="22"/>
          <w:u w:val="none"/>
          <w:effect w:val="none"/>
          <w:shd w:fill="auto" w:val="clear"/>
        </w:rPr>
      </w:pPr>
      <w:r>
        <w:rPr>
          <w:rFonts w:ascii="times new roman " w:hAnsi="times new roman "/>
          <w:b w:val="false"/>
          <w:i w:val="false"/>
          <w:caps w:val="false"/>
          <w:smallCaps w:val="false"/>
          <w:strike w:val="false"/>
          <w:dstrike w:val="false"/>
          <w:color w:val="000000"/>
          <w:sz w:val="22"/>
          <w:u w:val="none"/>
          <w:effect w:val="none"/>
          <w:shd w:fill="auto" w:val="clear"/>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pPr>
        <w:pStyle w:val="BodyText"/>
        <w:spacing w:lineRule="auto" w:line="259" w:before="0" w:after="160"/>
        <w:rPr>
          <w:rFonts w:ascii="times new roman " w:hAnsi="times new roman "/>
        </w:rPr>
      </w:pPr>
      <w:r>
        <w:rPr>
          <w:rFonts w:ascii="times new roman " w:hAnsi="times new roman "/>
        </w:rPr>
      </w:r>
    </w:p>
    <w:p>
      <w:pPr>
        <w:pStyle w:val="BodyText"/>
        <w:bidi w:val="0"/>
        <w:spacing w:lineRule="auto" w:line="331" w:before="0" w:after="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1.3 Objetivos Específicos </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Centralizar la información de los hogares y comercios afiliados, asegurando un control preciso sobre los contenedores asignados a cada usuario.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Diseñar y optimizar las rutas de recolección según la distribución geográfica de los sectores y la frecuencia programada para el servicio.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Cuantificar los residuos recogidos en cada jornada y monitorear su traslado en tiempo real hasta su recepción en la planta de compostaje.</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Supervisar minuciosamente cada fase del tratamiento de compost y llevar un registro exacto del material orgánico producido.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Consolidar reportes e indicadores clave sobre el volumen de residuos recuperados y la huella ambiental mitigada.</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Ofrecer a los clientes visibilidad sobre su nivel de participación, destacando su contribución directa a la economía circular.</w:t>
      </w:r>
    </w:p>
    <w:p>
      <w:pPr>
        <w:pStyle w:val="BodyText"/>
        <w:numPr>
          <w:ilvl w:val="0"/>
          <w:numId w:val="0"/>
        </w:numPr>
        <w:pBdr/>
        <w:bidi w:val="0"/>
        <w:spacing w:lineRule="auto" w:line="331" w:before="0" w:after="0"/>
        <w:ind w:hanging="0" w:start="0" w:end="0"/>
        <w:rPr>
          <w:rFonts w:ascii="times new roman " w:hAnsi="times new roman "/>
          <w:b/>
          <w:i w:val="false"/>
          <w:caps w:val="false"/>
          <w:smallCaps w:val="false"/>
          <w:strike w:val="false"/>
          <w:dstrike w:val="false"/>
          <w:color w:val="000000"/>
          <w:sz w:val="24"/>
          <w:u w:val="none"/>
          <w:effect w:val="none"/>
          <w:shd w:fill="auto" w:val="clear"/>
        </w:rPr>
      </w:pPr>
      <w:bookmarkStart w:id="1" w:name="docs-internal-guid-046de91a-7fff-3b82-80"/>
      <w:bookmarkEnd w:id="1"/>
      <w:r>
        <w:rPr>
          <w:rFonts w:ascii="times new roman " w:hAnsi="times new roman "/>
          <w:b/>
          <w:i w:val="false"/>
          <w:caps w:val="false"/>
          <w:smallCaps w:val="false"/>
          <w:strike w:val="false"/>
          <w:dstrike w:val="false"/>
          <w:color w:val="000000"/>
          <w:sz w:val="24"/>
          <w:u w:val="none"/>
          <w:effect w:val="none"/>
          <w:shd w:fill="auto" w:val="clear"/>
        </w:rPr>
        <w:t>1.4 Identificación de Actores </w:t>
      </w:r>
    </w:p>
    <w:p>
      <w:pPr>
        <w:pStyle w:val="BodyText"/>
        <w:spacing w:lineRule="auto" w:line="331" w:before="0" w:after="0"/>
        <w:rPr>
          <w:rFonts w:ascii="times new roman " w:hAnsi="times new roman "/>
          <w:color w:val="000000"/>
          <w:sz w:val="24"/>
        </w:rPr>
      </w:pPr>
      <w:r>
        <w:rPr>
          <w:rFonts w:ascii="times new roman " w:hAnsi="times new roman "/>
          <w:color w:val="000000"/>
          <w:sz w:val="24"/>
        </w:rPr>
      </w:r>
    </w:p>
    <w:tbl>
      <w:tblPr>
        <w:tblW w:w="8504" w:type="dxa"/>
        <w:jc w:val="start"/>
        <w:tblInd w:w="-7" w:type="dxa"/>
        <w:tblLayout w:type="fixed"/>
        <w:tblCellMar>
          <w:top w:w="120" w:type="dxa"/>
          <w:start w:w="180" w:type="dxa"/>
          <w:bottom w:w="120" w:type="dxa"/>
          <w:end w:w="180" w:type="dxa"/>
        </w:tblCellMar>
      </w:tblPr>
      <w:tblGrid>
        <w:gridCol w:w="2321"/>
        <w:gridCol w:w="1531"/>
        <w:gridCol w:w="4652"/>
      </w:tblGrid>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Actor</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Tipo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Descripción</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Administrador del Sistema</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Encargado de la configuración general del software, la gestión de usuarios y el control de parámetros operativos para garantizar el correcto funcionamiento del sistema.</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Operador de Recolección</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Personal de campo que consulta las rutas programadas, registra la recolección en tiempo real y reporta novedades o incidencias durante la jornada.</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Técnico Ambiental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Profesional responsable de auditar la calidad del insumo orgánico, supervisar las fases de transformación y elaborar los indicadores de impacto ambiental.</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Administrador de la Planta</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Gestiona el volumen de residuos que ingresa a la instalación, da seguimiento a las etapas del proceso y controla el stock de compost terminado.</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Cliente Residencial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Usuario del hogar que dispone sus residuos orgánicos y accede a la plataforma para conocer su historial de entrega y el valor de su aporte ambiental.</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Cliente Comercial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Negocio o restaurante que gestiona la recolección de sus desechos y consulta métricas específicas sobre la masa orgánica generada por su actividad.</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Gobierno Local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Entidad fiscalizadora con acceso a reportes e indicadores validados para el seguimiento de las políticas de gestión integral de residuos.</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Comprador de Compost</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Cliente final o empresa interesada en verificar la disponibilidad del fertilizante producido y formalizar pedidos de compra.</w:t>
            </w:r>
          </w:p>
        </w:tc>
      </w:tr>
    </w:tbl>
    <w:p>
      <w:pPr>
        <w:pStyle w:val="Heading3"/>
        <w:bidi w:val="0"/>
        <w:spacing w:lineRule="auto" w:line="331" w:before="280" w:after="80"/>
        <w:ind w:hanging="0" w:start="0" w:end="0"/>
        <w:rPr>
          <w:rFonts w:ascii="times new roman " w:hAnsi="times new roman "/>
          <w:b/>
          <w:i w:val="false"/>
          <w:caps w:val="false"/>
          <w:smallCaps w:val="false"/>
          <w:strike w:val="false"/>
          <w:dstrike w:val="false"/>
          <w:color w:val="000000"/>
          <w:sz w:val="26"/>
          <w:u w:val="none"/>
          <w:effect w:val="none"/>
          <w:shd w:fill="auto" w:val="clear"/>
        </w:rPr>
      </w:pPr>
      <w:r>
        <w:rPr>
          <w:rFonts w:ascii="times new roman " w:hAnsi="times new roman "/>
          <w:b/>
          <w:i w:val="false"/>
          <w:caps w:val="false"/>
          <w:smallCaps w:val="false"/>
          <w:strike w:val="false"/>
          <w:dstrike w:val="false"/>
          <w:color w:val="000000"/>
          <w:sz w:val="26"/>
          <w:u w:val="none"/>
          <w:effect w:val="none"/>
          <w:shd w:fill="auto" w:val="clear"/>
        </w:rPr>
        <w:t>1.5 Alcance del Sistema</w:t>
      </w:r>
    </w:p>
    <w:p>
      <w:pPr>
        <w:pStyle w:val="BodyText"/>
        <w:bidi w:val="0"/>
        <w:spacing w:lineRule="auto" w:line="331" w:before="240" w:after="240"/>
        <w:ind w:hanging="0" w:start="0"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La plataforma abarcará la gestión integral del ciclo de vida de los residuos orgánicos, desde el alta inicial de los clientes hasta la obtención del producto final en planta.</w:t>
      </w:r>
    </w:p>
    <w:p>
      <w:pPr>
        <w:pStyle w:val="BodyText"/>
        <w:bidi w:val="0"/>
        <w:spacing w:lineRule="auto" w:line="331" w:before="240" w:after="240"/>
        <w:ind w:hanging="0" w:start="0"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En esta fase, el software centralizará el registro de hogares y comercios, la trazabilidad de los contenedores asignados, la planificación logística de rutas y la asignación del personal de recolección. Asimismo, permitirá cuantificar el volumen capturado en cada jornada y monitorear el progreso de los lotes a lo largo de las distintas etapas del compostaje. Para la toma de decisiones y el seguimiento del programa, se incluirán herramientas analíticas capaces de consolidar reportes operativos, métricas de producción e indicadores sobre la huella ambiental mitigada, complementadas con un portal de usuarios donde los clientes podrán consultar su historial y visualizar el impacto real de su participación.</w:t>
      </w:r>
    </w:p>
    <w:p>
      <w:pPr>
        <w:pStyle w:val="BodyText"/>
        <w:bidi w:val="0"/>
        <w:spacing w:lineRule="auto" w:line="331" w:before="240" w:after="240"/>
        <w:ind w:hanging="0" w:start="0"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Por otro lado, esta primera versión no contempla la comercialización en línea del compost terminado, la integración mediante API con plataformas de entidades gubernamentales ni el monitoreo automatizado de contenedores a través de sensores IoT.</w:t>
      </w:r>
    </w:p>
    <w:p>
      <w:pPr>
        <w:pStyle w:val="Heading3"/>
        <w:bidi w:val="0"/>
        <w:spacing w:lineRule="auto" w:line="331" w:before="240" w:after="240"/>
        <w:ind w:hanging="0" w:start="0" w:end="0"/>
        <w:rPr>
          <w:rFonts w:ascii="times new roman " w:hAnsi="times new roman "/>
          <w:b/>
          <w:i w:val="false"/>
          <w:caps w:val="false"/>
          <w:smallCaps w:val="false"/>
          <w:strike w:val="false"/>
          <w:dstrike w:val="false"/>
          <w:color w:val="000000"/>
          <w:sz w:val="26"/>
          <w:u w:val="none"/>
          <w:effect w:val="none"/>
          <w:shd w:fill="auto" w:val="clear"/>
        </w:rPr>
      </w:pPr>
      <w:bookmarkStart w:id="2" w:name="docs-internal-guid-1c18147e-7fff-291d-18"/>
      <w:bookmarkEnd w:id="2"/>
      <w:r>
        <w:rPr>
          <w:rFonts w:ascii="times new roman " w:hAnsi="times new roman "/>
          <w:b/>
          <w:i w:val="false"/>
          <w:caps w:val="false"/>
          <w:smallCaps w:val="false"/>
          <w:strike w:val="false"/>
          <w:dstrike w:val="false"/>
          <w:color w:val="000000"/>
          <w:sz w:val="26"/>
          <w:u w:val="none"/>
          <w:effect w:val="none"/>
          <w:shd w:fill="auto" w:val="clear"/>
        </w:rPr>
        <w:t>1.6 Restricciones</w:t>
      </w:r>
    </w:p>
    <w:p>
      <w:pPr>
        <w:pStyle w:val="BodyText"/>
        <w:numPr>
          <w:ilvl w:val="0"/>
          <w:numId w:val="2"/>
        </w:numPr>
        <w:pBdr/>
        <w:tabs>
          <w:tab w:val="clear" w:pos="708"/>
          <w:tab w:val="left" w:pos="0" w:leader="none"/>
        </w:tabs>
        <w:bidi w:val="0"/>
        <w:spacing w:lineRule="auto" w:line="331" w:before="24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El alcance operativo del software se limita de forma exclusiva a la gestión y trazabilidad de residuos de tipo orgánico orientados al proceso de compostaje.</w:t>
      </w:r>
    </w:p>
    <w:p>
      <w:pPr>
        <w:pStyle w:val="BodyText"/>
        <w:numPr>
          <w:ilvl w:val="0"/>
          <w:numId w:val="2"/>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El registro de operaciones y la sincronización de datos en tiempo real estarán supeditados a la disponibilidad continua de conectividad a Internet.</w:t>
      </w:r>
    </w:p>
    <w:p>
      <w:pPr>
        <w:pStyle w:val="BodyText"/>
        <w:numPr>
          <w:ilvl w:val="0"/>
          <w:numId w:val="2"/>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La periodicidad del servicio no será uniforme, sino que se adaptará a la segmentación por sector y al perfil específico de cada cliente.</w:t>
      </w:r>
    </w:p>
    <w:p>
      <w:pPr>
        <w:pStyle w:val="BodyText"/>
        <w:numPr>
          <w:ilvl w:val="0"/>
          <w:numId w:val="2"/>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La efectividad del proceso de transformación estará condicionada a una separación en fuente adecuada por parte de los generadores.</w:t>
      </w:r>
    </w:p>
    <w:p>
      <w:pPr>
        <w:pStyle w:val="BodyText"/>
        <w:numPr>
          <w:ilvl w:val="0"/>
          <w:numId w:val="2"/>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El acceso a los módulos de administración y métricas ambientales estará restringido únicamente al personal que cuente con los permisos de seguridad requeridos.</w:t>
      </w:r>
    </w:p>
    <w:p>
      <w:pPr>
        <w:pStyle w:val="BodyText"/>
        <w:numPr>
          <w:ilvl w:val="0"/>
          <w:numId w:val="2"/>
        </w:numPr>
        <w:pBdr/>
        <w:tabs>
          <w:tab w:val="clear" w:pos="708"/>
          <w:tab w:val="left" w:pos="0" w:leader="none"/>
        </w:tabs>
        <w:bidi w:val="0"/>
        <w:spacing w:lineRule="auto" w:line="331" w:before="0" w:after="24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La precisión de la analítica y los reportes generados dependerá directamente de la consistencia y veracidad de los datos ingresados por los operadores e inspectores en planta.</w:t>
      </w:r>
    </w:p>
    <w:p>
      <w:pPr>
        <w:pStyle w:val="Heading3"/>
        <w:bidi w:val="0"/>
        <w:spacing w:lineRule="auto" w:line="331" w:before="280" w:after="80"/>
        <w:ind w:hanging="0" w:start="0" w:end="0"/>
        <w:rPr>
          <w:rFonts w:ascii="times new roman " w:hAnsi="times new roman "/>
          <w:b/>
          <w:i w:val="false"/>
          <w:caps w:val="false"/>
          <w:smallCaps w:val="false"/>
          <w:strike w:val="false"/>
          <w:dstrike w:val="false"/>
          <w:color w:val="000000"/>
          <w:sz w:val="26"/>
          <w:u w:val="none"/>
          <w:effect w:val="none"/>
          <w:shd w:fill="auto" w:val="clear"/>
        </w:rPr>
      </w:pPr>
      <w:r>
        <w:rPr>
          <w:rFonts w:ascii="times new roman " w:hAnsi="times new roman "/>
          <w:b/>
          <w:i w:val="false"/>
          <w:caps w:val="false"/>
          <w:smallCaps w:val="false"/>
          <w:strike w:val="false"/>
          <w:dstrike w:val="false"/>
          <w:color w:val="000000"/>
          <w:sz w:val="26"/>
          <w:u w:val="none"/>
          <w:effect w:val="none"/>
          <w:shd w:fill="auto" w:val="clear"/>
        </w:rPr>
        <w:t>1.7 Supuestos</w:t>
      </w:r>
    </w:p>
    <w:p>
      <w:pPr>
        <w:pStyle w:val="BodyText"/>
        <w:numPr>
          <w:ilvl w:val="0"/>
          <w:numId w:val="3"/>
        </w:numPr>
        <w:pBdr/>
        <w:tabs>
          <w:tab w:val="clear" w:pos="708"/>
          <w:tab w:val="left" w:pos="0" w:leader="none"/>
        </w:tabs>
        <w:bidi w:val="0"/>
        <w:spacing w:lineRule="auto" w:line="331" w:before="24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Se asume que la información proporcionada por los clientes durante el proceso de registro e incorporación es verídica y precisa.</w:t>
      </w:r>
    </w:p>
    <w:p>
      <w:pPr>
        <w:pStyle w:val="BodyText"/>
        <w:numPr>
          <w:ilvl w:val="0"/>
          <w:numId w:val="3"/>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Se da por sentado que el personal de campo y los operadores en planta ingresarán los datos operativos de forma oportuna durante sus respectivas jornadas.</w:t>
      </w:r>
    </w:p>
    <w:p>
      <w:pPr>
        <w:pStyle w:val="BodyText"/>
        <w:numPr>
          <w:ilvl w:val="0"/>
          <w:numId w:val="3"/>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Se presupone que cada actor del sistema contará con las credenciales de acceso correspondientes y alineadas a sus funciones asignadas.</w:t>
      </w:r>
    </w:p>
    <w:p>
      <w:pPr>
        <w:pStyle w:val="BodyText"/>
        <w:numPr>
          <w:ilvl w:val="0"/>
          <w:numId w:val="3"/>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Se contempla que la organización proveerá la infraestructura tecnológica y el soporte de red adecuados para garantizar la alta disponibilidad de la plataforma.</w:t>
      </w:r>
    </w:p>
    <w:p>
      <w:pPr>
        <w:pStyle w:val="BodyText"/>
        <w:numPr>
          <w:ilvl w:val="0"/>
          <w:numId w:val="3"/>
        </w:numPr>
        <w:pBdr/>
        <w:tabs>
          <w:tab w:val="clear" w:pos="708"/>
          <w:tab w:val="left" w:pos="0" w:leader="none"/>
        </w:tabs>
        <w:bidi w:val="0"/>
        <w:spacing w:lineRule="auto" w:line="331" w:before="0" w:after="24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Se considera que todo el personal involucrado en la operación habrá completado las sesiones de capacitación previas al uso de la herramienta.</w:t>
      </w:r>
    </w:p>
    <w:p>
      <w:pPr>
        <w:pStyle w:val="BodyText"/>
        <w:bidi w:val="0"/>
        <w:spacing w:lineRule="auto" w:line="331" w:before="240" w:after="240"/>
        <w:ind w:hanging="0" w:start="0"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r>
    </w:p>
    <w:p>
      <w:pPr>
        <w:pStyle w:val="BodyText"/>
        <w:numPr>
          <w:ilvl w:val="0"/>
          <w:numId w:val="0"/>
        </w:numPr>
        <w:pBdr/>
        <w:bidi w:val="0"/>
        <w:spacing w:lineRule="auto" w:line="331" w:before="0" w:after="0"/>
        <w:ind w:hanging="0" w:start="0"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r>
    </w:p>
    <w:p>
      <w:pPr>
        <w:pStyle w:val="Normal"/>
        <w:rPr>
          <w:rFonts w:ascii="times new roman " w:hAnsi="times new roman "/>
        </w:rPr>
      </w:pPr>
      <w:r>
        <w:rPr>
          <w:rFonts w:ascii="times new roman " w:hAnsi="times new roman "/>
        </w:rPr>
      </w:r>
    </w:p>
    <w:p>
      <w:pPr>
        <w:pStyle w:val="Normal"/>
        <w:spacing w:before="0" w:after="160"/>
        <w:rPr>
          <w:rFonts w:ascii="times new roman " w:hAnsi="times new roman "/>
        </w:rPr>
      </w:pPr>
      <w:r>
        <w:rPr>
          <w:rFonts w:ascii="times new roman " w:hAnsi="times new roman "/>
        </w:rPr>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C"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EC"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EC" w:eastAsia="en-US" w:bidi="ar-SA"/>
      <w14:ligatures w14:val="standardContextual"/>
    </w:rPr>
  </w:style>
  <w:style w:type="paragraph" w:styleId="Heading1">
    <w:name w:val="heading 1"/>
    <w:basedOn w:val="Normal"/>
    <w:next w:val="Normal"/>
    <w:link w:val="Ttulo1Car"/>
    <w:uiPriority w:val="9"/>
    <w:qFormat/>
    <w:rsid w:val="002a75f3"/>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semiHidden/>
    <w:unhideWhenUsed/>
    <w:qFormat/>
    <w:rsid w:val="002a75f3"/>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2a75f3"/>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2a75f3"/>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2a75f3"/>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2a75f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2a75f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2a75f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2a75f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2a75f3"/>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semiHidden/>
    <w:qFormat/>
    <w:rsid w:val="002a75f3"/>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sid w:val="002a75f3"/>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sid w:val="002a75f3"/>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sid w:val="002a75f3"/>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sid w:val="002a75f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2a75f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2a75f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2a75f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2a75f3"/>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2a75f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2a75f3"/>
    <w:rPr>
      <w:i/>
      <w:iCs/>
      <w:color w:themeColor="text1" w:themeTint="bf" w:val="404040"/>
    </w:rPr>
  </w:style>
  <w:style w:type="character" w:styleId="IntenseEmphasis">
    <w:name w:val="Intense Emphasis"/>
    <w:basedOn w:val="DefaultParagraphFont"/>
    <w:uiPriority w:val="21"/>
    <w:qFormat/>
    <w:rsid w:val="002a75f3"/>
    <w:rPr>
      <w:i/>
      <w:iCs/>
      <w:color w:themeColor="accent1" w:themeShade="bf" w:val="2F5496"/>
    </w:rPr>
  </w:style>
  <w:style w:type="character" w:styleId="CitadestacadaCar" w:customStyle="1">
    <w:name w:val="Cita destacada Car"/>
    <w:basedOn w:val="DefaultParagraphFont"/>
    <w:link w:val="IntenseQuote"/>
    <w:uiPriority w:val="30"/>
    <w:qFormat/>
    <w:rsid w:val="002a75f3"/>
    <w:rPr>
      <w:i/>
      <w:iCs/>
      <w:color w:themeColor="accent1" w:themeShade="bf" w:val="2F5496"/>
    </w:rPr>
  </w:style>
  <w:style w:type="character" w:styleId="IntenseReference">
    <w:name w:val="Intense Reference"/>
    <w:basedOn w:val="DefaultParagraphFont"/>
    <w:uiPriority w:val="32"/>
    <w:qFormat/>
    <w:rsid w:val="002a75f3"/>
    <w:rPr>
      <w:b/>
      <w:bCs/>
      <w:smallCaps/>
      <w:color w:themeColor="accent1" w:themeShade="bf" w:val="2F5496"/>
      <w:spacing w:val="5"/>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2a75f3"/>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2a75f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2a75f3"/>
    <w:pPr>
      <w:spacing w:before="160" w:after="160"/>
      <w:jc w:val="center"/>
    </w:pPr>
    <w:rPr>
      <w:i/>
      <w:iCs/>
      <w:color w:themeColor="text1" w:themeTint="bf" w:val="404040"/>
    </w:rPr>
  </w:style>
  <w:style w:type="paragraph" w:styleId="ListParagraph">
    <w:name w:val="List Paragraph"/>
    <w:basedOn w:val="Normal"/>
    <w:uiPriority w:val="34"/>
    <w:qFormat/>
    <w:rsid w:val="002a75f3"/>
    <w:pPr>
      <w:spacing w:before="0" w:after="160"/>
      <w:ind w:start="720"/>
      <w:contextualSpacing/>
    </w:pPr>
    <w:rPr/>
  </w:style>
  <w:style w:type="paragraph" w:styleId="IntenseQuote">
    <w:name w:val="Intense Quote"/>
    <w:basedOn w:val="Normal"/>
    <w:next w:val="Normal"/>
    <w:link w:val="CitadestacadaCar"/>
    <w:uiPriority w:val="30"/>
    <w:qFormat/>
    <w:rsid w:val="002a75f3"/>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37</TotalTime>
  <Application>LibreOffice/25.8.7.3$Linux_X86_64 LibreOffice_project/580$Build-3</Application>
  <AppVersion>15.0000</AppVersion>
  <Pages>5</Pages>
  <Words>1116</Words>
  <Characters>6185</Characters>
  <CharactersWithSpaces>7225</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2026-07-21T18:40:00Z</dcterms:created>
  <dc:creator>Damaris Guanoluisa</dc:creator>
  <dc:description/>
  <dc:language>es-ES</dc:language>
  <cp:lastModifiedBy/>
  <dcterms:modified xsi:type="dcterms:W3CDTF">2026-07-26T21:35:53Z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