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 w:hAnsi="times new roman "/>
          <w:sz w:val="24"/>
          <w:szCs w:val="24"/>
        </w:rPr>
      </w:pPr>
      <w:r>
        <w:rPr>
          <w:rFonts w:ascii="times new roman " w:hAnsi="times new roman "/>
          <w:b/>
          <w:bCs/>
          <w:sz w:val="24"/>
          <w:szCs w:val="24"/>
        </w:rPr>
        <w:t>Caso 5: Plataforma Integral de Trazabilidad y Gestión de Residuos Orgánicos para Compostaje</w:t>
      </w:r>
    </w:p>
    <w:p>
      <w:pPr>
        <w:pStyle w:val="Normal"/>
        <w:rPr>
          <w:rFonts w:ascii="times new roman " w:hAnsi="times new roman "/>
          <w:sz w:val="24"/>
          <w:szCs w:val="24"/>
        </w:rPr>
      </w:pPr>
      <w:r>
        <w:rPr>
          <w:rFonts w:ascii="times new roman " w:hAnsi="times new roman "/>
          <w:b/>
          <w:bCs/>
          <w:sz w:val="24"/>
          <w:szCs w:val="24"/>
        </w:rPr>
        <w:t>1. Análisis del Problema</w:t>
      </w:r>
    </w:p>
    <w:p>
      <w:pPr>
        <w:pStyle w:val="Normal"/>
        <w:rPr>
          <w:rFonts w:ascii="times new roman " w:hAnsi="times new roman "/>
          <w:sz w:val="24"/>
          <w:szCs w:val="24"/>
        </w:rPr>
      </w:pPr>
      <w:r>
        <w:rPr>
          <w:rFonts w:ascii="times new roman " w:hAnsi="times new roman "/>
          <w:b/>
          <w:bCs/>
          <w:sz w:val="24"/>
          <w:szCs w:val="24"/>
        </w:rPr>
        <w:t>1.1 Descripción del problema </w:t>
      </w:r>
    </w:p>
    <w:p>
      <w:pPr>
        <w:pStyle w:val="Normal"/>
        <w:rPr>
          <w:rFonts w:ascii="times new roman " w:hAnsi="times new roman "/>
          <w:sz w:val="24"/>
          <w:szCs w:val="24"/>
        </w:rPr>
      </w:pPr>
      <w:r>
        <w:rPr>
          <w:rFonts w:ascii="times new roman " w:hAnsi="times new roman "/>
          <w:sz w:val="24"/>
          <w:szCs w:val="24"/>
        </w:rPr>
        <w:t>BioCircular S.A. opera en la ciudad de Quito gestionando residuos orgánicos de viviendas y locales comerciales. Gracias al aumento de clientes en estos últimos años la demanda se disparó; sin embargo, este crecimiento trajo un problema evidente: la logística diaria de recolección y compostaje se volvió demasiado compleja.</w:t>
      </w:r>
    </w:p>
    <w:p>
      <w:pPr>
        <w:pStyle w:val="Normal"/>
        <w:rPr>
          <w:rFonts w:ascii="times new roman " w:hAnsi="times new roman "/>
          <w:sz w:val="24"/>
          <w:szCs w:val="24"/>
        </w:rPr>
      </w:pPr>
      <w:r>
        <w:rPr>
          <w:rFonts w:ascii="times new roman " w:hAnsi="times new roman "/>
          <w:sz w:val="24"/>
          <w:szCs w:val="24"/>
        </w:rPr>
        <w:t>El principal obstáculo que tienen es trabajar a ciegas, sin un sistema central. Hoy por hoy, la base de usuarios, la planificación de rutas, los pesajes y el control del abono andan totalmente dispersos. Lo que provoca un seguimiento ineficiente y la falta de datos reales para tomar buenas decisiones.</w:t>
      </w:r>
    </w:p>
    <w:p>
      <w:pPr>
        <w:pStyle w:val="Normal"/>
        <w:rPr>
          <w:rFonts w:ascii="times new roman " w:hAnsi="times new roman "/>
          <w:sz w:val="24"/>
          <w:szCs w:val="24"/>
        </w:rPr>
      </w:pPr>
      <w:r>
        <w:rPr>
          <w:rFonts w:ascii="times new roman " w:hAnsi="times new roman "/>
          <w:sz w:val="24"/>
          <w:szCs w:val="24"/>
        </w:rPr>
        <w:t>A esto hay que sumarle la pérdida de trazabilidad. Apenas los camiones recogen el material, prácticamente se pierde el rastro de la basura. Es muy difícil saber cómo ese desecho específico llega a transformarse en compost, y ni hablar de intentar calcular el volumen exacto que entregó cada persona o el impacto ambiental que están logrando.</w:t>
      </w:r>
    </w:p>
    <w:p>
      <w:pPr>
        <w:pStyle w:val="Normal"/>
        <w:rPr>
          <w:rFonts w:ascii="times new roman " w:hAnsi="times new roman "/>
          <w:sz w:val="24"/>
          <w:szCs w:val="24"/>
        </w:rPr>
      </w:pPr>
      <w:r>
        <w:rPr>
          <w:rFonts w:ascii="times new roman " w:hAnsi="times new roman "/>
          <w:sz w:val="24"/>
          <w:szCs w:val="24"/>
        </w:rPr>
        <w:t>Planificar los recorridos también resulta ser un reto pesado. Las frecuencias de recolección cambian bastante dependiendo del usuario. Y por si fuera poco, muchas veces los residuos llegan mal clasificados desde el origen, lo que frena todo el tratamiento y termina golpeando la calidad del compost.</w:t>
      </w:r>
    </w:p>
    <w:p>
      <w:pPr>
        <w:pStyle w:val="Normal"/>
        <w:rPr>
          <w:rFonts w:ascii="times new roman " w:hAnsi="times new roman "/>
          <w:sz w:val="24"/>
          <w:szCs w:val="24"/>
        </w:rPr>
      </w:pPr>
      <w:r>
        <w:rPr>
          <w:rFonts w:ascii="times new roman " w:hAnsi="times new roman "/>
          <w:sz w:val="24"/>
          <w:szCs w:val="24"/>
        </w:rPr>
        <w:t>Para salir de este cuello de botella, a BioCircular le urge implementar una plataforma tecnológica. El objetivo es simple: organizar la información de los clientes, cuadrar bien las rutas, llevar una bitácora de cada etapa del compostaje y arrojar indicadores ambientales claros. Con una herramienta así, la empresa al fin tomará el control de su operación y le demostrará a cada usuario su verdadero aporte a la economía circular.</w:t>
      </w:r>
    </w:p>
    <w:p>
      <w:pPr>
        <w:pStyle w:val="BodyText"/>
        <w:bidi w:val="0"/>
        <w:spacing w:lineRule="auto" w:line="331" w:before="0" w:after="0"/>
        <w:ind w:hanging="0" w:start="0" w:end="0"/>
        <w:rPr>
          <w:rFonts w:ascii="times new roman " w:hAnsi="times new roman "/>
          <w:b/>
          <w:i w:val="false"/>
          <w:caps w:val="false"/>
          <w:smallCaps w:val="false"/>
          <w:strike w:val="false"/>
          <w:dstrike w:val="false"/>
          <w:color w:val="000000"/>
          <w:sz w:val="24"/>
          <w:szCs w:val="24"/>
          <w:u w:val="none"/>
          <w:effect w:val="none"/>
          <w:shd w:fill="auto" w:val="clear"/>
        </w:rPr>
      </w:pPr>
      <w:bookmarkStart w:id="0" w:name="docs-internal-guid-aabf2054-7fff-e63b-e1"/>
      <w:bookmarkEnd w:id="0"/>
      <w:r>
        <w:rPr>
          <w:rFonts w:ascii="times new roman " w:hAnsi="times new roman "/>
          <w:b/>
          <w:i w:val="false"/>
          <w:caps w:val="false"/>
          <w:smallCaps w:val="false"/>
          <w:strike w:val="false"/>
          <w:dstrike w:val="false"/>
          <w:color w:val="000000"/>
          <w:sz w:val="24"/>
          <w:szCs w:val="24"/>
          <w:u w:val="none"/>
          <w:effect w:val="none"/>
          <w:shd w:fill="auto" w:val="clear"/>
        </w:rPr>
        <w:t>1.2 Objetivo General </w:t>
      </w:r>
    </w:p>
    <w:p>
      <w:pPr>
        <w:pStyle w:val="BodyText"/>
        <w:spacing w:lineRule="auto" w:line="259" w:before="0" w:after="160"/>
        <w:rPr>
          <w:rFonts w:ascii="times new roman " w:hAnsi="times new roman "/>
          <w:sz w:val="24"/>
          <w:szCs w:val="24"/>
        </w:rPr>
      </w:pPr>
      <w:r>
        <w:rPr>
          <w:rFonts w:ascii="times new roman " w:hAnsi="times new roman "/>
          <w:sz w:val="24"/>
          <w:szCs w:val="24"/>
        </w:rPr>
      </w:r>
    </w:p>
    <w:p>
      <w:pPr>
        <w:pStyle w:val="BodyText"/>
        <w:bidi w:val="0"/>
        <w:spacing w:lineRule="auto" w:line="331" w:before="0" w:after="0"/>
        <w:ind w:hanging="0" w:start="0"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t>Construir una plataforma centralizada que ayude a organizar y supervisar todo el flujo de recolección y compostaje de desechos orgánicos, asegurando el rastreo completo del residuo desde que se recoge hasta que pasa a ser compost, a fin de facilitar la operación diaria y medir el impacto ambiental real. </w:t>
      </w:r>
    </w:p>
    <w:p>
      <w:pPr>
        <w:pStyle w:val="BodyText"/>
        <w:spacing w:lineRule="auto" w:line="259" w:before="0" w:after="160"/>
        <w:rPr>
          <w:rFonts w:ascii="times new roman " w:hAnsi="times new roman "/>
          <w:sz w:val="24"/>
          <w:szCs w:val="24"/>
        </w:rPr>
      </w:pPr>
      <w:r>
        <w:rPr>
          <w:rFonts w:ascii="times new roman " w:hAnsi="times new roman "/>
          <w:sz w:val="24"/>
          <w:szCs w:val="24"/>
        </w:rPr>
      </w:r>
    </w:p>
    <w:p>
      <w:pPr>
        <w:pStyle w:val="BodyText"/>
        <w:bidi w:val="0"/>
        <w:spacing w:lineRule="auto" w:line="331" w:before="0" w:after="0"/>
        <w:ind w:hanging="0" w:start="0" w:end="0"/>
        <w:rPr>
          <w:rFonts w:ascii="times new roman " w:hAnsi="times new roman "/>
          <w:b/>
          <w:i w:val="false"/>
          <w:caps w:val="false"/>
          <w:smallCaps w:val="false"/>
          <w:strike w:val="false"/>
          <w:dstrike w:val="false"/>
          <w:color w:val="000000"/>
          <w:sz w:val="24"/>
          <w:szCs w:val="24"/>
          <w:u w:val="none"/>
          <w:effect w:val="none"/>
          <w:shd w:fill="auto" w:val="clear"/>
        </w:rPr>
      </w:pPr>
      <w:r>
        <w:rPr>
          <w:rFonts w:ascii="times new roman " w:hAnsi="times new roman "/>
          <w:b/>
          <w:i w:val="false"/>
          <w:caps w:val="false"/>
          <w:smallCaps w:val="false"/>
          <w:strike w:val="false"/>
          <w:dstrike w:val="false"/>
          <w:color w:val="000000"/>
          <w:sz w:val="24"/>
          <w:szCs w:val="24"/>
          <w:u w:val="none"/>
          <w:effect w:val="none"/>
          <w:shd w:fill="auto" w:val="clear"/>
        </w:rPr>
        <w:t>1.3 Objetivos Específicos </w:t>
      </w:r>
    </w:p>
    <w:p>
      <w:pPr>
        <w:pStyle w:val="BodyText"/>
        <w:numPr>
          <w:ilvl w:val="0"/>
          <w:numId w:val="1"/>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t>Centralizar la información de los hogares y comercios afiliados, asegurando un control preciso sobre los contenedores asignados a cada usuario.</w:t>
      </w:r>
    </w:p>
    <w:p>
      <w:pPr>
        <w:pStyle w:val="BodyText"/>
        <w:numPr>
          <w:ilvl w:val="0"/>
          <w:numId w:val="1"/>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t>Diseñar y optimizar las rutas de recolección según la distribución geográfica de los sectores y la frecuencia programada para el servicio.</w:t>
      </w:r>
    </w:p>
    <w:p>
      <w:pPr>
        <w:pStyle w:val="BodyText"/>
        <w:numPr>
          <w:ilvl w:val="0"/>
          <w:numId w:val="1"/>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t>Cuantificar los residuos recogidos en cada jornada y monitorear su traslado en tiempo real hasta su recepción en la planta de compostaje.</w:t>
      </w:r>
    </w:p>
    <w:p>
      <w:pPr>
        <w:pStyle w:val="BodyText"/>
        <w:numPr>
          <w:ilvl w:val="0"/>
          <w:numId w:val="1"/>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t>Supervisar minuciosamente cada fase del tratamiento de compost y llevar un registro exacto del material orgánico producido.</w:t>
      </w:r>
    </w:p>
    <w:p>
      <w:pPr>
        <w:pStyle w:val="BodyText"/>
        <w:numPr>
          <w:ilvl w:val="0"/>
          <w:numId w:val="1"/>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t>Consolidar reportes e indicadores clave sobre el volumen de residuos recuperados y la huella ambiental mitigada.</w:t>
      </w:r>
    </w:p>
    <w:p>
      <w:pPr>
        <w:pStyle w:val="BodyText"/>
        <w:numPr>
          <w:ilvl w:val="0"/>
          <w:numId w:val="1"/>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t>Ofrecer a los clientes visibilidad sobre su nivel de participación, destacando su contribución directa a la economía circular.</w:t>
      </w:r>
    </w:p>
    <w:p>
      <w:pPr>
        <w:pStyle w:val="BodyText"/>
        <w:numPr>
          <w:ilvl w:val="0"/>
          <w:numId w:val="0"/>
        </w:numPr>
        <w:pBdr/>
        <w:bidi w:val="0"/>
        <w:spacing w:lineRule="auto" w:line="331" w:before="0" w:after="0"/>
        <w:ind w:hanging="0" w:start="0" w:end="0"/>
        <w:rPr>
          <w:rFonts w:ascii="times new roman " w:hAnsi="times new roman "/>
          <w:b/>
          <w:i w:val="false"/>
          <w:caps w:val="false"/>
          <w:smallCaps w:val="false"/>
          <w:strike w:val="false"/>
          <w:dstrike w:val="false"/>
          <w:color w:val="000000"/>
          <w:sz w:val="24"/>
          <w:szCs w:val="24"/>
          <w:u w:val="none"/>
          <w:effect w:val="none"/>
          <w:shd w:fill="auto" w:val="clear"/>
        </w:rPr>
      </w:pPr>
      <w:bookmarkStart w:id="1" w:name="docs-internal-guid-046de91a-7fff-3b82-80"/>
      <w:bookmarkEnd w:id="1"/>
      <w:r>
        <w:rPr>
          <w:rFonts w:ascii="times new roman " w:hAnsi="times new roman "/>
          <w:b/>
          <w:i w:val="false"/>
          <w:caps w:val="false"/>
          <w:smallCaps w:val="false"/>
          <w:strike w:val="false"/>
          <w:dstrike w:val="false"/>
          <w:color w:val="000000"/>
          <w:sz w:val="24"/>
          <w:szCs w:val="24"/>
          <w:u w:val="none"/>
          <w:effect w:val="none"/>
          <w:shd w:fill="auto" w:val="clear"/>
        </w:rPr>
        <w:t>1.4 Identificación de Actores </w:t>
      </w:r>
    </w:p>
    <w:p>
      <w:pPr>
        <w:pStyle w:val="BodyText"/>
        <w:spacing w:lineRule="auto" w:line="331" w:before="0" w:after="0"/>
        <w:rPr>
          <w:rFonts w:ascii="times new roman " w:hAnsi="times new roman "/>
          <w:color w:val="000000"/>
          <w:sz w:val="24"/>
          <w:szCs w:val="24"/>
        </w:rPr>
      </w:pPr>
      <w:r>
        <w:rPr>
          <w:rFonts w:ascii="times new roman " w:hAnsi="times new roman "/>
          <w:color w:val="000000"/>
          <w:sz w:val="24"/>
          <w:szCs w:val="24"/>
        </w:rPr>
      </w:r>
    </w:p>
    <w:tbl>
      <w:tblPr>
        <w:tblW w:w="8504" w:type="dxa"/>
        <w:jc w:val="start"/>
        <w:tblInd w:w="-7" w:type="dxa"/>
        <w:tblLayout w:type="fixed"/>
        <w:tblCellMar>
          <w:top w:w="120" w:type="dxa"/>
          <w:start w:w="180" w:type="dxa"/>
          <w:bottom w:w="120" w:type="dxa"/>
          <w:end w:w="180" w:type="dxa"/>
        </w:tblCellMar>
      </w:tblPr>
      <w:tblGrid>
        <w:gridCol w:w="2321"/>
        <w:gridCol w:w="1531"/>
        <w:gridCol w:w="4652"/>
      </w:tblGrid>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szCs w:val="24"/>
                <w:u w:val="none"/>
                <w:effect w:val="none"/>
                <w:shd w:fill="auto" w:val="clear"/>
              </w:rPr>
            </w:pPr>
            <w:r>
              <w:rPr>
                <w:rFonts w:ascii="times new roman " w:hAnsi="times new roman "/>
                <w:b/>
                <w:i w:val="false"/>
                <w:caps w:val="false"/>
                <w:smallCaps w:val="false"/>
                <w:strike w:val="false"/>
                <w:dstrike w:val="false"/>
                <w:color w:val="000000"/>
                <w:sz w:val="24"/>
                <w:szCs w:val="24"/>
                <w:u w:val="none"/>
                <w:effect w:val="none"/>
                <w:shd w:fill="auto" w:val="clear"/>
              </w:rPr>
              <w:t>Actor</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szCs w:val="24"/>
                <w:u w:val="none"/>
                <w:effect w:val="none"/>
                <w:shd w:fill="auto" w:val="clear"/>
              </w:rPr>
            </w:pPr>
            <w:r>
              <w:rPr>
                <w:rFonts w:ascii="times new roman " w:hAnsi="times new roman "/>
                <w:b/>
                <w:i w:val="false"/>
                <w:caps w:val="false"/>
                <w:smallCaps w:val="false"/>
                <w:strike w:val="false"/>
                <w:dstrike w:val="false"/>
                <w:color w:val="000000"/>
                <w:sz w:val="24"/>
                <w:szCs w:val="24"/>
                <w:u w:val="none"/>
                <w:effect w:val="none"/>
                <w:shd w:fill="auto" w:val="clear"/>
              </w:rPr>
              <w:t>Tipo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szCs w:val="24"/>
                <w:u w:val="none"/>
                <w:effect w:val="none"/>
                <w:shd w:fill="auto" w:val="clear"/>
              </w:rPr>
            </w:pPr>
            <w:r>
              <w:rPr>
                <w:rFonts w:ascii="times new roman " w:hAnsi="times new roman "/>
                <w:b/>
                <w:i w:val="false"/>
                <w:caps w:val="false"/>
                <w:smallCaps w:val="false"/>
                <w:strike w:val="false"/>
                <w:dstrike w:val="false"/>
                <w:color w:val="000000"/>
                <w:sz w:val="24"/>
                <w:szCs w:val="24"/>
                <w:u w:val="none"/>
                <w:effect w:val="none"/>
                <w:shd w:fill="auto" w:val="clear"/>
              </w:rPr>
              <w:t>Descripción</w:t>
            </w:r>
          </w:p>
        </w:tc>
      </w:tr>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szCs w:val="24"/>
                <w:u w:val="none"/>
                <w:effect w:val="none"/>
                <w:shd w:fill="auto" w:val="clear"/>
              </w:rPr>
            </w:pPr>
            <w:r>
              <w:rPr>
                <w:rFonts w:ascii="times new roman " w:hAnsi="times new roman "/>
                <w:b/>
                <w:i w:val="false"/>
                <w:caps w:val="false"/>
                <w:smallCaps w:val="false"/>
                <w:strike w:val="false"/>
                <w:dstrike w:val="false"/>
                <w:color w:val="000000"/>
                <w:sz w:val="24"/>
                <w:szCs w:val="24"/>
                <w:u w:val="none"/>
                <w:effect w:val="none"/>
                <w:shd w:fill="auto" w:val="clear"/>
              </w:rPr>
              <w:t>Administrador del Sistema</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bCs w:val="false"/>
                <w:i w:val="false"/>
                <w:caps w:val="false"/>
                <w:smallCaps w:val="false"/>
                <w:strike w:val="false"/>
                <w:dstrike w:val="false"/>
                <w:color w:val="000000"/>
                <w:sz w:val="24"/>
                <w:szCs w:val="24"/>
                <w:u w:val="none"/>
                <w:effect w:val="none"/>
                <w:shd w:fill="auto" w:val="clear"/>
              </w:rPr>
              <w:t>Interno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bCs w:val="false"/>
                <w:i w:val="false"/>
                <w:caps w:val="false"/>
                <w:smallCaps w:val="false"/>
                <w:strike w:val="false"/>
                <w:dstrike w:val="false"/>
                <w:color w:val="000000"/>
                <w:sz w:val="24"/>
                <w:szCs w:val="24"/>
                <w:u w:val="none"/>
                <w:effect w:val="none"/>
                <w:shd w:fill="auto" w:val="clear"/>
              </w:rPr>
              <w:t>Encargado de la configuración general del software, la gestión de usuarios y el control de parámetros operativos para garantizar el correcto funcionamiento del sistema.</w:t>
            </w:r>
          </w:p>
        </w:tc>
      </w:tr>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szCs w:val="24"/>
                <w:u w:val="none"/>
                <w:effect w:val="none"/>
                <w:shd w:fill="auto" w:val="clear"/>
              </w:rPr>
            </w:pPr>
            <w:r>
              <w:rPr>
                <w:rFonts w:ascii="times new roman " w:hAnsi="times new roman "/>
                <w:b/>
                <w:i w:val="false"/>
                <w:caps w:val="false"/>
                <w:smallCaps w:val="false"/>
                <w:strike w:val="false"/>
                <w:dstrike w:val="false"/>
                <w:color w:val="000000"/>
                <w:sz w:val="24"/>
                <w:szCs w:val="24"/>
                <w:u w:val="none"/>
                <w:effect w:val="none"/>
                <w:shd w:fill="auto" w:val="clear"/>
              </w:rPr>
              <w:t>Operador de Recolección</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bCs w:val="false"/>
                <w:i w:val="false"/>
                <w:caps w:val="false"/>
                <w:smallCaps w:val="false"/>
                <w:strike w:val="false"/>
                <w:dstrike w:val="false"/>
                <w:color w:val="000000"/>
                <w:sz w:val="24"/>
                <w:szCs w:val="24"/>
                <w:u w:val="none"/>
                <w:effect w:val="none"/>
                <w:shd w:fill="auto" w:val="clear"/>
              </w:rPr>
              <w:t>Interno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bCs w:val="false"/>
                <w:i w:val="false"/>
                <w:caps w:val="false"/>
                <w:smallCaps w:val="false"/>
                <w:strike w:val="false"/>
                <w:dstrike w:val="false"/>
                <w:color w:val="000000"/>
                <w:sz w:val="24"/>
                <w:szCs w:val="24"/>
                <w:u w:val="none"/>
                <w:effect w:val="none"/>
                <w:shd w:fill="auto" w:val="clear"/>
              </w:rPr>
              <w:t>Personal de campo que consulta las rutas programadas, registra la recolección en tiempo real y reporta novedades o incidencias durante la jornada.</w:t>
            </w:r>
          </w:p>
        </w:tc>
      </w:tr>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szCs w:val="24"/>
                <w:u w:val="none"/>
                <w:effect w:val="none"/>
                <w:shd w:fill="auto" w:val="clear"/>
              </w:rPr>
            </w:pPr>
            <w:r>
              <w:rPr>
                <w:rFonts w:ascii="times new roman " w:hAnsi="times new roman "/>
                <w:b/>
                <w:i w:val="false"/>
                <w:caps w:val="false"/>
                <w:smallCaps w:val="false"/>
                <w:strike w:val="false"/>
                <w:dstrike w:val="false"/>
                <w:color w:val="000000"/>
                <w:sz w:val="24"/>
                <w:szCs w:val="24"/>
                <w:u w:val="none"/>
                <w:effect w:val="none"/>
                <w:shd w:fill="auto" w:val="clear"/>
              </w:rPr>
              <w:t>Técnico Ambiental</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bCs w:val="false"/>
                <w:i w:val="false"/>
                <w:caps w:val="false"/>
                <w:smallCaps w:val="false"/>
                <w:strike w:val="false"/>
                <w:dstrike w:val="false"/>
                <w:color w:val="000000"/>
                <w:sz w:val="24"/>
                <w:szCs w:val="24"/>
                <w:u w:val="none"/>
                <w:effect w:val="none"/>
                <w:shd w:fill="auto" w:val="clear"/>
              </w:rPr>
              <w:t>Interno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bCs w:val="false"/>
                <w:i w:val="false"/>
                <w:caps w:val="false"/>
                <w:smallCaps w:val="false"/>
                <w:strike w:val="false"/>
                <w:dstrike w:val="false"/>
                <w:color w:val="000000"/>
                <w:sz w:val="24"/>
                <w:szCs w:val="24"/>
                <w:u w:val="none"/>
                <w:effect w:val="none"/>
                <w:shd w:fill="auto" w:val="clear"/>
              </w:rPr>
              <w:t>Profesional responsable de auditar la calidad del insumo orgánico, supervisar las fases de transformación y elaborar los indicadores de impacto ambiental.</w:t>
            </w:r>
          </w:p>
        </w:tc>
      </w:tr>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szCs w:val="24"/>
                <w:u w:val="none"/>
                <w:effect w:val="none"/>
                <w:shd w:fill="auto" w:val="clear"/>
              </w:rPr>
            </w:pPr>
            <w:r>
              <w:rPr>
                <w:rFonts w:ascii="times new roman " w:hAnsi="times new roman "/>
                <w:b/>
                <w:i w:val="false"/>
                <w:caps w:val="false"/>
                <w:smallCaps w:val="false"/>
                <w:strike w:val="false"/>
                <w:dstrike w:val="false"/>
                <w:color w:val="000000"/>
                <w:sz w:val="24"/>
                <w:szCs w:val="24"/>
                <w:u w:val="none"/>
                <w:effect w:val="none"/>
                <w:shd w:fill="auto" w:val="clear"/>
              </w:rPr>
              <w:t>Administrador de la Planta</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bCs w:val="false"/>
                <w:i w:val="false"/>
                <w:caps w:val="false"/>
                <w:smallCaps w:val="false"/>
                <w:strike w:val="false"/>
                <w:dstrike w:val="false"/>
                <w:color w:val="000000"/>
                <w:sz w:val="24"/>
                <w:szCs w:val="24"/>
                <w:u w:val="none"/>
                <w:effect w:val="none"/>
                <w:shd w:fill="auto" w:val="clear"/>
              </w:rPr>
              <w:t>Interno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bCs w:val="false"/>
                <w:i w:val="false"/>
                <w:caps w:val="false"/>
                <w:smallCaps w:val="false"/>
                <w:strike w:val="false"/>
                <w:dstrike w:val="false"/>
                <w:color w:val="000000"/>
                <w:sz w:val="24"/>
                <w:szCs w:val="24"/>
                <w:u w:val="none"/>
                <w:effect w:val="none"/>
                <w:shd w:fill="auto" w:val="clear"/>
              </w:rPr>
              <w:t>Gestiona el volumen de residuos que ingresa a la instalación, da seguimiento a las etapas del proceso y controla el stock de compost terminado.</w:t>
            </w:r>
          </w:p>
        </w:tc>
      </w:tr>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szCs w:val="24"/>
                <w:u w:val="none"/>
                <w:effect w:val="none"/>
                <w:shd w:fill="auto" w:val="clear"/>
              </w:rPr>
            </w:pPr>
            <w:r>
              <w:rPr>
                <w:rFonts w:ascii="times new roman " w:hAnsi="times new roman "/>
                <w:b/>
                <w:i w:val="false"/>
                <w:caps w:val="false"/>
                <w:smallCaps w:val="false"/>
                <w:strike w:val="false"/>
                <w:dstrike w:val="false"/>
                <w:color w:val="000000"/>
                <w:sz w:val="24"/>
                <w:szCs w:val="24"/>
                <w:u w:val="none"/>
                <w:effect w:val="none"/>
                <w:shd w:fill="auto" w:val="clear"/>
              </w:rPr>
              <w:t>Cliente Residencial</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bCs w:val="false"/>
                <w:i w:val="false"/>
                <w:caps w:val="false"/>
                <w:smallCaps w:val="false"/>
                <w:strike w:val="false"/>
                <w:dstrike w:val="false"/>
                <w:color w:val="000000"/>
                <w:sz w:val="24"/>
                <w:szCs w:val="24"/>
                <w:u w:val="none"/>
                <w:effect w:val="none"/>
                <w:shd w:fill="auto" w:val="clear"/>
              </w:rPr>
              <w:t>Externo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bCs w:val="false"/>
                <w:i w:val="false"/>
                <w:caps w:val="false"/>
                <w:smallCaps w:val="false"/>
                <w:strike w:val="false"/>
                <w:dstrike w:val="false"/>
                <w:color w:val="000000"/>
                <w:sz w:val="24"/>
                <w:szCs w:val="24"/>
                <w:u w:val="none"/>
                <w:effect w:val="none"/>
                <w:shd w:fill="auto" w:val="clear"/>
              </w:rPr>
              <w:t>Usuario del hogar que dispone sus residuos orgánicos y accede a la plataforma para conocer su historial de entrega y el valor de su aporte ambiental.</w:t>
            </w:r>
          </w:p>
        </w:tc>
      </w:tr>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szCs w:val="24"/>
                <w:u w:val="none"/>
                <w:effect w:val="none"/>
                <w:shd w:fill="auto" w:val="clear"/>
              </w:rPr>
            </w:pPr>
            <w:r>
              <w:rPr>
                <w:rFonts w:ascii="times new roman " w:hAnsi="times new roman "/>
                <w:b/>
                <w:i w:val="false"/>
                <w:caps w:val="false"/>
                <w:smallCaps w:val="false"/>
                <w:strike w:val="false"/>
                <w:dstrike w:val="false"/>
                <w:color w:val="000000"/>
                <w:sz w:val="24"/>
                <w:szCs w:val="24"/>
                <w:u w:val="none"/>
                <w:effect w:val="none"/>
                <w:shd w:fill="auto" w:val="clear"/>
              </w:rPr>
              <w:t>Cliente Comercial</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bCs w:val="false"/>
                <w:i w:val="false"/>
                <w:caps w:val="false"/>
                <w:smallCaps w:val="false"/>
                <w:strike w:val="false"/>
                <w:dstrike w:val="false"/>
                <w:color w:val="000000"/>
                <w:sz w:val="24"/>
                <w:szCs w:val="24"/>
                <w:u w:val="none"/>
                <w:effect w:val="none"/>
                <w:shd w:fill="auto" w:val="clear"/>
              </w:rPr>
              <w:t>Externo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bCs w:val="false"/>
                <w:i w:val="false"/>
                <w:caps w:val="false"/>
                <w:smallCaps w:val="false"/>
                <w:strike w:val="false"/>
                <w:dstrike w:val="false"/>
                <w:color w:val="000000"/>
                <w:sz w:val="24"/>
                <w:szCs w:val="24"/>
                <w:u w:val="none"/>
                <w:effect w:val="none"/>
                <w:shd w:fill="auto" w:val="clear"/>
              </w:rPr>
              <w:t>Negocio o restaurante que gestiona la recolección de sus desechos y consulta métricas específicas sobre la masa orgánica generada por su actividad.</w:t>
            </w:r>
          </w:p>
        </w:tc>
      </w:tr>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szCs w:val="24"/>
                <w:u w:val="none"/>
                <w:effect w:val="none"/>
                <w:shd w:fill="auto" w:val="clear"/>
              </w:rPr>
            </w:pPr>
            <w:r>
              <w:rPr>
                <w:rFonts w:ascii="times new roman " w:hAnsi="times new roman "/>
                <w:b/>
                <w:i w:val="false"/>
                <w:caps w:val="false"/>
                <w:smallCaps w:val="false"/>
                <w:strike w:val="false"/>
                <w:dstrike w:val="false"/>
                <w:color w:val="000000"/>
                <w:sz w:val="24"/>
                <w:szCs w:val="24"/>
                <w:u w:val="none"/>
                <w:effect w:val="none"/>
                <w:shd w:fill="auto" w:val="clear"/>
              </w:rPr>
              <w:t>Gobierno Local</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bCs w:val="false"/>
                <w:i w:val="false"/>
                <w:caps w:val="false"/>
                <w:smallCaps w:val="false"/>
                <w:strike w:val="false"/>
                <w:dstrike w:val="false"/>
                <w:color w:val="000000"/>
                <w:sz w:val="24"/>
                <w:szCs w:val="24"/>
                <w:u w:val="none"/>
                <w:effect w:val="none"/>
                <w:shd w:fill="auto" w:val="clear"/>
              </w:rPr>
              <w:t>Externo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bCs w:val="false"/>
                <w:i w:val="false"/>
                <w:caps w:val="false"/>
                <w:smallCaps w:val="false"/>
                <w:strike w:val="false"/>
                <w:dstrike w:val="false"/>
                <w:color w:val="000000"/>
                <w:sz w:val="24"/>
                <w:szCs w:val="24"/>
                <w:u w:val="none"/>
                <w:effect w:val="none"/>
                <w:shd w:fill="auto" w:val="clear"/>
              </w:rPr>
              <w:t>Entidad fiscalizadora con acceso a reportes e indicadores validados para el seguimiento de las políticas de gestión integral de residuos.</w:t>
            </w:r>
          </w:p>
        </w:tc>
      </w:tr>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szCs w:val="24"/>
                <w:u w:val="none"/>
                <w:effect w:val="none"/>
                <w:shd w:fill="auto" w:val="clear"/>
              </w:rPr>
            </w:pPr>
            <w:r>
              <w:rPr>
                <w:rFonts w:ascii="times new roman " w:hAnsi="times new roman "/>
                <w:b/>
                <w:i w:val="false"/>
                <w:caps w:val="false"/>
                <w:smallCaps w:val="false"/>
                <w:strike w:val="false"/>
                <w:dstrike w:val="false"/>
                <w:color w:val="000000"/>
                <w:sz w:val="24"/>
                <w:szCs w:val="24"/>
                <w:u w:val="none"/>
                <w:effect w:val="none"/>
                <w:shd w:fill="auto" w:val="clear"/>
              </w:rPr>
              <w:t>Comprador de Compost</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bCs w:val="false"/>
                <w:i w:val="false"/>
                <w:caps w:val="false"/>
                <w:smallCaps w:val="false"/>
                <w:strike w:val="false"/>
                <w:dstrike w:val="false"/>
                <w:color w:val="000000"/>
                <w:sz w:val="24"/>
                <w:szCs w:val="24"/>
                <w:u w:val="none"/>
                <w:effect w:val="none"/>
                <w:shd w:fill="auto" w:val="clear"/>
              </w:rPr>
              <w:t>Externo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bCs w:val="false"/>
                <w:i w:val="false"/>
                <w:caps w:val="false"/>
                <w:smallCaps w:val="false"/>
                <w:strike w:val="false"/>
                <w:dstrike w:val="false"/>
                <w:color w:val="000000"/>
                <w:sz w:val="24"/>
                <w:szCs w:val="24"/>
                <w:u w:val="none"/>
                <w:effect w:val="none"/>
                <w:shd w:fill="auto" w:val="clear"/>
              </w:rPr>
              <w:t>Cliente final o empresa interesada en verificar la disponibilidad del fertilizante producido y formalizar pedidos de compra.</w:t>
            </w:r>
          </w:p>
        </w:tc>
      </w:tr>
    </w:tbl>
    <w:p>
      <w:pPr>
        <w:pStyle w:val="Heading3"/>
        <w:bidi w:val="0"/>
        <w:spacing w:lineRule="auto" w:line="331" w:before="280" w:after="80"/>
        <w:ind w:hanging="0" w:start="0" w:end="0"/>
        <w:rPr>
          <w:rFonts w:ascii="times new roman " w:hAnsi="times new roman "/>
          <w:b/>
          <w:i w:val="false"/>
          <w:caps w:val="false"/>
          <w:smallCaps w:val="false"/>
          <w:strike w:val="false"/>
          <w:dstrike w:val="false"/>
          <w:color w:val="000000"/>
          <w:sz w:val="24"/>
          <w:szCs w:val="24"/>
          <w:u w:val="none"/>
          <w:effect w:val="none"/>
          <w:shd w:fill="auto" w:val="clear"/>
        </w:rPr>
      </w:pPr>
      <w:r>
        <w:rPr>
          <w:rFonts w:ascii="times new roman " w:hAnsi="times new roman "/>
          <w:b/>
          <w:i w:val="false"/>
          <w:caps w:val="false"/>
          <w:smallCaps w:val="false"/>
          <w:strike w:val="false"/>
          <w:dstrike w:val="false"/>
          <w:color w:val="000000"/>
          <w:sz w:val="24"/>
          <w:szCs w:val="24"/>
          <w:u w:val="none"/>
          <w:effect w:val="none"/>
          <w:shd w:fill="auto" w:val="clear"/>
        </w:rPr>
        <w:t>1.5 Alcance del Sistema</w:t>
      </w:r>
    </w:p>
    <w:p>
      <w:pPr>
        <w:pStyle w:val="BodyText"/>
        <w:bidi w:val="0"/>
        <w:spacing w:lineRule="auto" w:line="331" w:before="240" w:after="240"/>
        <w:ind w:hanging="0" w:start="0"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t>La plataforma abarcará la gestión integral del ciclo de vida de los residuos orgánicos, desde el alta inicial de los clientes hasta la obtención del producto final en planta.</w:t>
      </w:r>
    </w:p>
    <w:p>
      <w:pPr>
        <w:pStyle w:val="BodyText"/>
        <w:bidi w:val="0"/>
        <w:spacing w:lineRule="auto" w:line="331" w:before="240" w:after="240"/>
        <w:ind w:hanging="0" w:start="0"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t>En esta fase, el software centralizará el registro de hogares y comercios, la trazabilidad de los contenedores asignados, la planificación logística de rutas y la asignación del personal de recolección. Asimismo, permitirá cuantificar el volumen capturado en cada jornada y monitorear el progreso de los lotes a lo largo de las distintas etapas del compostaje. Para la toma de decisiones y el seguimiento del programa, se incluirán herramientas analíticas capaces de consolidar reportes operativos, métricas de producción e indicadores sobre la huella ambiental mitigada, complementadas con un portal de usuarios donde los clientes podrán consultar su historial y visualizar el impacto real de su participación.</w:t>
      </w:r>
    </w:p>
    <w:p>
      <w:pPr>
        <w:pStyle w:val="BodyText"/>
        <w:bidi w:val="0"/>
        <w:spacing w:lineRule="auto" w:line="331" w:before="240" w:after="240"/>
        <w:ind w:hanging="0" w:start="0"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t>Por otro lado, esta primera versión no contempla la comercialización en línea del compost terminado, la integración mediante API con plataformas de entidades gubernamentales ni el monitoreo automatizado de contenedores a través de sensores IoT.</w:t>
      </w:r>
    </w:p>
    <w:p>
      <w:pPr>
        <w:pStyle w:val="Heading3"/>
        <w:bidi w:val="0"/>
        <w:spacing w:lineRule="auto" w:line="331" w:before="240" w:after="240"/>
        <w:ind w:hanging="0" w:start="0" w:end="0"/>
        <w:rPr>
          <w:rFonts w:ascii="times new roman " w:hAnsi="times new roman "/>
          <w:b/>
          <w:i w:val="false"/>
          <w:caps w:val="false"/>
          <w:smallCaps w:val="false"/>
          <w:strike w:val="false"/>
          <w:dstrike w:val="false"/>
          <w:color w:val="000000"/>
          <w:sz w:val="24"/>
          <w:szCs w:val="24"/>
          <w:u w:val="none"/>
          <w:effect w:val="none"/>
          <w:shd w:fill="auto" w:val="clear"/>
        </w:rPr>
      </w:pPr>
      <w:bookmarkStart w:id="2" w:name="docs-internal-guid-1c18147e-7fff-291d-18"/>
      <w:bookmarkEnd w:id="2"/>
      <w:r>
        <w:rPr>
          <w:rFonts w:ascii="times new roman " w:hAnsi="times new roman "/>
          <w:b/>
          <w:i w:val="false"/>
          <w:caps w:val="false"/>
          <w:smallCaps w:val="false"/>
          <w:strike w:val="false"/>
          <w:dstrike w:val="false"/>
          <w:color w:val="000000"/>
          <w:sz w:val="24"/>
          <w:szCs w:val="24"/>
          <w:u w:val="none"/>
          <w:effect w:val="none"/>
          <w:shd w:fill="auto" w:val="clear"/>
        </w:rPr>
        <w:t>1.6 Restricciones</w:t>
      </w:r>
    </w:p>
    <w:p>
      <w:pPr>
        <w:pStyle w:val="BodyText"/>
        <w:numPr>
          <w:ilvl w:val="0"/>
          <w:numId w:val="2"/>
        </w:numPr>
        <w:pBdr/>
        <w:tabs>
          <w:tab w:val="clear" w:pos="708"/>
          <w:tab w:val="left" w:pos="0" w:leader="none"/>
        </w:tabs>
        <w:bidi w:val="0"/>
        <w:spacing w:lineRule="auto" w:line="331" w:before="240" w:after="0"/>
        <w:ind w:hanging="283" w:start="709"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t>El alcance operativo del software se limita de forma exclusiva a la gestión y trazabilidad de residuos de tipo orgánico orientados al proceso de compostaje.</w:t>
      </w:r>
    </w:p>
    <w:p>
      <w:pPr>
        <w:pStyle w:val="BodyText"/>
        <w:numPr>
          <w:ilvl w:val="0"/>
          <w:numId w:val="2"/>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t>El registro de operaciones y la sincronización de datos en tiempo real estarán supeditados a la disponibilidad continua de conectividad a Internet.</w:t>
      </w:r>
    </w:p>
    <w:p>
      <w:pPr>
        <w:pStyle w:val="BodyText"/>
        <w:numPr>
          <w:ilvl w:val="0"/>
          <w:numId w:val="2"/>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t>La periodicidad del servicio no será uniforme, sino que se adaptará a la segmentación por sector y al perfil específico de cada cliente.</w:t>
      </w:r>
    </w:p>
    <w:p>
      <w:pPr>
        <w:pStyle w:val="BodyText"/>
        <w:numPr>
          <w:ilvl w:val="0"/>
          <w:numId w:val="2"/>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t>La efectividad del proceso de transformación estará condicionada a una separación en fuente adecuada por parte de los generadores.</w:t>
      </w:r>
    </w:p>
    <w:p>
      <w:pPr>
        <w:pStyle w:val="BodyText"/>
        <w:numPr>
          <w:ilvl w:val="0"/>
          <w:numId w:val="2"/>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t>El acceso a los módulos de administración y métricas ambientales estará restringido únicamente al personal que cuente con los permisos de seguridad requeridos.</w:t>
      </w:r>
    </w:p>
    <w:p>
      <w:pPr>
        <w:pStyle w:val="BodyText"/>
        <w:numPr>
          <w:ilvl w:val="0"/>
          <w:numId w:val="2"/>
        </w:numPr>
        <w:pBdr/>
        <w:tabs>
          <w:tab w:val="clear" w:pos="708"/>
          <w:tab w:val="left" w:pos="0" w:leader="none"/>
        </w:tabs>
        <w:bidi w:val="0"/>
        <w:spacing w:lineRule="auto" w:line="331" w:before="0" w:after="240"/>
        <w:ind w:hanging="283" w:start="709"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t>La precisión de la analítica y los reportes generados dependerá directamente de la consistencia y veracidad de los datos ingresados por los operadores e inspectores en planta.</w:t>
      </w:r>
    </w:p>
    <w:p>
      <w:pPr>
        <w:pStyle w:val="Heading3"/>
        <w:bidi w:val="0"/>
        <w:spacing w:lineRule="auto" w:line="331" w:before="280" w:after="80"/>
        <w:ind w:hanging="0" w:start="0" w:end="0"/>
        <w:rPr>
          <w:rFonts w:ascii="times new roman " w:hAnsi="times new roman "/>
          <w:b/>
          <w:i w:val="false"/>
          <w:caps w:val="false"/>
          <w:smallCaps w:val="false"/>
          <w:strike w:val="false"/>
          <w:dstrike w:val="false"/>
          <w:color w:val="000000"/>
          <w:sz w:val="24"/>
          <w:szCs w:val="24"/>
          <w:u w:val="none"/>
          <w:effect w:val="none"/>
          <w:shd w:fill="auto" w:val="clear"/>
        </w:rPr>
      </w:pPr>
      <w:r>
        <w:rPr>
          <w:rFonts w:ascii="times new roman " w:hAnsi="times new roman "/>
          <w:b/>
          <w:i w:val="false"/>
          <w:caps w:val="false"/>
          <w:smallCaps w:val="false"/>
          <w:strike w:val="false"/>
          <w:dstrike w:val="false"/>
          <w:color w:val="000000"/>
          <w:sz w:val="24"/>
          <w:szCs w:val="24"/>
          <w:u w:val="none"/>
          <w:effect w:val="none"/>
          <w:shd w:fill="auto" w:val="clear"/>
        </w:rPr>
        <w:t>1.7 Supuestos</w:t>
      </w:r>
    </w:p>
    <w:p>
      <w:pPr>
        <w:pStyle w:val="BodyText"/>
        <w:numPr>
          <w:ilvl w:val="0"/>
          <w:numId w:val="3"/>
        </w:numPr>
        <w:pBdr/>
        <w:tabs>
          <w:tab w:val="clear" w:pos="708"/>
          <w:tab w:val="left" w:pos="0" w:leader="none"/>
        </w:tabs>
        <w:bidi w:val="0"/>
        <w:spacing w:lineRule="auto" w:line="331" w:before="240" w:after="0"/>
        <w:ind w:hanging="283" w:start="709"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t>Se asume que la información proporcionada por los clientes durante el proceso de registro e incorporación es verídica y precisa.</w:t>
      </w:r>
    </w:p>
    <w:p>
      <w:pPr>
        <w:pStyle w:val="BodyText"/>
        <w:numPr>
          <w:ilvl w:val="0"/>
          <w:numId w:val="3"/>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t>Se da por sentado que el personal de campo y los operadores en planta ingresarán los datos operativos de forma oportuna durante sus respectivas jornadas.</w:t>
      </w:r>
    </w:p>
    <w:p>
      <w:pPr>
        <w:pStyle w:val="BodyText"/>
        <w:numPr>
          <w:ilvl w:val="0"/>
          <w:numId w:val="3"/>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t>Se presupone que cada actor del sistema contará con las credenciales de acceso correspondientes y alineadas a sus funciones asignadas.</w:t>
      </w:r>
    </w:p>
    <w:p>
      <w:pPr>
        <w:pStyle w:val="BodyText"/>
        <w:numPr>
          <w:ilvl w:val="0"/>
          <w:numId w:val="3"/>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t>Se contempla que la organización proveerá la infraestructura tecnológica y el soporte de red adecuados para garantizar la alta disponibilidad de la plataforma.</w:t>
      </w:r>
    </w:p>
    <w:p>
      <w:pPr>
        <w:pStyle w:val="BodyText"/>
        <w:numPr>
          <w:ilvl w:val="0"/>
          <w:numId w:val="3"/>
        </w:numPr>
        <w:pBdr/>
        <w:tabs>
          <w:tab w:val="clear" w:pos="708"/>
          <w:tab w:val="left" w:pos="0" w:leader="none"/>
        </w:tabs>
        <w:bidi w:val="0"/>
        <w:spacing w:lineRule="auto" w:line="331" w:before="0" w:after="240"/>
        <w:ind w:hanging="283" w:start="709"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t>Se considera que todo el personal involucrado en la operación habrá completado las sesiones de capacitación previas al uso de la herramienta.</w:t>
      </w:r>
    </w:p>
    <w:p>
      <w:pPr>
        <w:pStyle w:val="BodyText"/>
        <w:pBdr/>
        <w:bidi w:val="0"/>
        <w:spacing w:lineRule="auto" w:line="331" w:before="0" w:after="240"/>
        <w:ind w:hanging="0" w:start="0"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r>
    </w:p>
    <w:p>
      <w:pPr>
        <w:pStyle w:val="BodyText"/>
        <w:pBdr/>
        <w:bidi w:val="0"/>
        <w:spacing w:lineRule="auto" w:line="331" w:before="0" w:after="240"/>
        <w:ind w:hanging="0" w:start="0"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r>
    </w:p>
    <w:p>
      <w:pPr>
        <w:pStyle w:val="Normal"/>
        <w:numPr>
          <w:ilvl w:val="0"/>
          <w:numId w:val="0"/>
        </w:numPr>
        <w:pBdr/>
        <w:bidi w:val="0"/>
        <w:spacing w:lineRule="auto" w:line="331" w:before="0" w:after="240"/>
        <w:ind w:hanging="0" w:start="0" w:end="0"/>
        <w:rPr>
          <w:rFonts w:ascii="times new roman " w:hAnsi="times new roman "/>
          <w:b/>
          <w:i w:val="false"/>
          <w:caps w:val="false"/>
          <w:smallCaps w:val="false"/>
          <w:strike w:val="false"/>
          <w:dstrike w:val="false"/>
          <w:color w:val="000000"/>
          <w:sz w:val="24"/>
          <w:szCs w:val="24"/>
          <w:u w:val="none"/>
          <w:effect w:val="none"/>
          <w:shd w:fill="auto" w:val="clear"/>
        </w:rPr>
      </w:pPr>
      <w:bookmarkStart w:id="3" w:name="docs-internal-guid-cb7f2303-7fff-e1d6-74"/>
      <w:bookmarkEnd w:id="3"/>
      <w:r>
        <w:rPr>
          <w:rFonts w:ascii="times new roman " w:hAnsi="times new roman "/>
          <w:b/>
          <w:i w:val="false"/>
          <w:caps w:val="false"/>
          <w:smallCaps w:val="false"/>
          <w:strike w:val="false"/>
          <w:dstrike w:val="false"/>
          <w:color w:val="000000"/>
          <w:sz w:val="24"/>
          <w:szCs w:val="24"/>
          <w:u w:val="none"/>
          <w:effect w:val="none"/>
          <w:shd w:fill="auto" w:val="clear"/>
        </w:rPr>
        <w:t>2.1 Requisitos Funcionales</w:t>
      </w:r>
    </w:p>
    <w:p>
      <w:pPr>
        <w:pStyle w:val="BodyText"/>
        <w:numPr>
          <w:ilvl w:val="0"/>
          <w:numId w:val="0"/>
        </w:numPr>
        <w:pBdr/>
        <w:bidi w:val="0"/>
        <w:spacing w:lineRule="auto" w:line="331" w:before="0" w:after="240"/>
        <w:ind w:hanging="0" w:start="0" w:end="0"/>
        <w:rPr>
          <w:rFonts w:ascii="times new roman " w:hAnsi="times new roman "/>
          <w:sz w:val="24"/>
          <w:szCs w:val="24"/>
        </w:rPr>
      </w:pPr>
      <w:r>
        <w:rPr>
          <w:rFonts w:ascii="times new roman " w:hAnsi="times new roman "/>
          <w:sz w:val="24"/>
          <w:szCs w:val="24"/>
        </w:rPr>
      </w:r>
    </w:p>
    <w:tbl>
      <w:tblPr>
        <w:tblW w:w="5000" w:type="pct"/>
        <w:jc w:val="start"/>
        <w:tblInd w:w="0" w:type="dxa"/>
        <w:tblLayout w:type="fixed"/>
        <w:tblCellMar>
          <w:top w:w="28" w:type="dxa"/>
          <w:start w:w="28" w:type="dxa"/>
          <w:bottom w:w="28" w:type="dxa"/>
          <w:end w:w="28" w:type="dxa"/>
        </w:tblCellMar>
      </w:tblPr>
      <w:tblGrid>
        <w:gridCol w:w="795"/>
        <w:gridCol w:w="7709"/>
      </w:tblGrid>
      <w:tr>
        <w:trPr>
          <w:tblHeader w:val="true"/>
        </w:trPr>
        <w:tc>
          <w:tcPr>
            <w:tcW w:w="795" w:type="dxa"/>
            <w:tcBorders/>
            <w:vAlign w:val="center"/>
          </w:tcPr>
          <w:p>
            <w:pPr>
              <w:pStyle w:val="Ttulodelatabla"/>
              <w:spacing w:before="0" w:after="160"/>
              <w:rPr>
                <w:rFonts w:ascii="times new roman " w:hAnsi="times new roman "/>
                <w:sz w:val="24"/>
                <w:szCs w:val="24"/>
              </w:rPr>
            </w:pPr>
            <w:r>
              <w:rPr>
                <w:rFonts w:ascii="times new roman " w:hAnsi="times new roman "/>
                <w:sz w:val="24"/>
                <w:szCs w:val="24"/>
              </w:rPr>
              <w:t>Código</w:t>
            </w:r>
          </w:p>
        </w:tc>
        <w:tc>
          <w:tcPr>
            <w:tcW w:w="7709" w:type="dxa"/>
            <w:tcBorders/>
            <w:vAlign w:val="center"/>
          </w:tcPr>
          <w:p>
            <w:pPr>
              <w:pStyle w:val="Ttulodelatabla"/>
              <w:spacing w:before="0" w:after="160"/>
              <w:rPr>
                <w:rFonts w:ascii="times new roman " w:hAnsi="times new roman "/>
                <w:sz w:val="24"/>
                <w:szCs w:val="24"/>
              </w:rPr>
            </w:pPr>
            <w:r>
              <w:rPr>
                <w:rFonts w:ascii="times new roman " w:hAnsi="times new roman "/>
                <w:sz w:val="24"/>
                <w:szCs w:val="24"/>
              </w:rPr>
              <w:t>Requisito Funcional</w:t>
            </w:r>
          </w:p>
        </w:tc>
      </w:tr>
    </w:tbl>
    <w:tbl>
      <w:tblPr>
        <w:tblW w:w="8504" w:type="dxa"/>
        <w:jc w:val="start"/>
        <w:tblInd w:w="0" w:type="dxa"/>
        <w:tblLayout w:type="fixed"/>
        <w:tblCellMar>
          <w:top w:w="28" w:type="dxa"/>
          <w:start w:w="28" w:type="dxa"/>
          <w:bottom w:w="28" w:type="dxa"/>
          <w:end w:w="28" w:type="dxa"/>
        </w:tblCellMar>
      </w:tblPr>
      <w:tblGrid>
        <w:gridCol w:w="765"/>
        <w:gridCol w:w="7739"/>
      </w:tblGrid>
      <w:tr>
        <w:trPr/>
        <w:tc>
          <w:tcPr>
            <w:tcW w:w="765"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RF01</w:t>
            </w:r>
          </w:p>
        </w:tc>
        <w:tc>
          <w:tcPr>
            <w:tcW w:w="7739"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 permitir</w:t>
            </w:r>
            <w:r>
              <w:rPr>
                <w:rFonts w:ascii="times new roman " w:hAnsi="times new roman "/>
                <w:sz w:val="24"/>
                <w:szCs w:val="24"/>
              </w:rPr>
              <w:t xml:space="preserve"> gestionar el alta e incorporación de clientes residenciales y comerciales, capturando su información técnica y de contacto.</w:t>
            </w:r>
          </w:p>
        </w:tc>
      </w:tr>
    </w:tbl>
    <w:tbl>
      <w:tblPr>
        <w:tblW w:w="8504" w:type="dxa"/>
        <w:jc w:val="start"/>
        <w:tblInd w:w="0" w:type="dxa"/>
        <w:tblLayout w:type="fixed"/>
        <w:tblCellMar>
          <w:top w:w="28" w:type="dxa"/>
          <w:start w:w="28" w:type="dxa"/>
          <w:bottom w:w="28" w:type="dxa"/>
          <w:end w:w="28" w:type="dxa"/>
        </w:tblCellMar>
      </w:tblPr>
      <w:tblGrid>
        <w:gridCol w:w="765"/>
        <w:gridCol w:w="7739"/>
      </w:tblGrid>
      <w:tr>
        <w:trPr/>
        <w:tc>
          <w:tcPr>
            <w:tcW w:w="765"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RF02</w:t>
            </w:r>
          </w:p>
        </w:tc>
        <w:tc>
          <w:tcPr>
            <w:tcW w:w="7739"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 permitir</w:t>
            </w:r>
            <w:r>
              <w:rPr>
                <w:rFonts w:ascii="times new roman " w:hAnsi="times new roman "/>
                <w:sz w:val="24"/>
                <w:szCs w:val="24"/>
              </w:rPr>
              <w:t xml:space="preserve"> la actualización, consulta detallada y baja lógica de la información de la base de clientes.</w:t>
            </w:r>
          </w:p>
        </w:tc>
      </w:tr>
    </w:tbl>
    <w:tbl>
      <w:tblPr>
        <w:tblW w:w="5000" w:type="pct"/>
        <w:jc w:val="start"/>
        <w:tblInd w:w="0" w:type="dxa"/>
        <w:tblLayout w:type="fixed"/>
        <w:tblCellMar>
          <w:top w:w="28" w:type="dxa"/>
          <w:start w:w="28" w:type="dxa"/>
          <w:bottom w:w="28" w:type="dxa"/>
          <w:end w:w="28" w:type="dxa"/>
        </w:tblCellMar>
      </w:tblPr>
      <w:tblGrid>
        <w:gridCol w:w="795"/>
        <w:gridCol w:w="7709"/>
      </w:tblGrid>
      <w:tr>
        <w:trPr/>
        <w:tc>
          <w:tcPr>
            <w:tcW w:w="795"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RF03</w:t>
            </w:r>
          </w:p>
        </w:tc>
        <w:tc>
          <w:tcPr>
            <w:tcW w:w="7709"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 permitir</w:t>
            </w:r>
            <w:r>
              <w:rPr>
                <w:rFonts w:ascii="times new roman " w:hAnsi="times new roman "/>
                <w:sz w:val="24"/>
                <w:szCs w:val="24"/>
              </w:rPr>
              <w:t xml:space="preserve"> administrar el inventario y la asignación de contenedores vinculados a cada usuario.</w:t>
            </w:r>
          </w:p>
        </w:tc>
      </w:tr>
    </w:tbl>
    <w:tbl>
      <w:tblPr>
        <w:tblW w:w="8504" w:type="dxa"/>
        <w:jc w:val="start"/>
        <w:tblInd w:w="0" w:type="dxa"/>
        <w:tblLayout w:type="fixed"/>
        <w:tblCellMar>
          <w:top w:w="28" w:type="dxa"/>
          <w:start w:w="28" w:type="dxa"/>
          <w:bottom w:w="28" w:type="dxa"/>
          <w:end w:w="28" w:type="dxa"/>
        </w:tblCellMar>
      </w:tblPr>
      <w:tblGrid>
        <w:gridCol w:w="795"/>
        <w:gridCol w:w="7709"/>
      </w:tblGrid>
      <w:tr>
        <w:trPr/>
        <w:tc>
          <w:tcPr>
            <w:tcW w:w="795"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RF04</w:t>
            </w:r>
          </w:p>
        </w:tc>
        <w:tc>
          <w:tcPr>
            <w:tcW w:w="7709"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 permitir</w:t>
            </w:r>
            <w:r>
              <w:rPr>
                <w:rFonts w:ascii="times new roman " w:hAnsi="times new roman "/>
                <w:sz w:val="24"/>
                <w:szCs w:val="24"/>
              </w:rPr>
              <w:t xml:space="preserve"> planificar las rutas logísticas de recolección en función de la zonificación geográfica y los esquemas de frecuencia establecidos.</w:t>
            </w:r>
          </w:p>
        </w:tc>
      </w:tr>
    </w:tbl>
    <w:tbl>
      <w:tblPr>
        <w:tblW w:w="8504" w:type="dxa"/>
        <w:jc w:val="start"/>
        <w:tblInd w:w="0" w:type="dxa"/>
        <w:tblLayout w:type="fixed"/>
        <w:tblCellMar>
          <w:top w:w="28" w:type="dxa"/>
          <w:start w:w="28" w:type="dxa"/>
          <w:bottom w:w="28" w:type="dxa"/>
          <w:end w:w="28" w:type="dxa"/>
        </w:tblCellMar>
      </w:tblPr>
      <w:tblGrid>
        <w:gridCol w:w="795"/>
        <w:gridCol w:w="7709"/>
      </w:tblGrid>
      <w:tr>
        <w:trPr/>
        <w:tc>
          <w:tcPr>
            <w:tcW w:w="795"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RF05</w:t>
            </w:r>
          </w:p>
        </w:tc>
        <w:tc>
          <w:tcPr>
            <w:tcW w:w="7709"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 permitir</w:t>
            </w:r>
            <w:r>
              <w:rPr>
                <w:rFonts w:ascii="times new roman " w:hAnsi="times new roman "/>
                <w:sz w:val="24"/>
                <w:szCs w:val="24"/>
              </w:rPr>
              <w:t xml:space="preserve"> coordinar la asignación del personal operativo de recolección a las distintas rutas programadas.</w:t>
            </w:r>
          </w:p>
        </w:tc>
      </w:tr>
    </w:tbl>
    <w:tbl>
      <w:tblPr>
        <w:tblW w:w="8504" w:type="dxa"/>
        <w:jc w:val="start"/>
        <w:tblInd w:w="0" w:type="dxa"/>
        <w:tblLayout w:type="fixed"/>
        <w:tblCellMar>
          <w:top w:w="28" w:type="dxa"/>
          <w:start w:w="28" w:type="dxa"/>
          <w:bottom w:w="28" w:type="dxa"/>
          <w:end w:w="28" w:type="dxa"/>
        </w:tblCellMar>
      </w:tblPr>
      <w:tblGrid>
        <w:gridCol w:w="795"/>
        <w:gridCol w:w="7709"/>
      </w:tblGrid>
      <w:tr>
        <w:trPr/>
        <w:tc>
          <w:tcPr>
            <w:tcW w:w="795"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RF06</w:t>
            </w:r>
          </w:p>
        </w:tc>
        <w:tc>
          <w:tcPr>
            <w:tcW w:w="7709"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 permitir</w:t>
            </w:r>
            <w:r>
              <w:rPr>
                <w:rFonts w:ascii="times new roman " w:hAnsi="times new roman "/>
                <w:sz w:val="24"/>
                <w:szCs w:val="24"/>
              </w:rPr>
              <w:t xml:space="preserve"> habilitar la consulta de rutas e itinerarios asignados directamente al personal de campo.</w:t>
            </w:r>
          </w:p>
        </w:tc>
      </w:tr>
    </w:tbl>
    <w:tbl>
      <w:tblPr>
        <w:tblW w:w="8504" w:type="dxa"/>
        <w:jc w:val="start"/>
        <w:tblInd w:w="0" w:type="dxa"/>
        <w:tblLayout w:type="fixed"/>
        <w:tblCellMar>
          <w:top w:w="28" w:type="dxa"/>
          <w:start w:w="28" w:type="dxa"/>
          <w:bottom w:w="28" w:type="dxa"/>
          <w:end w:w="28" w:type="dxa"/>
        </w:tblCellMar>
      </w:tblPr>
      <w:tblGrid>
        <w:gridCol w:w="795"/>
        <w:gridCol w:w="7709"/>
      </w:tblGrid>
      <w:tr>
        <w:trPr/>
        <w:tc>
          <w:tcPr>
            <w:tcW w:w="795"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RF07</w:t>
            </w:r>
          </w:p>
        </w:tc>
        <w:tc>
          <w:tcPr>
            <w:tcW w:w="7709"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 permitir</w:t>
            </w:r>
            <w:r>
              <w:rPr>
                <w:rFonts w:ascii="times new roman " w:hAnsi="times new roman "/>
                <w:sz w:val="24"/>
                <w:szCs w:val="24"/>
              </w:rPr>
              <w:t xml:space="preserve"> registrar la ejecución de cada evento de recolección, dejando trazabilidad de fecha, hora, geolocalización y cliente atendido.</w:t>
            </w:r>
          </w:p>
        </w:tc>
      </w:tr>
    </w:tbl>
    <w:tbl>
      <w:tblPr>
        <w:tblW w:w="8504" w:type="dxa"/>
        <w:jc w:val="start"/>
        <w:tblInd w:w="0" w:type="dxa"/>
        <w:tblLayout w:type="fixed"/>
        <w:tblCellMar>
          <w:top w:w="28" w:type="dxa"/>
          <w:start w:w="28" w:type="dxa"/>
          <w:bottom w:w="28" w:type="dxa"/>
          <w:end w:w="28" w:type="dxa"/>
        </w:tblCellMar>
      </w:tblPr>
      <w:tblGrid>
        <w:gridCol w:w="795"/>
        <w:gridCol w:w="7709"/>
      </w:tblGrid>
      <w:tr>
        <w:trPr/>
        <w:tc>
          <w:tcPr>
            <w:tcW w:w="795"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RF08</w:t>
            </w:r>
          </w:p>
        </w:tc>
        <w:tc>
          <w:tcPr>
            <w:tcW w:w="7709"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 permitir</w:t>
            </w:r>
            <w:r>
              <w:rPr>
                <w:rFonts w:ascii="times new roman " w:hAnsi="times new roman "/>
                <w:sz w:val="24"/>
                <w:szCs w:val="24"/>
              </w:rPr>
              <w:t xml:space="preserve"> capturar la métrica de peso o volumen de los desechos orgánicos recolectados en cada punto de atención.</w:t>
            </w:r>
          </w:p>
        </w:tc>
      </w:tr>
    </w:tbl>
    <w:tbl>
      <w:tblPr>
        <w:tblW w:w="8504" w:type="dxa"/>
        <w:jc w:val="start"/>
        <w:tblInd w:w="0" w:type="dxa"/>
        <w:tblLayout w:type="fixed"/>
        <w:tblCellMar>
          <w:top w:w="28" w:type="dxa"/>
          <w:start w:w="28" w:type="dxa"/>
          <w:bottom w:w="28" w:type="dxa"/>
          <w:end w:w="28" w:type="dxa"/>
        </w:tblCellMar>
      </w:tblPr>
      <w:tblGrid>
        <w:gridCol w:w="795"/>
        <w:gridCol w:w="7709"/>
      </w:tblGrid>
      <w:tr>
        <w:trPr/>
        <w:tc>
          <w:tcPr>
            <w:tcW w:w="795"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RF09</w:t>
            </w:r>
          </w:p>
        </w:tc>
        <w:tc>
          <w:tcPr>
            <w:tcW w:w="7709"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 permitir</w:t>
            </w:r>
            <w:r>
              <w:rPr>
                <w:rFonts w:ascii="times new roman " w:hAnsi="times new roman "/>
                <w:sz w:val="24"/>
                <w:szCs w:val="24"/>
              </w:rPr>
              <w:t xml:space="preserve"> reportar y categorizar eventualidades e incidencias operativas durante la ruta (p. ej., cliente ausente, contaminación de residuos).</w:t>
            </w:r>
          </w:p>
        </w:tc>
      </w:tr>
    </w:tbl>
    <w:tbl>
      <w:tblPr>
        <w:tblW w:w="8504" w:type="dxa"/>
        <w:jc w:val="start"/>
        <w:tblInd w:w="0" w:type="dxa"/>
        <w:tblLayout w:type="fixed"/>
        <w:tblCellMar>
          <w:top w:w="28" w:type="dxa"/>
          <w:start w:w="28" w:type="dxa"/>
          <w:bottom w:w="28" w:type="dxa"/>
          <w:end w:w="28" w:type="dxa"/>
        </w:tblCellMar>
      </w:tblPr>
      <w:tblGrid>
        <w:gridCol w:w="795"/>
        <w:gridCol w:w="7709"/>
      </w:tblGrid>
      <w:tr>
        <w:trPr/>
        <w:tc>
          <w:tcPr>
            <w:tcW w:w="795"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RF10</w:t>
            </w:r>
          </w:p>
        </w:tc>
        <w:tc>
          <w:tcPr>
            <w:tcW w:w="7709"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 garantizar</w:t>
            </w:r>
            <w:r>
              <w:rPr>
                <w:rFonts w:ascii="times new roman " w:hAnsi="times new roman "/>
                <w:sz w:val="24"/>
                <w:szCs w:val="24"/>
              </w:rPr>
              <w:t xml:space="preserve"> la trazabilidad end-to-end de los lotes de residuos, desde el punto de acopio original hasta su recepción en la planta.</w:t>
            </w:r>
          </w:p>
        </w:tc>
      </w:tr>
    </w:tbl>
    <w:tbl>
      <w:tblPr>
        <w:tblW w:w="8504" w:type="dxa"/>
        <w:jc w:val="start"/>
        <w:tblInd w:w="0" w:type="dxa"/>
        <w:tblLayout w:type="fixed"/>
        <w:tblCellMar>
          <w:top w:w="28" w:type="dxa"/>
          <w:start w:w="28" w:type="dxa"/>
          <w:bottom w:w="28" w:type="dxa"/>
          <w:end w:w="28" w:type="dxa"/>
        </w:tblCellMar>
      </w:tblPr>
      <w:tblGrid>
        <w:gridCol w:w="795"/>
        <w:gridCol w:w="7709"/>
      </w:tblGrid>
      <w:tr>
        <w:trPr/>
        <w:tc>
          <w:tcPr>
            <w:tcW w:w="795"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RF11</w:t>
            </w:r>
          </w:p>
        </w:tc>
        <w:tc>
          <w:tcPr>
            <w:tcW w:w="7709"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 permitir</w:t>
            </w:r>
            <w:r>
              <w:rPr>
                <w:rFonts w:ascii="times new roman " w:hAnsi="times new roman "/>
                <w:sz w:val="24"/>
                <w:szCs w:val="24"/>
              </w:rPr>
              <w:t xml:space="preserve"> validar y registrar la recepción de los cargamentos de residuos al momento de su ingreso a la planta de compostaje.</w:t>
            </w:r>
          </w:p>
        </w:tc>
      </w:tr>
    </w:tbl>
    <w:tbl>
      <w:tblPr>
        <w:tblW w:w="8504" w:type="dxa"/>
        <w:jc w:val="start"/>
        <w:tblInd w:w="0" w:type="dxa"/>
        <w:tblLayout w:type="fixed"/>
        <w:tblCellMar>
          <w:top w:w="28" w:type="dxa"/>
          <w:start w:w="28" w:type="dxa"/>
          <w:bottom w:w="28" w:type="dxa"/>
          <w:end w:w="28" w:type="dxa"/>
        </w:tblCellMar>
      </w:tblPr>
      <w:tblGrid>
        <w:gridCol w:w="795"/>
        <w:gridCol w:w="7709"/>
      </w:tblGrid>
      <w:tr>
        <w:trPr/>
        <w:tc>
          <w:tcPr>
            <w:tcW w:w="795"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RF12</w:t>
            </w:r>
          </w:p>
        </w:tc>
        <w:tc>
          <w:tcPr>
            <w:tcW w:w="7709"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 permitir</w:t>
            </w:r>
            <w:r>
              <w:rPr>
                <w:rFonts w:ascii="times new roman " w:hAnsi="times new roman "/>
                <w:sz w:val="24"/>
                <w:szCs w:val="24"/>
              </w:rPr>
              <w:t xml:space="preserve"> dar seguimiento al flujo de trabajo y evolución de cada lote a lo largo de las distintas etapas del tratamiento orgánico.</w:t>
            </w:r>
          </w:p>
        </w:tc>
      </w:tr>
    </w:tbl>
    <w:tbl>
      <w:tblPr>
        <w:tblW w:w="8504" w:type="dxa"/>
        <w:jc w:val="start"/>
        <w:tblInd w:w="0" w:type="dxa"/>
        <w:tblLayout w:type="fixed"/>
        <w:tblCellMar>
          <w:top w:w="28" w:type="dxa"/>
          <w:start w:w="28" w:type="dxa"/>
          <w:bottom w:w="28" w:type="dxa"/>
          <w:end w:w="28" w:type="dxa"/>
        </w:tblCellMar>
      </w:tblPr>
      <w:tblGrid>
        <w:gridCol w:w="795"/>
        <w:gridCol w:w="7709"/>
      </w:tblGrid>
      <w:tr>
        <w:trPr/>
        <w:tc>
          <w:tcPr>
            <w:tcW w:w="795"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RF13</w:t>
            </w:r>
          </w:p>
        </w:tc>
        <w:tc>
          <w:tcPr>
            <w:tcW w:w="7709"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 permitir</w:t>
            </w:r>
            <w:r>
              <w:rPr>
                <w:rFonts w:ascii="times new roman " w:hAnsi="times new roman "/>
                <w:sz w:val="24"/>
                <w:szCs w:val="24"/>
              </w:rPr>
              <w:t xml:space="preserve"> consolidar el volumen de compost final obtenido al término del ciclo de procesamiento de cada lote.</w:t>
            </w:r>
          </w:p>
        </w:tc>
      </w:tr>
    </w:tbl>
    <w:tbl>
      <w:tblPr>
        <w:tblW w:w="8504" w:type="dxa"/>
        <w:jc w:val="start"/>
        <w:tblInd w:w="0" w:type="dxa"/>
        <w:tblLayout w:type="fixed"/>
        <w:tblCellMar>
          <w:top w:w="28" w:type="dxa"/>
          <w:start w:w="28" w:type="dxa"/>
          <w:bottom w:w="28" w:type="dxa"/>
          <w:end w:w="28" w:type="dxa"/>
        </w:tblCellMar>
      </w:tblPr>
      <w:tblGrid>
        <w:gridCol w:w="795"/>
        <w:gridCol w:w="7709"/>
      </w:tblGrid>
      <w:tr>
        <w:trPr/>
        <w:tc>
          <w:tcPr>
            <w:tcW w:w="795"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RF14</w:t>
            </w:r>
          </w:p>
        </w:tc>
        <w:tc>
          <w:tcPr>
            <w:tcW w:w="7709"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 permitir</w:t>
            </w:r>
            <w:r>
              <w:rPr>
                <w:rFonts w:ascii="times new roman " w:hAnsi="times new roman "/>
                <w:sz w:val="24"/>
                <w:szCs w:val="24"/>
              </w:rPr>
              <w:t xml:space="preserve"> procesar automáticamente métricas e indicadores ambientales respecto a la tasa de recuperación de materia prima y rendimiento del producto.</w:t>
            </w:r>
          </w:p>
        </w:tc>
      </w:tr>
    </w:tbl>
    <w:tbl>
      <w:tblPr>
        <w:tblW w:w="8504" w:type="dxa"/>
        <w:jc w:val="start"/>
        <w:tblInd w:w="0" w:type="dxa"/>
        <w:tblLayout w:type="fixed"/>
        <w:tblCellMar>
          <w:top w:w="28" w:type="dxa"/>
          <w:start w:w="28" w:type="dxa"/>
          <w:bottom w:w="28" w:type="dxa"/>
          <w:end w:w="28" w:type="dxa"/>
        </w:tblCellMar>
      </w:tblPr>
      <w:tblGrid>
        <w:gridCol w:w="795"/>
        <w:gridCol w:w="7709"/>
      </w:tblGrid>
      <w:tr>
        <w:trPr/>
        <w:tc>
          <w:tcPr>
            <w:tcW w:w="795"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RF15</w:t>
            </w:r>
          </w:p>
        </w:tc>
        <w:tc>
          <w:tcPr>
            <w:tcW w:w="7709"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 permitir</w:t>
            </w:r>
            <w:r>
              <w:rPr>
                <w:rFonts w:ascii="times new roman " w:hAnsi="times new roman "/>
                <w:sz w:val="24"/>
                <w:szCs w:val="24"/>
              </w:rPr>
              <w:t xml:space="preserve"> consolidar reportes consolidados de recolección parametrizables por rango de fechas, zonas geográficas y segmento de usuario.</w:t>
            </w:r>
          </w:p>
        </w:tc>
      </w:tr>
    </w:tbl>
    <w:tbl>
      <w:tblPr>
        <w:tblW w:w="8504" w:type="dxa"/>
        <w:jc w:val="start"/>
        <w:tblInd w:w="0" w:type="dxa"/>
        <w:tblLayout w:type="fixed"/>
        <w:tblCellMar>
          <w:top w:w="28" w:type="dxa"/>
          <w:start w:w="28" w:type="dxa"/>
          <w:bottom w:w="28" w:type="dxa"/>
          <w:end w:w="28" w:type="dxa"/>
        </w:tblCellMar>
      </w:tblPr>
      <w:tblGrid>
        <w:gridCol w:w="795"/>
        <w:gridCol w:w="7709"/>
      </w:tblGrid>
      <w:tr>
        <w:trPr/>
        <w:tc>
          <w:tcPr>
            <w:tcW w:w="795"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RF16</w:t>
            </w:r>
          </w:p>
        </w:tc>
        <w:tc>
          <w:tcPr>
            <w:tcW w:w="7709"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 permitir</w:t>
            </w:r>
            <w:r>
              <w:rPr>
                <w:rFonts w:ascii="times new roman " w:hAnsi="times new roman "/>
                <w:sz w:val="24"/>
                <w:szCs w:val="24"/>
              </w:rPr>
              <w:t xml:space="preserve"> generar informes analíticos sobre el comportamiento de las fases de compostaje y los niveles de producción alcanzados.</w:t>
            </w:r>
          </w:p>
        </w:tc>
      </w:tr>
    </w:tbl>
    <w:tbl>
      <w:tblPr>
        <w:tblW w:w="8504" w:type="dxa"/>
        <w:jc w:val="start"/>
        <w:tblInd w:w="0" w:type="dxa"/>
        <w:tblLayout w:type="fixed"/>
        <w:tblCellMar>
          <w:top w:w="28" w:type="dxa"/>
          <w:start w:w="28" w:type="dxa"/>
          <w:bottom w:w="28" w:type="dxa"/>
          <w:end w:w="28" w:type="dxa"/>
        </w:tblCellMar>
      </w:tblPr>
      <w:tblGrid>
        <w:gridCol w:w="795"/>
        <w:gridCol w:w="7709"/>
      </w:tblGrid>
      <w:tr>
        <w:trPr/>
        <w:tc>
          <w:tcPr>
            <w:tcW w:w="795"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RF17</w:t>
            </w:r>
          </w:p>
        </w:tc>
        <w:tc>
          <w:tcPr>
            <w:tcW w:w="7709"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 permitir</w:t>
            </w:r>
            <w:r>
              <w:rPr>
                <w:rFonts w:ascii="times new roman " w:hAnsi="times new roman "/>
                <w:sz w:val="24"/>
                <w:szCs w:val="24"/>
              </w:rPr>
              <w:t xml:space="preserve"> proveer un portal de autoconsulta para que los clientes revisen su historial de entregas e interacciones con el servicio.</w:t>
            </w:r>
          </w:p>
        </w:tc>
      </w:tr>
    </w:tbl>
    <w:tbl>
      <w:tblPr>
        <w:tblW w:w="8504" w:type="dxa"/>
        <w:jc w:val="start"/>
        <w:tblInd w:w="0" w:type="dxa"/>
        <w:tblLayout w:type="fixed"/>
        <w:tblCellMar>
          <w:top w:w="28" w:type="dxa"/>
          <w:start w:w="28" w:type="dxa"/>
          <w:bottom w:w="28" w:type="dxa"/>
          <w:end w:w="28" w:type="dxa"/>
        </w:tblCellMar>
      </w:tblPr>
      <w:tblGrid>
        <w:gridCol w:w="795"/>
        <w:gridCol w:w="7709"/>
      </w:tblGrid>
      <w:tr>
        <w:trPr/>
        <w:tc>
          <w:tcPr>
            <w:tcW w:w="795"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RF18</w:t>
            </w:r>
          </w:p>
        </w:tc>
        <w:tc>
          <w:tcPr>
            <w:tcW w:w="7709"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 permitir</w:t>
            </w:r>
            <w:r>
              <w:rPr>
                <w:rFonts w:ascii="times new roman " w:hAnsi="times new roman "/>
                <w:sz w:val="24"/>
                <w:szCs w:val="24"/>
              </w:rPr>
              <w:t xml:space="preserve"> visualizar el impacto ambiental individualizado del cliente en la economía circular mediante dashboards con métricas personalizadas.</w:t>
            </w:r>
          </w:p>
        </w:tc>
      </w:tr>
    </w:tbl>
    <w:tbl>
      <w:tblPr>
        <w:tblW w:w="8504" w:type="dxa"/>
        <w:jc w:val="start"/>
        <w:tblInd w:w="0" w:type="dxa"/>
        <w:tblLayout w:type="fixed"/>
        <w:tblCellMar>
          <w:top w:w="28" w:type="dxa"/>
          <w:start w:w="28" w:type="dxa"/>
          <w:bottom w:w="28" w:type="dxa"/>
          <w:end w:w="28" w:type="dxa"/>
        </w:tblCellMar>
      </w:tblPr>
      <w:tblGrid>
        <w:gridCol w:w="795"/>
        <w:gridCol w:w="7709"/>
      </w:tblGrid>
      <w:tr>
        <w:trPr/>
        <w:tc>
          <w:tcPr>
            <w:tcW w:w="795"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RF19</w:t>
            </w:r>
          </w:p>
        </w:tc>
        <w:tc>
          <w:tcPr>
            <w:tcW w:w="7709"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 permitir</w:t>
            </w:r>
            <w:r>
              <w:rPr>
                <w:rFonts w:ascii="times new roman " w:hAnsi="times new roman "/>
                <w:sz w:val="24"/>
                <w:szCs w:val="24"/>
              </w:rPr>
              <w:t xml:space="preserve"> controlar el acceso, la autenticación y la gestión del ciclo de vida de usuarios, roles y matriz de permisos.</w:t>
            </w:r>
          </w:p>
        </w:tc>
      </w:tr>
    </w:tbl>
    <w:tbl>
      <w:tblPr>
        <w:tblW w:w="8504" w:type="dxa"/>
        <w:jc w:val="start"/>
        <w:tblInd w:w="0" w:type="dxa"/>
        <w:tblLayout w:type="fixed"/>
        <w:tblCellMar>
          <w:top w:w="28" w:type="dxa"/>
          <w:start w:w="28" w:type="dxa"/>
          <w:bottom w:w="28" w:type="dxa"/>
          <w:end w:w="28" w:type="dxa"/>
        </w:tblCellMar>
      </w:tblPr>
      <w:tblGrid>
        <w:gridCol w:w="795"/>
        <w:gridCol w:w="7709"/>
      </w:tblGrid>
      <w:tr>
        <w:trPr/>
        <w:tc>
          <w:tcPr>
            <w:tcW w:w="795"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RF20</w:t>
            </w:r>
          </w:p>
        </w:tc>
        <w:tc>
          <w:tcPr>
            <w:tcW w:w="7709"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 permitir</w:t>
            </w:r>
            <w:r>
              <w:rPr>
                <w:rFonts w:ascii="times new roman " w:hAnsi="times new roman "/>
                <w:sz w:val="24"/>
                <w:szCs w:val="24"/>
              </w:rPr>
              <w:t xml:space="preserve"> descargar informes sobre el impacto ambiental en PDF o Excel para presentarlos fácil ante las revisiones del gobierno.</w:t>
            </w:r>
          </w:p>
        </w:tc>
      </w:tr>
    </w:tbl>
    <w:tbl>
      <w:tblPr>
        <w:tblW w:w="8504" w:type="dxa"/>
        <w:jc w:val="start"/>
        <w:tblInd w:w="0" w:type="dxa"/>
        <w:tblLayout w:type="fixed"/>
        <w:tblCellMar>
          <w:top w:w="28" w:type="dxa"/>
          <w:start w:w="28" w:type="dxa"/>
          <w:bottom w:w="28" w:type="dxa"/>
          <w:end w:w="28" w:type="dxa"/>
        </w:tblCellMar>
      </w:tblPr>
      <w:tblGrid>
        <w:gridCol w:w="795"/>
        <w:gridCol w:w="7709"/>
      </w:tblGrid>
      <w:tr>
        <w:trPr/>
        <w:tc>
          <w:tcPr>
            <w:tcW w:w="795"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RF21</w:t>
            </w:r>
          </w:p>
        </w:tc>
        <w:tc>
          <w:tcPr>
            <w:tcW w:w="7709"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 permitir</w:t>
            </w:r>
            <w:r>
              <w:rPr>
                <w:rFonts w:ascii="times new roman " w:hAnsi="times new roman "/>
                <w:sz w:val="24"/>
                <w:szCs w:val="24"/>
              </w:rPr>
              <w:t xml:space="preserve"> publicar la disponibilidad de inventario de compost terminado para la consulta de clientes corporativos e interesados.</w:t>
            </w:r>
          </w:p>
        </w:tc>
      </w:tr>
    </w:tbl>
    <w:tbl>
      <w:tblPr>
        <w:tblW w:w="8504" w:type="dxa"/>
        <w:jc w:val="start"/>
        <w:tblInd w:w="0" w:type="dxa"/>
        <w:tblLayout w:type="fixed"/>
        <w:tblCellMar>
          <w:top w:w="28" w:type="dxa"/>
          <w:start w:w="28" w:type="dxa"/>
          <w:bottom w:w="28" w:type="dxa"/>
          <w:end w:w="28" w:type="dxa"/>
        </w:tblCellMar>
      </w:tblPr>
      <w:tblGrid>
        <w:gridCol w:w="795"/>
        <w:gridCol w:w="7709"/>
      </w:tblGrid>
      <w:tr>
        <w:trPr/>
        <w:tc>
          <w:tcPr>
            <w:tcW w:w="795"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RF22</w:t>
            </w:r>
          </w:p>
        </w:tc>
        <w:tc>
          <w:tcPr>
            <w:tcW w:w="7709"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 permitir</w:t>
            </w:r>
            <w:r>
              <w:rPr>
                <w:rFonts w:ascii="times new roman " w:hAnsi="times new roman "/>
                <w:sz w:val="24"/>
                <w:szCs w:val="24"/>
              </w:rPr>
              <w:t xml:space="preserve"> recibir y gestionar las solicitudes formales de adquisición de compost emitidas por empresas interesadas.</w:t>
            </w:r>
          </w:p>
        </w:tc>
      </w:tr>
    </w:tbl>
    <w:tbl>
      <w:tblPr>
        <w:tblW w:w="8504" w:type="dxa"/>
        <w:jc w:val="start"/>
        <w:tblInd w:w="0" w:type="dxa"/>
        <w:tblLayout w:type="fixed"/>
        <w:tblCellMar>
          <w:top w:w="28" w:type="dxa"/>
          <w:start w:w="28" w:type="dxa"/>
          <w:bottom w:w="28" w:type="dxa"/>
          <w:end w:w="28" w:type="dxa"/>
        </w:tblCellMar>
      </w:tblPr>
      <w:tblGrid>
        <w:gridCol w:w="795"/>
        <w:gridCol w:w="7709"/>
      </w:tblGrid>
      <w:tr>
        <w:trPr/>
        <w:tc>
          <w:tcPr>
            <w:tcW w:w="795"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RF23</w:t>
            </w:r>
          </w:p>
        </w:tc>
        <w:tc>
          <w:tcPr>
            <w:tcW w:w="7709"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 permitir</w:t>
            </w:r>
            <w:r>
              <w:rPr>
                <w:rFonts w:ascii="times new roman " w:hAnsi="times new roman "/>
                <w:sz w:val="24"/>
                <w:szCs w:val="24"/>
              </w:rPr>
              <w:t xml:space="preserve"> controlar qué puede hacer cada usuario en el sistema según su puesto (Administrador, Operador, Técnico o Cliente), para que cada persona solo entre a las partes que le corresponden.</w:t>
            </w:r>
          </w:p>
        </w:tc>
      </w:tr>
    </w:tbl>
    <w:p>
      <w:pPr>
        <w:pStyle w:val="BodyText"/>
        <w:pBdr/>
        <w:bidi w:val="0"/>
        <w:spacing w:lineRule="auto" w:line="331" w:before="0" w:after="240"/>
        <w:ind w:hanging="0" w:start="0" w:end="0"/>
        <w:rPr>
          <w:rFonts w:ascii="times new roman " w:hAnsi="times new roman "/>
          <w:sz w:val="24"/>
          <w:szCs w:val="24"/>
        </w:rPr>
      </w:pPr>
      <w:r>
        <w:rPr>
          <w:rFonts w:ascii="times new roman " w:hAnsi="times new roman "/>
          <w:sz w:val="24"/>
          <w:szCs w:val="24"/>
        </w:rPr>
      </w:r>
    </w:p>
    <w:p>
      <w:pPr>
        <w:pStyle w:val="BodyText"/>
        <w:pBdr/>
        <w:bidi w:val="0"/>
        <w:spacing w:lineRule="auto" w:line="331" w:before="0" w:after="240"/>
        <w:ind w:hanging="0" w:start="0" w:end="0"/>
        <w:rPr>
          <w:rFonts w:ascii="times new roman " w:hAnsi="times new roman "/>
          <w:b/>
          <w:bCs/>
          <w:sz w:val="24"/>
          <w:szCs w:val="24"/>
        </w:rPr>
      </w:pPr>
      <w:r>
        <w:rPr>
          <w:rFonts w:ascii="times new roman " w:hAnsi="times new roman "/>
          <w:b/>
          <w:bCs/>
          <w:sz w:val="24"/>
          <w:szCs w:val="24"/>
        </w:rPr>
        <w:t>2.2 Requisitos No Funcionales</w:t>
      </w:r>
    </w:p>
    <w:p>
      <w:pPr>
        <w:pStyle w:val="BodyText"/>
        <w:pBdr/>
        <w:bidi w:val="0"/>
        <w:spacing w:lineRule="auto" w:line="331" w:before="0" w:after="240"/>
        <w:ind w:hanging="0" w:start="0" w:end="0"/>
        <w:rPr>
          <w:rFonts w:ascii="times new roman " w:hAnsi="times new roman "/>
          <w:b/>
          <w:bCs/>
          <w:sz w:val="24"/>
          <w:szCs w:val="24"/>
        </w:rPr>
      </w:pPr>
      <w:r>
        <w:rPr>
          <w:rFonts w:ascii="times new roman " w:hAnsi="times new roman "/>
          <w:b/>
          <w:bCs/>
          <w:sz w:val="24"/>
          <w:szCs w:val="24"/>
        </w:rPr>
      </w:r>
    </w:p>
    <w:tbl>
      <w:tblPr>
        <w:tblW w:w="8504" w:type="dxa"/>
        <w:jc w:val="start"/>
        <w:tblInd w:w="0" w:type="dxa"/>
        <w:tblLayout w:type="fixed"/>
        <w:tblCellMar>
          <w:top w:w="28" w:type="dxa"/>
          <w:start w:w="28" w:type="dxa"/>
          <w:bottom w:w="28" w:type="dxa"/>
          <w:end w:w="28" w:type="dxa"/>
        </w:tblCellMar>
      </w:tblPr>
      <w:tblGrid>
        <w:gridCol w:w="1020"/>
        <w:gridCol w:w="7484"/>
      </w:tblGrid>
      <w:tr>
        <w:trPr/>
        <w:tc>
          <w:tcPr>
            <w:tcW w:w="1020" w:type="dxa"/>
            <w:tcBorders/>
            <w:vAlign w:val="center"/>
          </w:tcPr>
          <w:p>
            <w:pPr>
              <w:pStyle w:val="Ttulodelatabla"/>
              <w:spacing w:before="0" w:after="160"/>
              <w:rPr>
                <w:rFonts w:ascii="times new roman " w:hAnsi="times new roman "/>
                <w:sz w:val="24"/>
                <w:szCs w:val="24"/>
              </w:rPr>
            </w:pPr>
            <w:r>
              <w:rPr>
                <w:rFonts w:ascii="times new roman " w:hAnsi="times new roman "/>
                <w:sz w:val="24"/>
                <w:szCs w:val="24"/>
              </w:rPr>
              <w:t>Código</w:t>
            </w:r>
          </w:p>
        </w:tc>
        <w:tc>
          <w:tcPr>
            <w:tcW w:w="7484" w:type="dxa"/>
            <w:tcBorders/>
            <w:vAlign w:val="center"/>
          </w:tcPr>
          <w:p>
            <w:pPr>
              <w:pStyle w:val="Ttulodelatabla"/>
              <w:spacing w:before="0" w:after="160"/>
              <w:rPr>
                <w:rFonts w:ascii="times new roman " w:hAnsi="times new roman "/>
                <w:sz w:val="24"/>
                <w:szCs w:val="24"/>
              </w:rPr>
            </w:pPr>
            <w:r>
              <w:rPr>
                <w:rFonts w:ascii="times new roman " w:hAnsi="times new roman "/>
                <w:sz w:val="24"/>
                <w:szCs w:val="24"/>
              </w:rPr>
              <w:t>Requisito No Funcional</w:t>
            </w:r>
          </w:p>
        </w:tc>
      </w:tr>
      <w:tr>
        <w:trPr/>
        <w:tc>
          <w:tcPr>
            <w:tcW w:w="1020"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RNF01</w:t>
            </w:r>
          </w:p>
        </w:tc>
        <w:tc>
          <w:tcPr>
            <w:tcW w:w="7484"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w:t>
            </w:r>
            <w:r>
              <w:rPr>
                <w:rFonts w:ascii="times new roman " w:hAnsi="times new roman "/>
                <w:sz w:val="24"/>
                <w:szCs w:val="24"/>
              </w:rPr>
              <w:t xml:space="preserve"> implementar un esquema de autenticación obligatorio basado en credenciales únicas (usuario y contraseña) para el ingreso a la plataforma.</w:t>
            </w:r>
          </w:p>
        </w:tc>
      </w:tr>
      <w:tr>
        <w:trPr/>
        <w:tc>
          <w:tcPr>
            <w:tcW w:w="1020"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RNF02</w:t>
            </w:r>
          </w:p>
        </w:tc>
        <w:tc>
          <w:tcPr>
            <w:tcW w:w="7484"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w:t>
            </w:r>
            <w:r>
              <w:rPr>
                <w:rFonts w:ascii="times new roman " w:hAnsi="times new roman "/>
                <w:sz w:val="24"/>
                <w:szCs w:val="24"/>
              </w:rPr>
              <w:t xml:space="preserve"> garantizar la confidencialidad de la información en tránsito mediante el cifrado del canal de comunicación utilizando el protocolo HTTPS (TLS/SSL).</w:t>
            </w:r>
          </w:p>
        </w:tc>
      </w:tr>
      <w:tr>
        <w:trPr/>
        <w:tc>
          <w:tcPr>
            <w:tcW w:w="1020"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RNF03</w:t>
            </w:r>
          </w:p>
        </w:tc>
        <w:tc>
          <w:tcPr>
            <w:tcW w:w="7484"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w:t>
            </w:r>
            <w:r>
              <w:rPr>
                <w:rFonts w:ascii="times new roman " w:hAnsi="times new roman "/>
                <w:sz w:val="24"/>
                <w:szCs w:val="24"/>
              </w:rPr>
              <w:t xml:space="preserve"> aplicar algoritmos de hashing y cifrado robustos para el almacenamiento seguro de las contraseñas de los usuarios en la base de datos.</w:t>
            </w:r>
          </w:p>
        </w:tc>
      </w:tr>
      <w:tr>
        <w:trPr/>
        <w:tc>
          <w:tcPr>
            <w:tcW w:w="1020"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RNF04</w:t>
            </w:r>
          </w:p>
        </w:tc>
        <w:tc>
          <w:tcPr>
            <w:tcW w:w="7484"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w:t>
            </w:r>
            <w:r>
              <w:rPr>
                <w:rFonts w:ascii="times new roman " w:hAnsi="times new roman "/>
                <w:sz w:val="24"/>
                <w:szCs w:val="24"/>
              </w:rPr>
              <w:t xml:space="preserve"> enforzar el principio de menor privilegio mediante un control de acceso basado en roles (RBAC), restringiendo las vistas y funciones según el perfil asignado.</w:t>
            </w:r>
          </w:p>
        </w:tc>
      </w:tr>
      <w:tr>
        <w:trPr/>
        <w:tc>
          <w:tcPr>
            <w:tcW w:w="1020"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RNF05</w:t>
            </w:r>
          </w:p>
        </w:tc>
        <w:tc>
          <w:tcPr>
            <w:tcW w:w="7484"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w:t>
            </w:r>
            <w:r>
              <w:rPr>
                <w:rFonts w:ascii="times new roman " w:hAnsi="times new roman "/>
                <w:sz w:val="24"/>
                <w:szCs w:val="24"/>
              </w:rPr>
              <w:t xml:space="preserve"> asegurar una tasa de disponibilidad del servicio (SLA) de al menos el 99 % dentro de la ventana de operación productiva.</w:t>
            </w:r>
          </w:p>
        </w:tc>
      </w:tr>
      <w:tr>
        <w:trPr/>
        <w:tc>
          <w:tcPr>
            <w:tcW w:w="1020"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RNF06</w:t>
            </w:r>
          </w:p>
        </w:tc>
        <w:tc>
          <w:tcPr>
            <w:tcW w:w="7484"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w:t>
            </w:r>
            <w:r>
              <w:rPr>
                <w:rFonts w:ascii="times new roman " w:hAnsi="times new roman "/>
                <w:sz w:val="24"/>
                <w:szCs w:val="24"/>
              </w:rPr>
              <w:t xml:space="preserve"> mantener tiempos de respuesta de cara al usuario inferiores a 3 segundos para transacciones y consultas estándar bajo carga habitual.</w:t>
            </w:r>
          </w:p>
        </w:tc>
      </w:tr>
      <w:tr>
        <w:trPr/>
        <w:tc>
          <w:tcPr>
            <w:tcW w:w="1020"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RNF07</w:t>
            </w:r>
          </w:p>
        </w:tc>
        <w:tc>
          <w:tcPr>
            <w:tcW w:w="7484"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w:t>
            </w:r>
            <w:r>
              <w:rPr>
                <w:rFonts w:ascii="times new roman " w:hAnsi="times new roman "/>
                <w:sz w:val="24"/>
                <w:szCs w:val="24"/>
              </w:rPr>
              <w:t xml:space="preserve"> garantizar la escalabilidad del sistema para absorber el incremento gradual de usuarios y el volumen transaccional sin degradar la experiencia de uso.</w:t>
            </w:r>
          </w:p>
        </w:tc>
      </w:tr>
      <w:tr>
        <w:trPr/>
        <w:tc>
          <w:tcPr>
            <w:tcW w:w="1020"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RNF08</w:t>
            </w:r>
          </w:p>
        </w:tc>
        <w:tc>
          <w:tcPr>
            <w:tcW w:w="7484"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w:t>
            </w:r>
            <w:r>
              <w:rPr>
                <w:rFonts w:ascii="times new roman " w:hAnsi="times new roman "/>
                <w:sz w:val="24"/>
                <w:szCs w:val="24"/>
              </w:rPr>
              <w:t xml:space="preserve"> diseñar una interfaz de usuario (UI/UX) intuitiva, consistente y orientada a minimizar la curva de aprendizaje de los distintos perfiles de usuario.</w:t>
            </w:r>
          </w:p>
        </w:tc>
      </w:tr>
      <w:tr>
        <w:trPr/>
        <w:tc>
          <w:tcPr>
            <w:tcW w:w="1020"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RNF09</w:t>
            </w:r>
          </w:p>
        </w:tc>
        <w:tc>
          <w:tcPr>
            <w:tcW w:w="7484"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w:t>
            </w:r>
            <w:r>
              <w:rPr>
                <w:rFonts w:ascii="times new roman " w:hAnsi="times new roman "/>
                <w:sz w:val="24"/>
                <w:szCs w:val="24"/>
              </w:rPr>
              <w:t xml:space="preserve"> asegurar la compatibilidad e interoperabilidad de la aplicación web en los principales navegadores del mercado (Chrome, Edge, Firefox, Safari).</w:t>
            </w:r>
          </w:p>
        </w:tc>
      </w:tr>
      <w:tr>
        <w:trPr/>
        <w:tc>
          <w:tcPr>
            <w:tcW w:w="1020"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RNF10</w:t>
            </w:r>
          </w:p>
        </w:tc>
        <w:tc>
          <w:tcPr>
            <w:tcW w:w="7484"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w:t>
            </w:r>
            <w:r>
              <w:rPr>
                <w:rFonts w:ascii="times new roman " w:hAnsi="times new roman "/>
                <w:sz w:val="24"/>
                <w:szCs w:val="24"/>
              </w:rPr>
              <w:t xml:space="preserve"> incorporar un diseño adaptativo (responsive design) que ajuste la interfaz a múltiples resoluciones y tipos de dispositivos (escritorio, tabletas y móviles).</w:t>
            </w:r>
          </w:p>
        </w:tc>
      </w:tr>
      <w:tr>
        <w:trPr/>
        <w:tc>
          <w:tcPr>
            <w:tcW w:w="1020"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RNF11</w:t>
            </w:r>
          </w:p>
        </w:tc>
        <w:tc>
          <w:tcPr>
            <w:tcW w:w="7484"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w:t>
            </w:r>
            <w:r>
              <w:rPr>
                <w:rFonts w:ascii="times new roman " w:hAnsi="times new roman "/>
                <w:sz w:val="24"/>
                <w:szCs w:val="24"/>
              </w:rPr>
              <w:t xml:space="preserve"> programar un esquema automatizado de respaldos periódicos de la base de datos para prevenir la pérdida imprevista de información.</w:t>
            </w:r>
          </w:p>
        </w:tc>
      </w:tr>
      <w:tr>
        <w:trPr/>
        <w:tc>
          <w:tcPr>
            <w:tcW w:w="1020"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RNF12</w:t>
            </w:r>
          </w:p>
        </w:tc>
        <w:tc>
          <w:tcPr>
            <w:tcW w:w="7484"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w:t>
            </w:r>
            <w:r>
              <w:rPr>
                <w:rFonts w:ascii="times new roman " w:hAnsi="times new roman "/>
                <w:sz w:val="24"/>
                <w:szCs w:val="24"/>
              </w:rPr>
              <w:t xml:space="preserve"> registrar las operaciones críticas y eventos del sistema en una bitácora de auditoría inmutable para fines de trazabilidad y seguridad.</w:t>
            </w:r>
          </w:p>
        </w:tc>
      </w:tr>
      <w:tr>
        <w:trPr/>
        <w:tc>
          <w:tcPr>
            <w:tcW w:w="1020"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RNF13</w:t>
            </w:r>
          </w:p>
        </w:tc>
        <w:tc>
          <w:tcPr>
            <w:tcW w:w="7484"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w:t>
            </w:r>
            <w:r>
              <w:rPr>
                <w:rFonts w:ascii="times new roman " w:hAnsi="times new roman "/>
                <w:sz w:val="24"/>
                <w:szCs w:val="24"/>
              </w:rPr>
              <w:t xml:space="preserve"> adoptar patrones de diseño y estándares de código que faciliten el mantenimiento, el refactorizado y la adición de nuevas capacidades operativas.</w:t>
            </w:r>
          </w:p>
        </w:tc>
      </w:tr>
      <w:tr>
        <w:trPr/>
        <w:tc>
          <w:tcPr>
            <w:tcW w:w="1020"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RNF14</w:t>
            </w:r>
          </w:p>
        </w:tc>
        <w:tc>
          <w:tcPr>
            <w:tcW w:w="7484"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w:t>
            </w:r>
            <w:r>
              <w:rPr>
                <w:rFonts w:ascii="times new roman " w:hAnsi="times new roman "/>
                <w:sz w:val="24"/>
                <w:szCs w:val="24"/>
              </w:rPr>
              <w:t xml:space="preserve"> contar con mecanismos de recuperación ante fallos (Disaster Recovery) que aseguren un tiempo de restablecimiento óptimo con un RPO cercano a cero.</w:t>
            </w:r>
          </w:p>
        </w:tc>
      </w:tr>
      <w:tr>
        <w:trPr/>
        <w:tc>
          <w:tcPr>
            <w:tcW w:w="1020"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RNF15</w:t>
            </w:r>
          </w:p>
        </w:tc>
        <w:tc>
          <w:tcPr>
            <w:tcW w:w="7484" w:type="dxa"/>
            <w:tcBorders/>
            <w:vAlign w:val="center"/>
          </w:tcPr>
          <w:p>
            <w:pPr>
              <w:pStyle w:val="Contenidodelatabla"/>
              <w:widowControl w:val="false"/>
              <w:suppressLineNumbers/>
              <w:spacing w:before="0" w:after="160"/>
              <w:rPr/>
            </w:pPr>
            <w:r>
              <w:rPr>
                <w:rStyle w:val="Strong"/>
                <w:rFonts w:ascii="times new roman " w:hAnsi="times new roman "/>
                <w:sz w:val="24"/>
                <w:szCs w:val="24"/>
              </w:rPr>
              <w:t>El sistema debe</w:t>
            </w:r>
            <w:r>
              <w:rPr>
                <w:rFonts w:ascii="times new roman " w:hAnsi="times new roman "/>
                <w:sz w:val="24"/>
                <w:szCs w:val="24"/>
              </w:rPr>
              <w:t xml:space="preserve"> organizar el sistema en partes independientes usando contenedores de Docker y conectarlas con Docker Compose, para que cada componente se pueda instalar o actualizar sin afectar a los demás.</w:t>
            </w:r>
          </w:p>
        </w:tc>
      </w:tr>
    </w:tbl>
    <w:p>
      <w:pPr>
        <w:pStyle w:val="BodyText"/>
        <w:pBdr/>
        <w:bidi w:val="0"/>
        <w:spacing w:lineRule="auto" w:line="331" w:before="0" w:after="240"/>
        <w:ind w:hanging="0" w:start="0" w:end="0"/>
        <w:rPr>
          <w:rFonts w:ascii="times new roman " w:hAnsi="times new roman "/>
          <w:b/>
          <w:bCs/>
          <w:sz w:val="24"/>
          <w:szCs w:val="24"/>
        </w:rPr>
      </w:pPr>
      <w:r>
        <w:rPr>
          <w:rFonts w:ascii="times new roman " w:hAnsi="times new roman "/>
          <w:b/>
          <w:bCs/>
          <w:sz w:val="24"/>
          <w:szCs w:val="24"/>
        </w:rPr>
      </w:r>
    </w:p>
    <w:p>
      <w:pPr>
        <w:pStyle w:val="BodyText"/>
        <w:pBdr/>
        <w:bidi w:val="0"/>
        <w:spacing w:lineRule="auto" w:line="331" w:before="0" w:after="240"/>
        <w:ind w:hanging="0" w:start="0" w:end="0"/>
        <w:rPr>
          <w:rFonts w:ascii="times new roman " w:hAnsi="times new roman "/>
          <w:sz w:val="24"/>
          <w:szCs w:val="24"/>
        </w:rPr>
      </w:pPr>
      <w:r>
        <w:rPr>
          <w:rFonts w:ascii="times new roman " w:hAnsi="times new roman "/>
          <w:sz w:val="24"/>
          <w:szCs w:val="24"/>
        </w:rPr>
      </w:r>
    </w:p>
    <w:p>
      <w:pPr>
        <w:pStyle w:val="BodyText"/>
        <w:pBdr/>
        <w:bidi w:val="0"/>
        <w:spacing w:lineRule="auto" w:line="331" w:before="0" w:after="240"/>
        <w:ind w:hanging="0" w:start="0" w:end="0"/>
        <w:rPr>
          <w:rFonts w:ascii="times new roman " w:hAnsi="times new roman "/>
          <w:sz w:val="24"/>
          <w:szCs w:val="24"/>
        </w:rPr>
      </w:pPr>
      <w:r>
        <w:rPr>
          <w:rFonts w:ascii="times new roman " w:hAnsi="times new roman "/>
          <w:sz w:val="24"/>
          <w:szCs w:val="24"/>
        </w:rPr>
      </w:r>
    </w:p>
    <w:sectPr>
      <w:type w:val="nextPage"/>
      <w:pgSz w:w="11906" w:h="16838"/>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times new roman ">
    <w:charset w:val="01"/>
    <w:family w:val="roman"/>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C"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s-EC"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2"/>
      <w:lang w:val="es-EC" w:eastAsia="en-US" w:bidi="ar-SA"/>
      <w14:ligatures w14:val="standardContextual"/>
    </w:rPr>
  </w:style>
  <w:style w:type="paragraph" w:styleId="Heading1">
    <w:name w:val="heading 1"/>
    <w:basedOn w:val="Normal"/>
    <w:next w:val="Normal"/>
    <w:link w:val="Ttulo1Car"/>
    <w:uiPriority w:val="9"/>
    <w:qFormat/>
    <w:rsid w:val="002a75f3"/>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tulo2Car"/>
    <w:uiPriority w:val="9"/>
    <w:semiHidden/>
    <w:unhideWhenUsed/>
    <w:qFormat/>
    <w:rsid w:val="002a75f3"/>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tulo3Car"/>
    <w:uiPriority w:val="9"/>
    <w:semiHidden/>
    <w:unhideWhenUsed/>
    <w:qFormat/>
    <w:rsid w:val="002a75f3"/>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tulo4Car"/>
    <w:uiPriority w:val="9"/>
    <w:semiHidden/>
    <w:unhideWhenUsed/>
    <w:qFormat/>
    <w:rsid w:val="002a75f3"/>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tulo5Car"/>
    <w:uiPriority w:val="9"/>
    <w:semiHidden/>
    <w:unhideWhenUsed/>
    <w:qFormat/>
    <w:rsid w:val="002a75f3"/>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tulo6Car"/>
    <w:uiPriority w:val="9"/>
    <w:semiHidden/>
    <w:unhideWhenUsed/>
    <w:qFormat/>
    <w:rsid w:val="002a75f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2a75f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2a75f3"/>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2a75f3"/>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tulo1Car" w:customStyle="1">
    <w:name w:val="Título 1 Car"/>
    <w:basedOn w:val="DefaultParagraphFont"/>
    <w:uiPriority w:val="9"/>
    <w:qFormat/>
    <w:rsid w:val="002a75f3"/>
    <w:rPr>
      <w:rFonts w:ascii="Calibri Light" w:hAnsi="Calibri Light" w:eastAsia="" w:cs="" w:asciiTheme="majorHAnsi" w:cstheme="majorBidi" w:eastAsiaTheme="majorEastAsia" w:hAnsiTheme="majorHAnsi"/>
      <w:color w:themeColor="accent1" w:themeShade="bf" w:val="2F5496"/>
      <w:sz w:val="40"/>
      <w:szCs w:val="40"/>
    </w:rPr>
  </w:style>
  <w:style w:type="character" w:styleId="Ttulo2Car" w:customStyle="1">
    <w:name w:val="Título 2 Car"/>
    <w:basedOn w:val="DefaultParagraphFont"/>
    <w:uiPriority w:val="9"/>
    <w:semiHidden/>
    <w:qFormat/>
    <w:rsid w:val="002a75f3"/>
    <w:rPr>
      <w:rFonts w:ascii="Calibri Light" w:hAnsi="Calibri Light" w:eastAsia="" w:cs="" w:asciiTheme="majorHAnsi" w:cstheme="majorBidi" w:eastAsiaTheme="majorEastAsia" w:hAnsiTheme="majorHAnsi"/>
      <w:color w:themeColor="accent1" w:themeShade="bf" w:val="2F5496"/>
      <w:sz w:val="32"/>
      <w:szCs w:val="32"/>
    </w:rPr>
  </w:style>
  <w:style w:type="character" w:styleId="Ttulo3Car" w:customStyle="1">
    <w:name w:val="Título 3 Car"/>
    <w:basedOn w:val="DefaultParagraphFont"/>
    <w:uiPriority w:val="9"/>
    <w:semiHidden/>
    <w:qFormat/>
    <w:rsid w:val="002a75f3"/>
    <w:rPr>
      <w:rFonts w:eastAsia="" w:cs="" w:cstheme="majorBidi" w:eastAsiaTheme="majorEastAsia"/>
      <w:color w:themeColor="accent1" w:themeShade="bf" w:val="2F5496"/>
      <w:sz w:val="28"/>
      <w:szCs w:val="28"/>
    </w:rPr>
  </w:style>
  <w:style w:type="character" w:styleId="Ttulo4Car" w:customStyle="1">
    <w:name w:val="Título 4 Car"/>
    <w:basedOn w:val="DefaultParagraphFont"/>
    <w:uiPriority w:val="9"/>
    <w:semiHidden/>
    <w:qFormat/>
    <w:rsid w:val="002a75f3"/>
    <w:rPr>
      <w:rFonts w:eastAsia="" w:cs="" w:cstheme="majorBidi" w:eastAsiaTheme="majorEastAsia"/>
      <w:i/>
      <w:iCs/>
      <w:color w:themeColor="accent1" w:themeShade="bf" w:val="2F5496"/>
    </w:rPr>
  </w:style>
  <w:style w:type="character" w:styleId="Ttulo5Car" w:customStyle="1">
    <w:name w:val="Título 5 Car"/>
    <w:basedOn w:val="DefaultParagraphFont"/>
    <w:uiPriority w:val="9"/>
    <w:semiHidden/>
    <w:qFormat/>
    <w:rsid w:val="002a75f3"/>
    <w:rPr>
      <w:rFonts w:eastAsia="" w:cs="" w:cstheme="majorBidi" w:eastAsiaTheme="majorEastAsia"/>
      <w:color w:themeColor="accent1" w:themeShade="bf" w:val="2F5496"/>
    </w:rPr>
  </w:style>
  <w:style w:type="character" w:styleId="Ttulo6Car" w:customStyle="1">
    <w:name w:val="Título 6 Car"/>
    <w:basedOn w:val="DefaultParagraphFont"/>
    <w:uiPriority w:val="9"/>
    <w:semiHidden/>
    <w:qFormat/>
    <w:rsid w:val="002a75f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2a75f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2a75f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2a75f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2a75f3"/>
    <w:rPr>
      <w:rFonts w:ascii="Calibri Light" w:hAnsi="Calibri Light"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2a75f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2a75f3"/>
    <w:rPr>
      <w:i/>
      <w:iCs/>
      <w:color w:themeColor="text1" w:themeTint="bf" w:val="404040"/>
    </w:rPr>
  </w:style>
  <w:style w:type="character" w:styleId="IntenseEmphasis">
    <w:name w:val="Intense Emphasis"/>
    <w:basedOn w:val="DefaultParagraphFont"/>
    <w:uiPriority w:val="21"/>
    <w:qFormat/>
    <w:rsid w:val="002a75f3"/>
    <w:rPr>
      <w:i/>
      <w:iCs/>
      <w:color w:themeColor="accent1" w:themeShade="bf" w:val="2F5496"/>
    </w:rPr>
  </w:style>
  <w:style w:type="character" w:styleId="CitadestacadaCar" w:customStyle="1">
    <w:name w:val="Cita destacada Car"/>
    <w:basedOn w:val="DefaultParagraphFont"/>
    <w:link w:val="IntenseQuote"/>
    <w:uiPriority w:val="30"/>
    <w:qFormat/>
    <w:rsid w:val="002a75f3"/>
    <w:rPr>
      <w:i/>
      <w:iCs/>
      <w:color w:themeColor="accent1" w:themeShade="bf" w:val="2F5496"/>
    </w:rPr>
  </w:style>
  <w:style w:type="character" w:styleId="IntenseReference">
    <w:name w:val="Intense Reference"/>
    <w:basedOn w:val="DefaultParagraphFont"/>
    <w:uiPriority w:val="32"/>
    <w:qFormat/>
    <w:rsid w:val="002a75f3"/>
    <w:rPr>
      <w:b/>
      <w:bCs/>
      <w:smallCaps/>
      <w:color w:themeColor="accent1" w:themeShade="bf" w:val="2F5496"/>
      <w:spacing w:val="5"/>
    </w:rPr>
  </w:style>
  <w:style w:type="character" w:styleId="Bolos">
    <w:name w:val="Bolos"/>
    <w:qFormat/>
    <w:rPr>
      <w:rFonts w:ascii="OpenSymbol" w:hAnsi="OpenSymbol" w:eastAsia="OpenSymbol" w:cs="OpenSymbol"/>
    </w:rPr>
  </w:style>
  <w:style w:type="character" w:styleId="Strong">
    <w:name w:val="Strong"/>
    <w:qFormat/>
    <w:rPr>
      <w:b/>
      <w:bC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link w:val="TtuloCar"/>
    <w:uiPriority w:val="10"/>
    <w:qFormat/>
    <w:rsid w:val="002a75f3"/>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2a75f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2a75f3"/>
    <w:pPr>
      <w:spacing w:before="160" w:after="160"/>
      <w:jc w:val="center"/>
    </w:pPr>
    <w:rPr>
      <w:i/>
      <w:iCs/>
      <w:color w:themeColor="text1" w:themeTint="bf" w:val="404040"/>
    </w:rPr>
  </w:style>
  <w:style w:type="paragraph" w:styleId="ListParagraph">
    <w:name w:val="List Paragraph"/>
    <w:basedOn w:val="Normal"/>
    <w:uiPriority w:val="34"/>
    <w:qFormat/>
    <w:rsid w:val="002a75f3"/>
    <w:pPr>
      <w:spacing w:before="0" w:after="160"/>
      <w:ind w:start="720"/>
      <w:contextualSpacing/>
    </w:pPr>
    <w:rPr/>
  </w:style>
  <w:style w:type="paragraph" w:styleId="IntenseQuote">
    <w:name w:val="Intense Quote"/>
    <w:basedOn w:val="Normal"/>
    <w:next w:val="Normal"/>
    <w:link w:val="CitadestacadaCar"/>
    <w:uiPriority w:val="30"/>
    <w:qFormat/>
    <w:rsid w:val="002a75f3"/>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50</TotalTime>
  <Application>LibreOffice/25.8.7.3$Linux_X86_64 LibreOffice_project/580$Build-3</Application>
  <AppVersion>15.0000</AppVersion>
  <Pages>7</Pages>
  <Words>2026</Words>
  <Characters>11318</Characters>
  <CharactersWithSpaces>13185</CharactersWithSpaces>
  <Paragraphs>145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2026-07-21T18:40:00Z</dcterms:created>
  <dc:creator>Damaris Guanoluisa</dc:creator>
  <dc:description/>
  <dc:language>es-ES</dc:language>
  <cp:lastModifiedBy/>
  <dcterms:modified xsi:type="dcterms:W3CDTF">2026-07-26T22:01:42Z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