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kav0ddhabz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Sintaxe da coral na Forma de Backus-Naur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&lt;definição de função&gt; ::= se chamar &lt;nome da função&gt; faça &lt;alguma coisa&gt; e retorne &lt;resultado&gt;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&lt;chamada da função&gt; ::=faça &lt;nome da função&gt;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&lt;retorno resultado&gt; ::= devolva &lt;nome variável&gt;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| faça &lt;nome da função&gt;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&lt;tipo variavel&gt; ::= void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| char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| short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| 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| long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| float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| double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| signed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| unsigned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&lt;valor variavel&gt; ::=valor de &lt;nome variavel&gt; eh &lt;valor&gt; do tipo &lt;tipo valor&gt;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&lt;operações&gt; ::= 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| *=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| /=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| %=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| +=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| -=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| &lt;&lt;=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| &gt;&gt;=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| &amp;=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| ^=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| |=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&lt;operador unário&gt; ::= &amp;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| 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| 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| 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| ~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| 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&lt;tarefa condicional&gt; ::= se ( &lt;condição&gt;  ) faça &lt;tarefa&gt;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| se ( &lt;condição&gt; ) faça &lt;tarefa&gt; senão &lt;tarefa&gt;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&lt;tarefa repetidora&gt; ::= enquanto ( &lt;condição&gt; ) faça &lt;tarefa&gt;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