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MEMORIAL DESCRITIVO TÉCNICO</w:t>
      </w:r>
    </w:p>
    <w:p>
      <w:pPr>
        <w:jc w:val="center"/>
      </w:pPr>
      <w:r>
        <w:rPr>
          <w:b/>
          <w:sz w:val="28"/>
        </w:rPr>
        <w:t>CONTRATO DE MANUTENÇÃO, INSTALAÇÃO E MODERNIZAÇÃO DE SISTEMAS ELÉTRICOS, TELECOMUNICAÇÕES, FIBRA ÓPTICA E CFTV</w:t>
      </w:r>
    </w:p>
    <w:p/>
    <w:p>
      <w:pPr>
        <w:pStyle w:val="Heading1"/>
      </w:pPr>
      <w:r>
        <w:t>1. INTRODUÇÃO</w:t>
      </w:r>
    </w:p>
    <w:p>
      <w:r>
        <w:t>Este Memorial Descritivo estabelece os requisitos para contratação de empresa especializada em manutenção, instalação e modernização de sistemas elétricos, telecomunicações, redes, fibra óptica e segurança eletrônica.</w:t>
      </w:r>
    </w:p>
    <w:p>
      <w:pPr>
        <w:pStyle w:val="Heading1"/>
      </w:pPr>
      <w:r>
        <w:t>2. APRESENTAÇÃO DA CONTRATANTE</w:t>
      </w:r>
    </w:p>
    <w:p>
      <w:r>
        <w:t>A contratante opera uma unidade industrial e administrativa com redes elétricas, infraestrutura de telecomunicações, sistemas de CFTV e recursos de conectividade destinados à continuidade operacional e segurança patrimonial.</w:t>
      </w:r>
    </w:p>
    <w:p>
      <w:pPr>
        <w:pStyle w:val="Heading1"/>
      </w:pPr>
      <w:r>
        <w:t>3. DADOS DO EMPREENDIMENTO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Informação</w:t>
            </w:r>
          </w:p>
        </w:tc>
      </w:tr>
      <w:tr>
        <w:tc>
          <w:tcPr>
            <w:tcW w:type="dxa" w:w="4703"/>
            <w:vAlign w:val="center"/>
          </w:tcPr>
          <w:p>
            <w:r>
              <w:t>Unidade</w:t>
            </w:r>
          </w:p>
        </w:tc>
        <w:tc>
          <w:tcPr>
            <w:tcW w:type="dxa" w:w="4703"/>
            <w:vAlign w:val="center"/>
          </w:tcPr>
          <w:p>
            <w:r>
              <w:t>Complexo Industrial TechPrime</w:t>
            </w:r>
          </w:p>
        </w:tc>
      </w:tr>
      <w:tr>
        <w:tc>
          <w:tcPr>
            <w:tcW w:type="dxa" w:w="4703"/>
            <w:vAlign w:val="center"/>
          </w:tcPr>
          <w:p>
            <w:r>
              <w:t>Local</w:t>
            </w:r>
          </w:p>
        </w:tc>
        <w:tc>
          <w:tcPr>
            <w:tcW w:type="dxa" w:w="4703"/>
            <w:vAlign w:val="center"/>
          </w:tcPr>
          <w:p>
            <w:r>
              <w:t>Jundiaí – SP</w:t>
            </w:r>
          </w:p>
        </w:tc>
      </w:tr>
      <w:tr>
        <w:tc>
          <w:tcPr>
            <w:tcW w:type="dxa" w:w="4703"/>
            <w:vAlign w:val="center"/>
          </w:tcPr>
          <w:p>
            <w:r>
              <w:t>Modalidade</w:t>
            </w:r>
          </w:p>
        </w:tc>
        <w:tc>
          <w:tcPr>
            <w:tcW w:type="dxa" w:w="4703"/>
            <w:vAlign w:val="center"/>
          </w:tcPr>
          <w:p>
            <w:r>
              <w:t>Manutenção e projetos de infraestrutura</w:t>
            </w:r>
          </w:p>
        </w:tc>
      </w:tr>
      <w:tr>
        <w:tc>
          <w:tcPr>
            <w:tcW w:type="dxa" w:w="4703"/>
            <w:vAlign w:val="center"/>
          </w:tcPr>
          <w:p>
            <w:r>
              <w:t>Vigência prevista</w:t>
            </w:r>
          </w:p>
        </w:tc>
        <w:tc>
          <w:tcPr>
            <w:tcW w:type="dxa" w:w="4703"/>
            <w:vAlign w:val="center"/>
          </w:tcPr>
          <w:p>
            <w:r>
              <w:t>24 meses</w:t>
            </w:r>
          </w:p>
        </w:tc>
      </w:tr>
      <w:tr>
        <w:tc>
          <w:tcPr>
            <w:tcW w:type="dxa" w:w="4703"/>
            <w:vAlign w:val="center"/>
          </w:tcPr>
          <w:p>
            <w:r>
              <w:t>Regime de contratação</w:t>
            </w:r>
          </w:p>
        </w:tc>
        <w:tc>
          <w:tcPr>
            <w:tcW w:type="dxa" w:w="4703"/>
            <w:vAlign w:val="center"/>
          </w:tcPr>
          <w:p>
            <w:r>
              <w:t>Preço global mensal</w:t>
            </w:r>
          </w:p>
        </w:tc>
      </w:tr>
      <w:tr>
        <w:tc>
          <w:tcPr>
            <w:tcW w:type="dxa" w:w="4703"/>
            <w:vAlign w:val="center"/>
          </w:tcPr>
          <w:p>
            <w:r>
              <w:t>Atendimento</w:t>
            </w:r>
          </w:p>
        </w:tc>
        <w:tc>
          <w:tcPr>
            <w:tcW w:type="dxa" w:w="4703"/>
            <w:vAlign w:val="center"/>
          </w:tcPr>
          <w:p>
            <w:r>
              <w:t>Programado e sob demanda</w:t>
            </w:r>
          </w:p>
        </w:tc>
      </w:tr>
    </w:tbl>
    <w:p/>
    <w:p>
      <w:pPr>
        <w:pStyle w:val="Heading1"/>
      </w:pPr>
      <w:r>
        <w:t>4. OBJETO DA CONTRATAÇÃO</w:t>
      </w:r>
    </w:p>
    <w:p>
      <w:r>
        <w:t>Contratação de empresa especializada para manutenção preventiva, corretiva e preditiva, instalação de novos pontos, adequações e modernização dos sistemas elétricos, CFTV, telecomunicações e infraestrutura associada.</w:t>
      </w:r>
    </w:p>
    <w:p>
      <w:pPr>
        <w:pStyle w:val="Heading1"/>
      </w:pPr>
      <w:r>
        <w:t>5. ESCOPO DOS SERVIÇOS</w:t>
      </w:r>
    </w:p>
    <w:p>
      <w:pPr>
        <w:pStyle w:val="ListBullet"/>
      </w:pPr>
      <w:r>
        <w:t>Inspeção e manutenção de iluminação e iluminação de emergência.</w:t>
      </w:r>
    </w:p>
    <w:p>
      <w:pPr>
        <w:pStyle w:val="ListBullet"/>
      </w:pPr>
      <w:r>
        <w:t>Manutenção de tomadas, quadros, disjuntores e circuitos.</w:t>
      </w:r>
    </w:p>
    <w:p>
      <w:pPr>
        <w:pStyle w:val="ListBullet"/>
      </w:pPr>
      <w:r>
        <w:t>Instalação e manutenção de câmeras IP, dome, bullet e ANPR.</w:t>
      </w:r>
    </w:p>
    <w:p>
      <w:pPr>
        <w:pStyle w:val="ListBullet"/>
      </w:pPr>
      <w:r>
        <w:t>Manutenção de gravadores, switches, monitores e sistemas de monitoramento.</w:t>
      </w:r>
    </w:p>
    <w:p>
      <w:pPr>
        <w:pStyle w:val="ListBullet"/>
      </w:pPr>
      <w:r>
        <w:t>Manutenção de telefonia, rádio comunicador e redes corporativas.</w:t>
      </w:r>
    </w:p>
    <w:p>
      <w:pPr>
        <w:pStyle w:val="ListBullet"/>
      </w:pPr>
      <w:r>
        <w:t>Instalação e certificação de cabeamento estruturado e fibra óptica.</w:t>
      </w:r>
    </w:p>
    <w:p>
      <w:pPr>
        <w:pStyle w:val="ListBullet"/>
      </w:pPr>
      <w:r>
        <w:t>Montagem de eletrocalhas, eletrodutos, leitos e lançamento de cabos.</w:t>
      </w:r>
    </w:p>
    <w:p>
      <w:pPr>
        <w:pStyle w:val="ListBullet"/>
      </w:pPr>
      <w:r>
        <w:t>Apoio a motores, transformadores, CCMs, CLPs e máquinas industriais.</w:t>
      </w:r>
    </w:p>
    <w:p>
      <w:pPr>
        <w:pStyle w:val="Heading1"/>
      </w:pPr>
      <w:r>
        <w:t>6. REQUISITOS DE INFRAESTRUTURA</w:t>
      </w:r>
    </w:p>
    <w:p>
      <w:pPr>
        <w:pStyle w:val="ListBullet"/>
      </w:pPr>
      <w:r>
        <w:t>Adequação de circuitos conforme NBR 5410 e requisitos de segurança aplicáveis.</w:t>
      </w:r>
    </w:p>
    <w:p>
      <w:pPr>
        <w:pStyle w:val="ListBullet"/>
      </w:pPr>
      <w:r>
        <w:t>Execução de aterramentos e SPDA.</w:t>
      </w:r>
    </w:p>
    <w:p>
      <w:pPr>
        <w:pStyle w:val="ListBullet"/>
      </w:pPr>
      <w:r>
        <w:t>Organização e identificação de cabos e circuitos.</w:t>
      </w:r>
    </w:p>
    <w:p>
      <w:pPr>
        <w:pStyle w:val="ListBullet"/>
      </w:pPr>
      <w:r>
        <w:t>Instalação e manutenção de infraestrutura para dados e segurança eletrônica.</w:t>
      </w:r>
    </w:p>
    <w:p>
      <w:pPr>
        <w:pStyle w:val="ListBullet"/>
      </w:pPr>
      <w:r>
        <w:t>Emissão de registros técnicos e documentação das intervenções.</w:t>
      </w:r>
    </w:p>
    <w:p>
      <w:pPr>
        <w:pStyle w:val="Heading1"/>
      </w:pPr>
      <w:r>
        <w:t>7. ESTRUTURA DA EQUIPE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3135"/>
            <w:vAlign w:val="center"/>
          </w:tcPr>
          <w:p>
            <w:r>
              <w:t>Supervisor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Gestão do contrato</w:t>
            </w:r>
          </w:p>
        </w:tc>
      </w:tr>
      <w:tr>
        <w:tc>
          <w:tcPr>
            <w:tcW w:type="dxa" w:w="3135"/>
            <w:vAlign w:val="center"/>
          </w:tcPr>
          <w:p>
            <w:r>
              <w:t>Técnico de Segurança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Apoio às atividades de campo</w:t>
            </w:r>
          </w:p>
        </w:tc>
      </w:tr>
      <w:tr>
        <w:tc>
          <w:tcPr>
            <w:tcW w:type="dxa" w:w="3135"/>
            <w:vAlign w:val="center"/>
          </w:tcPr>
          <w:p>
            <w:r>
              <w:t>Técnico Eletrotécnico</w:t>
            </w:r>
          </w:p>
        </w:tc>
        <w:tc>
          <w:tcPr>
            <w:tcW w:type="dxa" w:w="3135"/>
            <w:vAlign w:val="center"/>
          </w:tcPr>
          <w:p>
            <w:r>
              <w:t>10</w:t>
            </w:r>
          </w:p>
        </w:tc>
        <w:tc>
          <w:tcPr>
            <w:tcW w:type="dxa" w:w="3135"/>
            <w:vAlign w:val="center"/>
          </w:tcPr>
          <w:p>
            <w:r>
              <w:t>Sistemas elétricos e infraestrutura</w:t>
            </w:r>
          </w:p>
        </w:tc>
      </w:tr>
      <w:tr>
        <w:tc>
          <w:tcPr>
            <w:tcW w:type="dxa" w:w="3135"/>
            <w:vAlign w:val="center"/>
          </w:tcPr>
          <w:p>
            <w:r>
              <w:t>Técnico de Telecomunicações</w:t>
            </w:r>
          </w:p>
        </w:tc>
        <w:tc>
          <w:tcPr>
            <w:tcW w:type="dxa" w:w="3135"/>
            <w:vAlign w:val="center"/>
          </w:tcPr>
          <w:p>
            <w:r>
              <w:t>2</w:t>
            </w:r>
          </w:p>
        </w:tc>
        <w:tc>
          <w:tcPr>
            <w:tcW w:type="dxa" w:w="3135"/>
            <w:vAlign w:val="center"/>
          </w:tcPr>
          <w:p>
            <w:r>
              <w:t>Redes, fibra e telefonia</w:t>
            </w:r>
          </w:p>
        </w:tc>
      </w:tr>
      <w:tr>
        <w:tc>
          <w:tcPr>
            <w:tcW w:type="dxa" w:w="3135"/>
            <w:vAlign w:val="center"/>
          </w:tcPr>
          <w:p>
            <w:r>
              <w:t>Técnico de CFTV</w:t>
            </w:r>
          </w:p>
        </w:tc>
        <w:tc>
          <w:tcPr>
            <w:tcW w:type="dxa" w:w="3135"/>
            <w:vAlign w:val="center"/>
          </w:tcPr>
          <w:p>
            <w:r>
              <w:t>2</w:t>
            </w:r>
          </w:p>
        </w:tc>
        <w:tc>
          <w:tcPr>
            <w:tcW w:type="dxa" w:w="3135"/>
            <w:vAlign w:val="center"/>
          </w:tcPr>
          <w:p>
            <w:r>
              <w:t>Segurança eletrônica</w:t>
            </w:r>
          </w:p>
        </w:tc>
      </w:tr>
    </w:tbl>
    <w:p/>
    <w:p>
      <w:pPr>
        <w:pStyle w:val="Heading1"/>
      </w:pPr>
      <w:r>
        <w:t>8. CAPACITAÇÃO TÉCNICA EXIGIDA</w:t>
      </w:r>
    </w:p>
    <w:p>
      <w:r>
        <w:t>A contratada deverá comprovar experiência compatível com o escopo e disponibilizar profissionais devidamente qualificados para as atividades previstas.</w:t>
      </w:r>
    </w:p>
    <w:p>
      <w:pPr>
        <w:pStyle w:val="ListBullet"/>
      </w:pPr>
      <w:r>
        <w:t>Experiência comprovada em manutenção elétrica, telecomunicações e segurança eletrônica.</w:t>
      </w:r>
    </w:p>
    <w:p>
      <w:pPr>
        <w:pStyle w:val="ListBullet"/>
      </w:pPr>
      <w:r>
        <w:t>NR-10, NR-10 SEP, NR-33, NR-35 e demais treinamentos aplicáveis.</w:t>
      </w:r>
    </w:p>
    <w:p>
      <w:pPr>
        <w:pStyle w:val="ListBullet"/>
      </w:pPr>
      <w:r>
        <w:t>Conhecimentos em redes IP, fibra óptica, CFTV e cabeamento estruturado.</w:t>
      </w:r>
    </w:p>
    <w:p>
      <w:pPr>
        <w:pStyle w:val="Heading1"/>
      </w:pPr>
      <w:r>
        <w:t>9. RESPONSABILIDADES DAS PARTES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Contratante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Contratada</w:t>
            </w:r>
          </w:p>
        </w:tc>
      </w:tr>
      <w:tr>
        <w:tc>
          <w:tcPr>
            <w:tcW w:type="dxa" w:w="4703"/>
            <w:vAlign w:val="center"/>
          </w:tcPr>
          <w:p>
            <w:r>
              <w:t>Fornecer documentação técnica e acesso às áreas.</w:t>
            </w:r>
          </w:p>
        </w:tc>
        <w:tc>
          <w:tcPr>
            <w:tcW w:type="dxa" w:w="4703"/>
            <w:vAlign w:val="center"/>
          </w:tcPr>
          <w:p>
            <w:r>
              <w:t>Fornecer equipe, EPIs, ferramentas, instrumentos, veículos e documentação das atividades.</w:t>
            </w:r>
          </w:p>
        </w:tc>
      </w:tr>
    </w:tbl>
    <w:p/>
    <w:p>
      <w:pPr>
        <w:pStyle w:val="Heading1"/>
      </w:pPr>
      <w:r>
        <w:t>10. EQUIPAMENTOS, FERRAMENTAS E RECURSOS</w:t>
      </w:r>
    </w:p>
    <w:p>
      <w:pPr>
        <w:pStyle w:val="ListBullet"/>
      </w:pPr>
      <w:r>
        <w:t>Ferramentas VDE e ferramentas específicas para telecomunicações.</w:t>
      </w:r>
    </w:p>
    <w:p>
      <w:pPr>
        <w:pStyle w:val="ListBullet"/>
      </w:pPr>
      <w:r>
        <w:t>Instrumentos elétricos calibrados e certificador de rede.</w:t>
      </w:r>
    </w:p>
    <w:p>
      <w:pPr>
        <w:pStyle w:val="ListBullet"/>
      </w:pPr>
      <w:r>
        <w:t>Equipamentos para fusão e testes de fibra óptica.</w:t>
      </w:r>
    </w:p>
    <w:p>
      <w:pPr>
        <w:pStyle w:val="ListBullet"/>
      </w:pPr>
      <w:r>
        <w:t>Veículos utilitários e recursos de elevação, quando necessários.</w:t>
      </w:r>
    </w:p>
    <w:p>
      <w:pPr>
        <w:pStyle w:val="Heading1"/>
      </w:pPr>
      <w:r>
        <w:t>11. METODOLOGIA DE EXECUÇÃO</w:t>
      </w:r>
    </w:p>
    <w:p>
      <w:r>
        <w:t>Os serviços serão realizados de forma planejada e contínua, contemplando mobilização, programação das atividades, execução, inspeção, registro das intervenções e acompanhamento dos indicadores.</w:t>
      </w:r>
    </w:p>
    <w:p>
      <w:pPr>
        <w:pStyle w:val="ListNumber"/>
      </w:pPr>
      <w:r>
        <w:t>Mobilização e integração da equipe</w:t>
      </w:r>
    </w:p>
    <w:p>
      <w:pPr>
        <w:pStyle w:val="ListNumber"/>
      </w:pPr>
      <w:r>
        <w:t>Planejamento e programação das atividades</w:t>
      </w:r>
    </w:p>
    <w:p>
      <w:pPr>
        <w:pStyle w:val="ListNumber"/>
      </w:pPr>
      <w:r>
        <w:t>Execução e acompanhamento de campo</w:t>
      </w:r>
    </w:p>
    <w:p>
      <w:pPr>
        <w:pStyle w:val="ListNumber"/>
      </w:pPr>
      <w:r>
        <w:t>Registro das atividades e tratamento das pendências</w:t>
      </w:r>
    </w:p>
    <w:p>
      <w:pPr>
        <w:pStyle w:val="ListNumber"/>
      </w:pPr>
      <w:r>
        <w:t>Análise de desempenho e melhoria contínua</w:t>
      </w:r>
    </w:p>
    <w:p>
      <w:pPr>
        <w:pStyle w:val="Heading1"/>
      </w:pPr>
      <w:r>
        <w:t>12. CRONOGRAMA DE CONTRATAÇÃO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4703"/>
            <w:vAlign w:val="center"/>
          </w:tcPr>
          <w:p>
            <w:r>
              <w:t>Emissão do Memorial</w:t>
            </w:r>
          </w:p>
        </w:tc>
        <w:tc>
          <w:tcPr>
            <w:tcW w:type="dxa" w:w="4703"/>
            <w:vAlign w:val="center"/>
          </w:tcPr>
          <w:p>
            <w:r>
              <w:t>18/08/2026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Envio de RFQ</w:t>
            </w:r>
          </w:p>
        </w:tc>
        <w:tc>
          <w:tcPr>
            <w:tcW w:type="dxa" w:w="4703"/>
            <w:vAlign w:val="center"/>
          </w:tcPr>
          <w:p>
            <w:r>
              <w:t>24/08/2026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Entrega das propostas</w:t>
            </w:r>
          </w:p>
        </w:tc>
        <w:tc>
          <w:tcPr>
            <w:tcW w:type="dxa" w:w="4703"/>
            <w:vAlign w:val="center"/>
          </w:tcPr>
          <w:p>
            <w:r>
              <w:t>08/09/2026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Equalização técnica</w:t>
            </w:r>
          </w:p>
        </w:tc>
        <w:tc>
          <w:tcPr>
            <w:tcW w:type="dxa" w:w="4703"/>
            <w:vAlign w:val="center"/>
          </w:tcPr>
          <w:p>
            <w:r>
              <w:t>15/09/2026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Negociação</w:t>
            </w:r>
          </w:p>
        </w:tc>
        <w:tc>
          <w:tcPr>
            <w:tcW w:type="dxa" w:w="4703"/>
            <w:vAlign w:val="center"/>
          </w:tcPr>
          <w:p>
            <w:r>
              <w:t>22/09/2026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Mobilização</w:t>
            </w:r>
          </w:p>
        </w:tc>
        <w:tc>
          <w:tcPr>
            <w:tcW w:type="dxa" w:w="4703"/>
            <w:vAlign w:val="center"/>
          </w:tcPr>
          <w:p>
            <w:r>
              <w:t>05/10/2026</w:t>
            </w:r>
          </w:p>
        </w:tc>
      </w:tr>
    </w:tbl>
    <w:p/>
    <w:p>
      <w:pPr>
        <w:pStyle w:val="Heading1"/>
      </w:pPr>
      <w:r>
        <w:t>13. CRITÉRIOS DE MEDIÇÃO E ACEITAÇÃO</w:t>
      </w:r>
    </w:p>
    <w:p>
      <w:r>
        <w:t>A medição mensal considerará horas e serviços efetivamente executados, ordens de serviço concluídas, intervenções de projeto, indicadores de disponibilidade e conformidade dos relatórios e testes.</w:t>
      </w:r>
    </w:p>
    <w:p>
      <w:pPr>
        <w:pStyle w:val="Heading1"/>
      </w:pPr>
      <w:r>
        <w:t>14. CRITÉRIOS DE AVALIAÇÃO DAS PROPOSTAS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Proposta Técnica</w:t>
            </w:r>
          </w:p>
        </w:tc>
        <w:tc>
          <w:tcPr>
            <w:tcW w:type="dxa" w:w="4703"/>
            <w:vAlign w:val="center"/>
          </w:tcPr>
          <w:p>
            <w:r>
              <w:t>40%</w:t>
            </w:r>
          </w:p>
        </w:tc>
      </w:tr>
      <w:tr>
        <w:tc>
          <w:tcPr>
            <w:tcW w:type="dxa" w:w="4703"/>
            <w:vAlign w:val="center"/>
          </w:tcPr>
          <w:p>
            <w:r>
              <w:t>Experiência</w:t>
            </w:r>
          </w:p>
        </w:tc>
        <w:tc>
          <w:tcPr>
            <w:tcW w:type="dxa" w:w="4703"/>
            <w:vAlign w:val="center"/>
          </w:tcPr>
          <w:p>
            <w:r>
              <w:t>20%</w:t>
            </w:r>
          </w:p>
        </w:tc>
      </w:tr>
      <w:tr>
        <w:tc>
          <w:tcPr>
            <w:tcW w:type="dxa" w:w="4703"/>
            <w:vAlign w:val="center"/>
          </w:tcPr>
          <w:p>
            <w:r>
              <w:t>Metodologia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  <w:tr>
        <w:tc>
          <w:tcPr>
            <w:tcW w:type="dxa" w:w="4703"/>
            <w:vAlign w:val="center"/>
          </w:tcPr>
          <w:p>
            <w:r>
              <w:t>Inovação</w:t>
            </w:r>
          </w:p>
        </w:tc>
        <w:tc>
          <w:tcPr>
            <w:tcW w:type="dxa" w:w="4703"/>
            <w:vAlign w:val="center"/>
          </w:tcPr>
          <w:p>
            <w:r>
              <w:t>10%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Proposta Comercial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</w:tbl>
    <w:p/>
    <w:p>
      <w:pPr>
        <w:pStyle w:val="Heading1"/>
      </w:pPr>
      <w:r>
        <w:t>15. SEGURANÇA, MEIO AMBIENTE E QUALIDADE</w:t>
      </w:r>
    </w:p>
    <w:p>
      <w:r>
        <w:t>A execução deverá observar as normas legais e procedimentos internos aplicáveis, incluindo análise preliminar de riscos, diálogos de segurança, controle de documentos, gestão de resíduos, tratamento de não conformidades e rastreabilidade das atividades.</w:t>
      </w:r>
    </w:p>
    <w:p>
      <w:pPr>
        <w:pStyle w:val="Heading1"/>
      </w:pPr>
      <w:r>
        <w:t>16. INDICADORES DE DESEMPENHO (KPI E SLA)</w:t>
      </w:r>
    </w:p>
    <w:p>
      <w:r>
        <w:t>O desempenho contratual será acompanhado por indicadores definidos em conjunto com a contratante, com análise periódica e registro das ações corretivas quando necessário.</w:t>
      </w:r>
    </w:p>
    <w:p>
      <w:pPr>
        <w:pStyle w:val="ListBullet"/>
      </w:pPr>
      <w:r>
        <w:t>Cumprimento da programação</w:t>
      </w:r>
    </w:p>
    <w:p>
      <w:pPr>
        <w:pStyle w:val="ListBullet"/>
      </w:pPr>
      <w:r>
        <w:t>Atendimento das ordens de serviço</w:t>
      </w:r>
    </w:p>
    <w:p>
      <w:pPr>
        <w:pStyle w:val="ListBullet"/>
      </w:pPr>
      <w:r>
        <w:t>Prazo de resposta e conclusão</w:t>
      </w:r>
    </w:p>
    <w:p>
      <w:pPr>
        <w:pStyle w:val="ListBullet"/>
      </w:pPr>
      <w:r>
        <w:t>Backlog de serviços</w:t>
      </w:r>
    </w:p>
    <w:p>
      <w:pPr>
        <w:pStyle w:val="ListBullet"/>
      </w:pPr>
      <w:r>
        <w:t>Índice de retrabalho e não conformidades</w:t>
      </w:r>
    </w:p>
    <w:p>
      <w:pPr>
        <w:pStyle w:val="ListBullet"/>
      </w:pPr>
      <w:r>
        <w:t>Qualidade dos relatórios</w:t>
      </w:r>
    </w:p>
    <w:p>
      <w:pPr>
        <w:pStyle w:val="Heading1"/>
      </w:pPr>
      <w:r>
        <w:t>17. RESPONSABILIDADES CONTRATUAIS</w:t>
      </w:r>
    </w:p>
    <w:p>
      <w:r>
        <w:t>A contratada será responsável pela disponibilização de mão de obra qualificada, supervisão, ferramentas e recursos previstos, registros das atividades, relatórios e atendimento aos requisitos de segurança e qualidade.</w:t>
      </w:r>
    </w:p>
    <w:p>
      <w:pPr>
        <w:pStyle w:val="Heading1"/>
      </w:pPr>
      <w:r>
        <w:t>18. DISPOSIÇÕES GERAIS</w:t>
      </w:r>
    </w:p>
    <w:p>
      <w:r>
        <w:t>Alterações de escopo deverão ser formalizadas entre as partes. A contratada deverá manter a documentação dos profissionais e dos serviços atualizada e disponibilizá-la para auditoria quando solicitada.</w:t>
      </w:r>
    </w:p>
    <w:p>
      <w:pPr>
        <w:pStyle w:val="Heading1"/>
      </w:pPr>
      <w:r>
        <w:t>19. CONSIDERAÇÕES FINAIS</w:t>
      </w:r>
    </w:p>
    <w:p>
      <w:r>
        <w:t>O presente Memorial Descritivo estabelece as condições mínimas para execução do escopo. A proposta deverá considerar todos os recursos necessários ao atendimento integral dos requisitos técnicos, operacionais, de segurança, qualidade e desempenho.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