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MEMORIAL DESCRITIVO TÉCNICO</w:t>
      </w:r>
    </w:p>
    <w:p>
      <w:pPr>
        <w:jc w:val="center"/>
      </w:pPr>
      <w:r>
        <w:rPr>
          <w:b/>
          <w:sz w:val="28"/>
        </w:rPr>
        <w:t>CONTRATO DE MANUTENÇÃO INDUSTRIAL, UTILIDADES E SERVIÇOS DE CONFIABILIDADE</w:t>
      </w:r>
    </w:p>
    <w:p>
      <w:pPr>
        <w:jc w:val="center"/>
      </w:pPr>
      <w:r>
        <w:rPr>
          <w:b/>
        </w:rPr>
        <w:t>MD-MAN-UTIL-061/2026</w:t>
      </w:r>
    </w:p>
    <w:p/>
    <w:p>
      <w:pPr>
        <w:pStyle w:val="Heading1"/>
      </w:pPr>
      <w:r>
        <w:t>1. DADOS DA CONTRATANTE</w:t>
      </w:r>
    </w:p>
    <w:p>
      <w:r>
        <w:t>A contratante deste processo é uma empresa fictícia criada exclusivamente para fins acadêmicos e de validação do processo de análise automatizada de memoriais descritivos.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Informação</w:t>
            </w:r>
          </w:p>
        </w:tc>
      </w:tr>
      <w:tr>
        <w:tc>
          <w:tcPr>
            <w:tcW w:type="dxa" w:w="4703"/>
            <w:vAlign w:val="center"/>
          </w:tcPr>
          <w:p>
            <w:r>
              <w:t>Razão Social</w:t>
            </w:r>
          </w:p>
        </w:tc>
        <w:tc>
          <w:tcPr>
            <w:tcW w:type="dxa" w:w="4703"/>
            <w:vAlign w:val="center"/>
          </w:tcPr>
          <w:p>
            <w:r>
              <w:t>Nexum Química Industrial S.A.</w:t>
            </w:r>
          </w:p>
        </w:tc>
      </w:tr>
      <w:tr>
        <w:tc>
          <w:tcPr>
            <w:tcW w:type="dxa" w:w="4703"/>
            <w:vAlign w:val="center"/>
          </w:tcPr>
          <w:p>
            <w:r>
              <w:t>CNPJ</w:t>
            </w:r>
          </w:p>
        </w:tc>
        <w:tc>
          <w:tcPr>
            <w:tcW w:type="dxa" w:w="4703"/>
            <w:vAlign w:val="center"/>
          </w:tcPr>
          <w:p>
            <w:r>
              <w:t>28.614.735/0001-42</w:t>
            </w:r>
          </w:p>
        </w:tc>
      </w:tr>
      <w:tr>
        <w:tc>
          <w:tcPr>
            <w:tcW w:type="dxa" w:w="4703"/>
            <w:vAlign w:val="center"/>
          </w:tcPr>
          <w:p>
            <w:r>
              <w:t>Endereço</w:t>
            </w:r>
          </w:p>
        </w:tc>
        <w:tc>
          <w:tcPr>
            <w:tcW w:type="dxa" w:w="4703"/>
            <w:vAlign w:val="center"/>
          </w:tcPr>
          <w:p>
            <w:r>
              <w:t>Rodovia dos Complexos Industriais, Km 18, Distrito Industrial Norte</w:t>
            </w:r>
          </w:p>
        </w:tc>
      </w:tr>
      <w:tr>
        <w:tc>
          <w:tcPr>
            <w:tcW w:type="dxa" w:w="4703"/>
            <w:vAlign w:val="center"/>
          </w:tcPr>
          <w:p>
            <w:r>
              <w:t>Local</w:t>
            </w:r>
          </w:p>
        </w:tc>
        <w:tc>
          <w:tcPr>
            <w:tcW w:type="dxa" w:w="4703"/>
            <w:vAlign w:val="center"/>
          </w:tcPr>
          <w:p>
            <w:r>
              <w:t>Paulínia – São Paulo</w:t>
            </w:r>
          </w:p>
        </w:tc>
      </w:tr>
      <w:tr>
        <w:tc>
          <w:tcPr>
            <w:tcW w:type="dxa" w:w="4703"/>
            <w:vAlign w:val="center"/>
          </w:tcPr>
          <w:p>
            <w:r>
              <w:t>Unidade Industrial</w:t>
            </w:r>
          </w:p>
        </w:tc>
        <w:tc>
          <w:tcPr>
            <w:tcW w:type="dxa" w:w="4703"/>
            <w:vAlign w:val="center"/>
          </w:tcPr>
          <w:p>
            <w:r>
              <w:t>Complexo Industrial Nexum Norte</w:t>
            </w:r>
          </w:p>
        </w:tc>
      </w:tr>
      <w:tr>
        <w:tc>
          <w:tcPr>
            <w:tcW w:type="dxa" w:w="4703"/>
            <w:vAlign w:val="center"/>
          </w:tcPr>
          <w:p>
            <w:r>
              <w:t>Segmento</w:t>
            </w:r>
          </w:p>
        </w:tc>
        <w:tc>
          <w:tcPr>
            <w:tcW w:type="dxa" w:w="4703"/>
            <w:vAlign w:val="center"/>
          </w:tcPr>
          <w:p>
            <w:r>
              <w:t>Produção de especialidades químicas e insumos industriais</w:t>
            </w:r>
          </w:p>
        </w:tc>
      </w:tr>
      <w:tr>
        <w:tc>
          <w:tcPr>
            <w:tcW w:type="dxa" w:w="4703"/>
            <w:vAlign w:val="center"/>
          </w:tcPr>
          <w:p>
            <w:r>
              <w:t>Vigência prevista</w:t>
            </w:r>
          </w:p>
        </w:tc>
        <w:tc>
          <w:tcPr>
            <w:tcW w:type="dxa" w:w="4703"/>
            <w:vAlign w:val="center"/>
          </w:tcPr>
          <w:p>
            <w:r>
              <w:t>30 meses</w:t>
            </w:r>
          </w:p>
        </w:tc>
      </w:tr>
      <w:tr>
        <w:tc>
          <w:tcPr>
            <w:tcW w:type="dxa" w:w="4703"/>
            <w:vAlign w:val="center"/>
          </w:tcPr>
          <w:p>
            <w:r>
              <w:t>Regime de contratação</w:t>
            </w:r>
          </w:p>
        </w:tc>
        <w:tc>
          <w:tcPr>
            <w:tcW w:type="dxa" w:w="4703"/>
            <w:vAlign w:val="center"/>
          </w:tcPr>
          <w:p>
            <w:r>
              <w:t>Preço global mensal, com serviços adicionais sob demanda</w:t>
            </w:r>
          </w:p>
        </w:tc>
      </w:tr>
    </w:tbl>
    <w:p/>
    <w:p>
      <w:pPr>
        <w:pStyle w:val="Heading1"/>
      </w:pPr>
      <w:r>
        <w:t>2. OBJETIVO</w:t>
      </w:r>
    </w:p>
    <w:p>
      <w:r>
        <w:t>Contratação de empresa especializada para prestação de serviços continuados de manutenção industrial, manutenção de utilidades, inspeção de equipamentos, apoio à confiabilidade dos ativos e execução de pequenas melhorias na unidade industrial.</w:t>
      </w:r>
    </w:p>
    <w:p>
      <w:pPr>
        <w:pStyle w:val="Heading1"/>
      </w:pPr>
      <w:r>
        <w:t>3. NORMAS APLICÁVEIS</w:t>
      </w:r>
    </w:p>
    <w:p>
      <w:r>
        <w:t>Os serviços deverão observar a legislação vigente, normas técnicas aplicáveis e procedimentos internos da contratante.</w:t>
      </w:r>
    </w:p>
    <w:p>
      <w:pPr>
        <w:pStyle w:val="ListBullet"/>
      </w:pPr>
      <w:r>
        <w:t>NR-01 – Gerenciamento de Riscos Ocupacionais.</w:t>
      </w:r>
    </w:p>
    <w:p>
      <w:pPr>
        <w:pStyle w:val="ListBullet"/>
      </w:pPr>
      <w:r>
        <w:t>NR-06 – Equipamentos de Proteção Individual.</w:t>
      </w:r>
    </w:p>
    <w:p>
      <w:pPr>
        <w:pStyle w:val="ListBullet"/>
      </w:pPr>
      <w:r>
        <w:t>NR-10 – Segurança em Instalações e Serviços em Eletricidade.</w:t>
      </w:r>
    </w:p>
    <w:p>
      <w:pPr>
        <w:pStyle w:val="ListBullet"/>
      </w:pPr>
      <w:r>
        <w:t>NR-12 – Segurança no Trabalho em Máquinas e Equipamentos.</w:t>
      </w:r>
    </w:p>
    <w:p>
      <w:pPr>
        <w:pStyle w:val="ListBullet"/>
      </w:pPr>
      <w:r>
        <w:t>NR-13 – Caldeiras, Vasos de Pressão e Tubulações.</w:t>
      </w:r>
    </w:p>
    <w:p>
      <w:pPr>
        <w:pStyle w:val="ListBullet"/>
      </w:pPr>
      <w:r>
        <w:t>NR-20 – Segurança e Saúde no Trabalho com Inflamáveis e Combustíveis.</w:t>
      </w:r>
    </w:p>
    <w:p>
      <w:pPr>
        <w:pStyle w:val="ListBullet"/>
      </w:pPr>
      <w:r>
        <w:t>NR-33 – Espaços Confinados.</w:t>
      </w:r>
    </w:p>
    <w:p>
      <w:pPr>
        <w:pStyle w:val="ListBullet"/>
      </w:pPr>
      <w:r>
        <w:t>NR-35 – Trabalho em Altura.</w:t>
      </w:r>
    </w:p>
    <w:p>
      <w:pPr>
        <w:pStyle w:val="ListBullet"/>
      </w:pPr>
      <w:r>
        <w:t>ABNT NBR 5410, NBR 14039 e normas técnicas relacionadas às instalações atendidas.</w:t>
      </w:r>
    </w:p>
    <w:p>
      <w:pPr>
        <w:pStyle w:val="ListBullet"/>
      </w:pPr>
      <w:r>
        <w:t>ABNT NBR ISO 9001, ISO 14001 e ISO 45001.</w:t>
      </w:r>
    </w:p>
    <w:p>
      <w:pPr>
        <w:pStyle w:val="Heading1"/>
      </w:pPr>
      <w:r>
        <w:t>4. ESCOPO GERAL DOS SERVIÇOS</w:t>
      </w:r>
    </w:p>
    <w:p>
      <w:r>
        <w:t>A contratada deverá disponibilizar mão de obra especializada, supervisão, ferramentas, instrumentos, equipamentos auxiliares e gestão operacional para atendimento das necessidades de manutenção da unidade.</w:t>
      </w:r>
    </w:p>
    <w:p>
      <w:pPr>
        <w:pStyle w:val="ListBullet"/>
      </w:pPr>
      <w:r>
        <w:t>Manutenção preventiva, corretiva e preditiva.</w:t>
      </w:r>
    </w:p>
    <w:p>
      <w:pPr>
        <w:pStyle w:val="ListBullet"/>
      </w:pPr>
      <w:r>
        <w:t>Manutenção mecânica de equipamentos rotativos e estáticos.</w:t>
      </w:r>
    </w:p>
    <w:p>
      <w:pPr>
        <w:pStyle w:val="ListBullet"/>
      </w:pPr>
      <w:r>
        <w:t>Manutenção de utilidades industriais.</w:t>
      </w:r>
    </w:p>
    <w:p>
      <w:pPr>
        <w:pStyle w:val="ListBullet"/>
      </w:pPr>
      <w:r>
        <w:t>Manutenção elétrica e de painéis.</w:t>
      </w:r>
    </w:p>
    <w:p>
      <w:pPr>
        <w:pStyle w:val="ListBullet"/>
      </w:pPr>
      <w:r>
        <w:t>Instrumentação e apoio à automação.</w:t>
      </w:r>
    </w:p>
    <w:p>
      <w:pPr>
        <w:pStyle w:val="ListBullet"/>
      </w:pPr>
      <w:r>
        <w:t>Manutenção de tubulações e válvulas.</w:t>
      </w:r>
    </w:p>
    <w:p>
      <w:pPr>
        <w:pStyle w:val="ListBullet"/>
      </w:pPr>
      <w:r>
        <w:t>Pequenas adequações e melhorias industriais.</w:t>
      </w:r>
    </w:p>
    <w:p>
      <w:pPr>
        <w:pStyle w:val="ListBullet"/>
      </w:pPr>
      <w:r>
        <w:t>Apoio a paradas programadas e intervenções emergenciais.</w:t>
      </w:r>
    </w:p>
    <w:p>
      <w:pPr>
        <w:pStyle w:val="ListBullet"/>
      </w:pPr>
      <w:r>
        <w:t>Inspeções, registros técnicos e relatórios de manutenção.</w:t>
      </w:r>
    </w:p>
    <w:p>
      <w:pPr>
        <w:pStyle w:val="Heading1"/>
      </w:pPr>
      <w:r>
        <w:t>5. MANUTENÇÃO MECÂNICA E EQUIPAMENTOS</w:t>
      </w:r>
    </w:p>
    <w:p>
      <w:r>
        <w:t>Os serviços mecânicos deverão atender equipamentos produtivos e sistemas auxiliares da unidade.</w:t>
      </w:r>
    </w:p>
    <w:p>
      <w:pPr>
        <w:pStyle w:val="ListBullet"/>
      </w:pPr>
      <w:r>
        <w:t>Manutenção de bombas centrífugas e de deslocamento positivo.</w:t>
      </w:r>
    </w:p>
    <w:p>
      <w:pPr>
        <w:pStyle w:val="ListBullet"/>
      </w:pPr>
      <w:r>
        <w:t>Manutenção de redutores, motores e conjuntos rotativos.</w:t>
      </w:r>
    </w:p>
    <w:p>
      <w:pPr>
        <w:pStyle w:val="ListBullet"/>
      </w:pPr>
      <w:r>
        <w:t>Troca de rolamentos, selos e elementos de transmissão.</w:t>
      </w:r>
    </w:p>
    <w:p>
      <w:pPr>
        <w:pStyle w:val="ListBullet"/>
      </w:pPr>
      <w:r>
        <w:t>Alinhamento e balanceamento de conjuntos.</w:t>
      </w:r>
    </w:p>
    <w:p>
      <w:pPr>
        <w:pStyle w:val="ListBullet"/>
      </w:pPr>
      <w:r>
        <w:t>Manutenção de agitadores e misturadores.</w:t>
      </w:r>
    </w:p>
    <w:p>
      <w:pPr>
        <w:pStyle w:val="ListBullet"/>
      </w:pPr>
      <w:r>
        <w:t>Manutenção de válvulas e equipamentos estáticos.</w:t>
      </w:r>
    </w:p>
    <w:p>
      <w:pPr>
        <w:pStyle w:val="ListBullet"/>
      </w:pPr>
      <w:r>
        <w:t>Inspeção de componentes e identificação de falhas.</w:t>
      </w:r>
    </w:p>
    <w:p>
      <w:pPr>
        <w:pStyle w:val="Heading1"/>
      </w:pPr>
      <w:r>
        <w:t>6. UTILIDADES INDUSTRIAIS</w:t>
      </w:r>
    </w:p>
    <w:p>
      <w:r>
        <w:t>A contratada será responsável pelo apoio à manutenção dos principais sistemas de utilidades da planta.</w:t>
      </w:r>
    </w:p>
    <w:p>
      <w:pPr>
        <w:pStyle w:val="ListBullet"/>
      </w:pPr>
      <w:r>
        <w:t>Compressores de ar e redes de ar comprimido.</w:t>
      </w:r>
    </w:p>
    <w:p>
      <w:pPr>
        <w:pStyle w:val="ListBullet"/>
      </w:pPr>
      <w:r>
        <w:t>Torres de resfriamento e sistemas de água industrial.</w:t>
      </w:r>
    </w:p>
    <w:p>
      <w:pPr>
        <w:pStyle w:val="ListBullet"/>
      </w:pPr>
      <w:r>
        <w:t>Bombas de circulação e sistemas de utilidades.</w:t>
      </w:r>
    </w:p>
    <w:p>
      <w:pPr>
        <w:pStyle w:val="ListBullet"/>
      </w:pPr>
      <w:r>
        <w:t>Caldeiras e sistemas auxiliares, quando liberados para intervenção.</w:t>
      </w:r>
    </w:p>
    <w:p>
      <w:pPr>
        <w:pStyle w:val="ListBullet"/>
      </w:pPr>
      <w:r>
        <w:t>Chillers e sistemas de climatização de áreas técnicas.</w:t>
      </w:r>
    </w:p>
    <w:p>
      <w:pPr>
        <w:pStyle w:val="ListBullet"/>
      </w:pPr>
      <w:r>
        <w:t>Geradores e sistemas de emergência.</w:t>
      </w:r>
    </w:p>
    <w:p>
      <w:pPr>
        <w:pStyle w:val="ListBullet"/>
      </w:pPr>
      <w:r>
        <w:t>Inspeção de vazamentos e anomalias operacionais.</w:t>
      </w:r>
    </w:p>
    <w:p>
      <w:pPr>
        <w:pStyle w:val="Heading1"/>
      </w:pPr>
      <w:r>
        <w:t>7. SERVIÇOS ELÉTRICOS E INSTRUMENTAÇÃO</w:t>
      </w:r>
    </w:p>
    <w:p>
      <w:r>
        <w:t>As intervenções elétricas e de instrumentação deverão ser executadas por profissionais habilitados e autorizados.</w:t>
      </w:r>
    </w:p>
    <w:p>
      <w:pPr>
        <w:pStyle w:val="ListBullet"/>
      </w:pPr>
      <w:r>
        <w:t>Manutenção de motores, painéis e centros de controle de motores.</w:t>
      </w:r>
    </w:p>
    <w:p>
      <w:pPr>
        <w:pStyle w:val="ListBullet"/>
      </w:pPr>
      <w:r>
        <w:t>Manutenção de iluminação industrial.</w:t>
      </w:r>
    </w:p>
    <w:p>
      <w:pPr>
        <w:pStyle w:val="ListBullet"/>
      </w:pPr>
      <w:r>
        <w:t>Lançamento e identificação de cabos.</w:t>
      </w:r>
    </w:p>
    <w:p>
      <w:pPr>
        <w:pStyle w:val="ListBullet"/>
      </w:pPr>
      <w:r>
        <w:t>Inspeção de quadros e conexões.</w:t>
      </w:r>
    </w:p>
    <w:p>
      <w:pPr>
        <w:pStyle w:val="ListBullet"/>
      </w:pPr>
      <w:r>
        <w:t>Manutenção de instrumentos de pressão, temperatura, vazão e nível.</w:t>
      </w:r>
    </w:p>
    <w:p>
      <w:pPr>
        <w:pStyle w:val="ListBullet"/>
      </w:pPr>
      <w:r>
        <w:t>Substituição e calibração de instrumentos.</w:t>
      </w:r>
    </w:p>
    <w:p>
      <w:pPr>
        <w:pStyle w:val="ListBullet"/>
      </w:pPr>
      <w:r>
        <w:t>Testes de malhas e apoio ao comissionamento.</w:t>
      </w:r>
    </w:p>
    <w:p>
      <w:pPr>
        <w:pStyle w:val="ListBullet"/>
      </w:pPr>
      <w:r>
        <w:t>Apoio em redes industriais e sistemas de controle.</w:t>
      </w:r>
    </w:p>
    <w:p>
      <w:pPr>
        <w:pStyle w:val="Heading1"/>
      </w:pPr>
      <w:r>
        <w:t>8. TUBULAÇÃO, VÁLVULAS E PEQUENAS MONTAGENS</w:t>
      </w:r>
    </w:p>
    <w:p>
      <w:r>
        <w:t>Serão executados serviços de manutenção e adequação em linhas e componentes de processo.</w:t>
      </w:r>
    </w:p>
    <w:p>
      <w:pPr>
        <w:pStyle w:val="ListBullet"/>
      </w:pPr>
      <w:r>
        <w:t>Manutenção de tubulações em aço carbono e aço inoxidável.</w:t>
      </w:r>
    </w:p>
    <w:p>
      <w:pPr>
        <w:pStyle w:val="ListBullet"/>
      </w:pPr>
      <w:r>
        <w:t>Substituição de trechos, conexões e suportes.</w:t>
      </w:r>
    </w:p>
    <w:p>
      <w:pPr>
        <w:pStyle w:val="ListBullet"/>
      </w:pPr>
      <w:r>
        <w:t>Manutenção e instalação de válvulas manuais e automáticas.</w:t>
      </w:r>
    </w:p>
    <w:p>
      <w:pPr>
        <w:pStyle w:val="ListBullet"/>
      </w:pPr>
      <w:r>
        <w:t>Montagem de suportes e pequenas estruturas.</w:t>
      </w:r>
    </w:p>
    <w:p>
      <w:pPr>
        <w:pStyle w:val="ListBullet"/>
      </w:pPr>
      <w:r>
        <w:t>Execução de serviços de soldagem conforme procedimento aprovado.</w:t>
      </w:r>
    </w:p>
    <w:p>
      <w:pPr>
        <w:pStyle w:val="ListBullet"/>
      </w:pPr>
      <w:r>
        <w:t>Teste de estanqueidade e inspeções após intervenção, quando aplicável.</w:t>
      </w:r>
    </w:p>
    <w:p>
      <w:pPr>
        <w:pStyle w:val="Heading1"/>
      </w:pPr>
      <w:r>
        <w:t>9. FERRAMENTAS E EQUIPAMENTOS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Equipamento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Quantidade mínima</w:t>
            </w:r>
          </w:p>
        </w:tc>
      </w:tr>
      <w:tr>
        <w:tc>
          <w:tcPr>
            <w:tcW w:type="dxa" w:w="4703"/>
            <w:vAlign w:val="center"/>
          </w:tcPr>
          <w:p>
            <w:r>
              <w:t>Máquina de solda MIG/MAG</w:t>
            </w:r>
          </w:p>
        </w:tc>
        <w:tc>
          <w:tcPr>
            <w:tcW w:type="dxa" w:w="4703"/>
            <w:vAlign w:val="center"/>
          </w:tcPr>
          <w:p>
            <w:r>
              <w:t>3</w:t>
            </w:r>
          </w:p>
        </w:tc>
      </w:tr>
      <w:tr>
        <w:tc>
          <w:tcPr>
            <w:tcW w:type="dxa" w:w="4703"/>
            <w:vAlign w:val="center"/>
          </w:tcPr>
          <w:p>
            <w:r>
              <w:t>Máquina de solda TIG</w:t>
            </w:r>
          </w:p>
        </w:tc>
        <w:tc>
          <w:tcPr>
            <w:tcW w:type="dxa" w:w="4703"/>
            <w:vAlign w:val="center"/>
          </w:tcPr>
          <w:p>
            <w:r>
              <w:t>2</w:t>
            </w:r>
          </w:p>
        </w:tc>
      </w:tr>
      <w:tr>
        <w:tc>
          <w:tcPr>
            <w:tcW w:type="dxa" w:w="4703"/>
            <w:vAlign w:val="center"/>
          </w:tcPr>
          <w:p>
            <w:r>
              <w:t>Furadeira magnética</w:t>
            </w:r>
          </w:p>
        </w:tc>
        <w:tc>
          <w:tcPr>
            <w:tcW w:type="dxa" w:w="4703"/>
            <w:vAlign w:val="center"/>
          </w:tcPr>
          <w:p>
            <w:r>
              <w:t>2</w:t>
            </w:r>
          </w:p>
        </w:tc>
      </w:tr>
      <w:tr>
        <w:tc>
          <w:tcPr>
            <w:tcW w:type="dxa" w:w="4703"/>
            <w:vAlign w:val="center"/>
          </w:tcPr>
          <w:p>
            <w:r>
              <w:t>Esmerilhadeira industrial</w:t>
            </w:r>
          </w:p>
        </w:tc>
        <w:tc>
          <w:tcPr>
            <w:tcW w:type="dxa" w:w="4703"/>
            <w:vAlign w:val="center"/>
          </w:tcPr>
          <w:p>
            <w:r>
              <w:t>6</w:t>
            </w:r>
          </w:p>
        </w:tc>
      </w:tr>
      <w:tr>
        <w:tc>
          <w:tcPr>
            <w:tcW w:type="dxa" w:w="4703"/>
            <w:vAlign w:val="center"/>
          </w:tcPr>
          <w:p>
            <w:r>
              <w:t>Lixadeira</w:t>
            </w:r>
          </w:p>
        </w:tc>
        <w:tc>
          <w:tcPr>
            <w:tcW w:type="dxa" w:w="4703"/>
            <w:vAlign w:val="center"/>
          </w:tcPr>
          <w:p>
            <w:r>
              <w:t>6</w:t>
            </w:r>
          </w:p>
        </w:tc>
      </w:tr>
      <w:tr>
        <w:tc>
          <w:tcPr>
            <w:tcW w:type="dxa" w:w="4703"/>
            <w:vAlign w:val="center"/>
          </w:tcPr>
          <w:p>
            <w:r>
              <w:t>Talha elétrica</w:t>
            </w:r>
          </w:p>
        </w:tc>
        <w:tc>
          <w:tcPr>
            <w:tcW w:type="dxa" w:w="4703"/>
            <w:vAlign w:val="center"/>
          </w:tcPr>
          <w:p>
            <w:r>
              <w:t>3</w:t>
            </w:r>
          </w:p>
        </w:tc>
      </w:tr>
      <w:tr>
        <w:tc>
          <w:tcPr>
            <w:tcW w:type="dxa" w:w="4703"/>
            <w:vAlign w:val="center"/>
          </w:tcPr>
          <w:p>
            <w:r>
              <w:t>Gerador portátil</w:t>
            </w:r>
          </w:p>
        </w:tc>
        <w:tc>
          <w:tcPr>
            <w:tcW w:type="dxa" w:w="4703"/>
            <w:vAlign w:val="center"/>
          </w:tcPr>
          <w:p>
            <w:r>
              <w:t>1</w:t>
            </w:r>
          </w:p>
        </w:tc>
      </w:tr>
      <w:tr>
        <w:tc>
          <w:tcPr>
            <w:tcW w:type="dxa" w:w="4703"/>
            <w:vAlign w:val="center"/>
          </w:tcPr>
          <w:p>
            <w:r>
              <w:t>Máquina de alinhamento a laser</w:t>
            </w:r>
          </w:p>
        </w:tc>
        <w:tc>
          <w:tcPr>
            <w:tcW w:type="dxa" w:w="4703"/>
            <w:vAlign w:val="center"/>
          </w:tcPr>
          <w:p>
            <w:r>
              <w:t>1</w:t>
            </w:r>
          </w:p>
        </w:tc>
      </w:tr>
      <w:tr>
        <w:tc>
          <w:tcPr>
            <w:tcW w:type="dxa" w:w="4703"/>
            <w:vAlign w:val="center"/>
          </w:tcPr>
          <w:p>
            <w:r>
              <w:t>Kit de ferramentas elétricas isoladas</w:t>
            </w:r>
          </w:p>
        </w:tc>
        <w:tc>
          <w:tcPr>
            <w:tcW w:type="dxa" w:w="4703"/>
            <w:vAlign w:val="center"/>
          </w:tcPr>
          <w:p>
            <w:r>
              <w:t>4</w:t>
            </w:r>
          </w:p>
        </w:tc>
      </w:tr>
    </w:tbl>
    <w:p/>
    <w:p>
      <w:r>
        <w:t>Também deverão ser disponibilizados instrumentos de medição calibrados, EPIs, EPCs, ferramentas manuais e equipamentos de apoio compatíveis com cada atividade.</w:t>
      </w:r>
    </w:p>
    <w:p>
      <w:pPr>
        <w:pStyle w:val="Heading1"/>
      </w:pPr>
      <w:r>
        <w:t>10. ESTRUTURA FORNECIDA PELA CONTRATANTE</w:t>
      </w:r>
    </w:p>
    <w:p>
      <w:pPr>
        <w:pStyle w:val="ListBullet"/>
      </w:pPr>
      <w:r>
        <w:t>Área administrativa compartilhada.</w:t>
      </w:r>
    </w:p>
    <w:p>
      <w:pPr>
        <w:pStyle w:val="ListBullet"/>
      </w:pPr>
      <w:r>
        <w:t>Oficina de manutenção para atividades autorizadas.</w:t>
      </w:r>
    </w:p>
    <w:p>
      <w:pPr>
        <w:pStyle w:val="ListBullet"/>
      </w:pPr>
      <w:r>
        <w:t>Energia elétrica e água industrial nos pontos disponibilizados.</w:t>
      </w:r>
    </w:p>
    <w:p>
      <w:pPr>
        <w:pStyle w:val="ListBullet"/>
      </w:pPr>
      <w:r>
        <w:t>Sanitários e áreas de apoio.</w:t>
      </w:r>
    </w:p>
    <w:p>
      <w:pPr>
        <w:pStyle w:val="ListBullet"/>
      </w:pPr>
      <w:r>
        <w:t>Acesso às áreas produtivas mediante autorização.</w:t>
      </w:r>
    </w:p>
    <w:p>
      <w:pPr>
        <w:pStyle w:val="ListBullet"/>
      </w:pPr>
      <w:r>
        <w:t>Documentação técnica disponível para execução dos serviços.</w:t>
      </w:r>
    </w:p>
    <w:p>
      <w:pPr>
        <w:pStyle w:val="Heading1"/>
      </w:pPr>
      <w:r>
        <w:t>11. EQUIPE TÉCNICA REQUERIDA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Função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Quantidade</w:t>
            </w:r>
          </w:p>
        </w:tc>
      </w:tr>
      <w:tr>
        <w:tc>
          <w:tcPr>
            <w:tcW w:type="dxa" w:w="4703"/>
            <w:vAlign w:val="center"/>
          </w:tcPr>
          <w:p>
            <w:r>
              <w:t>Engenheiro Mecânico</w:t>
            </w:r>
          </w:p>
        </w:tc>
        <w:tc>
          <w:tcPr>
            <w:tcW w:type="dxa" w:w="4703"/>
            <w:vAlign w:val="center"/>
          </w:tcPr>
          <w:p>
            <w:r>
              <w:t>1</w:t>
            </w:r>
          </w:p>
        </w:tc>
      </w:tr>
      <w:tr>
        <w:tc>
          <w:tcPr>
            <w:tcW w:type="dxa" w:w="4703"/>
            <w:vAlign w:val="center"/>
          </w:tcPr>
          <w:p>
            <w:r>
              <w:t>Engenheiro Eletricista</w:t>
            </w:r>
          </w:p>
        </w:tc>
        <w:tc>
          <w:tcPr>
            <w:tcW w:type="dxa" w:w="4703"/>
            <w:vAlign w:val="center"/>
          </w:tcPr>
          <w:p>
            <w:r>
              <w:t>1</w:t>
            </w:r>
          </w:p>
        </w:tc>
      </w:tr>
      <w:tr>
        <w:tc>
          <w:tcPr>
            <w:tcW w:type="dxa" w:w="4703"/>
            <w:vAlign w:val="center"/>
          </w:tcPr>
          <w:p>
            <w:r>
              <w:t>Supervisor de Manutenção</w:t>
            </w:r>
          </w:p>
        </w:tc>
        <w:tc>
          <w:tcPr>
            <w:tcW w:type="dxa" w:w="4703"/>
            <w:vAlign w:val="center"/>
          </w:tcPr>
          <w:p>
            <w:r>
              <w:t>1</w:t>
            </w:r>
          </w:p>
        </w:tc>
      </w:tr>
      <w:tr>
        <w:tc>
          <w:tcPr>
            <w:tcW w:type="dxa" w:w="4703"/>
            <w:vAlign w:val="center"/>
          </w:tcPr>
          <w:p>
            <w:r>
              <w:t>Planejador de Manutenção</w:t>
            </w:r>
          </w:p>
        </w:tc>
        <w:tc>
          <w:tcPr>
            <w:tcW w:type="dxa" w:w="4703"/>
            <w:vAlign w:val="center"/>
          </w:tcPr>
          <w:p>
            <w:r>
              <w:t>1</w:t>
            </w:r>
          </w:p>
        </w:tc>
      </w:tr>
      <w:tr>
        <w:tc>
          <w:tcPr>
            <w:tcW w:type="dxa" w:w="4703"/>
            <w:vAlign w:val="center"/>
          </w:tcPr>
          <w:p>
            <w:r>
              <w:t>Mecânico Industrial</w:t>
            </w:r>
          </w:p>
        </w:tc>
        <w:tc>
          <w:tcPr>
            <w:tcW w:type="dxa" w:w="4703"/>
            <w:vAlign w:val="center"/>
          </w:tcPr>
          <w:p>
            <w:r>
              <w:t>4</w:t>
            </w:r>
          </w:p>
        </w:tc>
      </w:tr>
      <w:tr>
        <w:tc>
          <w:tcPr>
            <w:tcW w:type="dxa" w:w="4703"/>
            <w:vAlign w:val="center"/>
          </w:tcPr>
          <w:p>
            <w:r>
              <w:t>Eletricista Industrial</w:t>
            </w:r>
          </w:p>
        </w:tc>
        <w:tc>
          <w:tcPr>
            <w:tcW w:type="dxa" w:w="4703"/>
            <w:vAlign w:val="center"/>
          </w:tcPr>
          <w:p>
            <w:r>
              <w:t>3</w:t>
            </w:r>
          </w:p>
        </w:tc>
      </w:tr>
      <w:tr>
        <w:tc>
          <w:tcPr>
            <w:tcW w:type="dxa" w:w="4703"/>
            <w:vAlign w:val="center"/>
          </w:tcPr>
          <w:p>
            <w:r>
              <w:t>Instrumentista</w:t>
            </w:r>
          </w:p>
        </w:tc>
        <w:tc>
          <w:tcPr>
            <w:tcW w:type="dxa" w:w="4703"/>
            <w:vAlign w:val="center"/>
          </w:tcPr>
          <w:p>
            <w:r>
              <w:t>2</w:t>
            </w:r>
          </w:p>
        </w:tc>
      </w:tr>
      <w:tr>
        <w:tc>
          <w:tcPr>
            <w:tcW w:type="dxa" w:w="4703"/>
            <w:vAlign w:val="center"/>
          </w:tcPr>
          <w:p>
            <w:r>
              <w:t>Caldeireiro</w:t>
            </w:r>
          </w:p>
        </w:tc>
        <w:tc>
          <w:tcPr>
            <w:tcW w:type="dxa" w:w="4703"/>
            <w:vAlign w:val="center"/>
          </w:tcPr>
          <w:p>
            <w:r>
              <w:t>2</w:t>
            </w:r>
          </w:p>
        </w:tc>
      </w:tr>
      <w:tr>
        <w:tc>
          <w:tcPr>
            <w:tcW w:type="dxa" w:w="4703"/>
            <w:vAlign w:val="center"/>
          </w:tcPr>
          <w:p>
            <w:r>
              <w:t>Soldador</w:t>
            </w:r>
          </w:p>
        </w:tc>
        <w:tc>
          <w:tcPr>
            <w:tcW w:type="dxa" w:w="4703"/>
            <w:vAlign w:val="center"/>
          </w:tcPr>
          <w:p>
            <w:r>
              <w:t>2</w:t>
            </w:r>
          </w:p>
        </w:tc>
      </w:tr>
      <w:tr>
        <w:tc>
          <w:tcPr>
            <w:tcW w:type="dxa" w:w="4703"/>
            <w:vAlign w:val="center"/>
          </w:tcPr>
          <w:p>
            <w:r>
              <w:t>Técnico de Utilidades</w:t>
            </w:r>
          </w:p>
        </w:tc>
        <w:tc>
          <w:tcPr>
            <w:tcW w:type="dxa" w:w="4703"/>
            <w:vAlign w:val="center"/>
          </w:tcPr>
          <w:p>
            <w:r>
              <w:t>2</w:t>
            </w:r>
          </w:p>
        </w:tc>
      </w:tr>
      <w:tr>
        <w:tc>
          <w:tcPr>
            <w:tcW w:type="dxa" w:w="4703"/>
            <w:vAlign w:val="center"/>
          </w:tcPr>
          <w:p>
            <w:r>
              <w:t>Ajudante de Manutenção</w:t>
            </w:r>
          </w:p>
        </w:tc>
        <w:tc>
          <w:tcPr>
            <w:tcW w:type="dxa" w:w="4703"/>
            <w:vAlign w:val="center"/>
          </w:tcPr>
          <w:p>
            <w:r>
              <w:t>4</w:t>
            </w:r>
          </w:p>
        </w:tc>
      </w:tr>
      <w:tr>
        <w:tc>
          <w:tcPr>
            <w:tcW w:type="dxa" w:w="4703"/>
            <w:vAlign w:val="center"/>
          </w:tcPr>
          <w:p>
            <w:r>
              <w:t>Total estimado</w:t>
            </w:r>
          </w:p>
        </w:tc>
        <w:tc>
          <w:tcPr>
            <w:tcW w:type="dxa" w:w="4703"/>
            <w:vAlign w:val="center"/>
          </w:tcPr>
          <w:p>
            <w:r>
              <w:t>23</w:t>
            </w:r>
          </w:p>
        </w:tc>
      </w:tr>
    </w:tbl>
    <w:p/>
    <w:p>
      <w:pPr>
        <w:pStyle w:val="Heading1"/>
      </w:pPr>
      <w:r>
        <w:t>12. MODALIDADE DE SERVIÇOS SPOT</w:t>
      </w:r>
    </w:p>
    <w:p>
      <w:r>
        <w:t>Serviços extraordinários não contemplados na rotina mensal poderão ser contratados mediante modalidade SPOT, desde que previamente aprovados pela contratante.</w:t>
      </w:r>
    </w:p>
    <w:p>
      <w:pPr>
        <w:pStyle w:val="ListBullet"/>
      </w:pPr>
      <w:r>
        <w:t>Emissão de solicitação ou ordem de serviço específica.</w:t>
      </w:r>
    </w:p>
    <w:p>
      <w:pPr>
        <w:pStyle w:val="ListBullet"/>
      </w:pPr>
      <w:r>
        <w:t>Apresentação de composição de mão de obra e recursos.</w:t>
      </w:r>
    </w:p>
    <w:p>
      <w:pPr>
        <w:pStyle w:val="ListBullet"/>
      </w:pPr>
      <w:r>
        <w:t>Aprovação comercial e técnica antes do início.</w:t>
      </w:r>
    </w:p>
    <w:p>
      <w:pPr>
        <w:pStyle w:val="ListBullet"/>
      </w:pPr>
      <w:r>
        <w:t>Medição conforme escopo efetivamente executado.</w:t>
      </w:r>
    </w:p>
    <w:p>
      <w:pPr>
        <w:pStyle w:val="ListBullet"/>
      </w:pPr>
      <w:r>
        <w:t>Emissão de relatório e evidências da execução.</w:t>
      </w:r>
    </w:p>
    <w:p>
      <w:pPr>
        <w:pStyle w:val="Heading1"/>
      </w:pPr>
      <w:r>
        <w:t>13. REQUISITOS DE QUALIFICAÇÃO TÉCNICA</w:t>
      </w:r>
    </w:p>
    <w:p>
      <w:pPr>
        <w:pStyle w:val="ListBullet"/>
      </w:pPr>
      <w:r>
        <w:t>Empresa com experiência mínima de 5 anos em manutenção industrial.</w:t>
      </w:r>
    </w:p>
    <w:p>
      <w:pPr>
        <w:pStyle w:val="ListBullet"/>
      </w:pPr>
      <w:r>
        <w:t>Engenheiros registrados e habilitados perante o conselho profissional aplicável.</w:t>
      </w:r>
    </w:p>
    <w:p>
      <w:pPr>
        <w:pStyle w:val="ListBullet"/>
      </w:pPr>
      <w:r>
        <w:t>Soldadores com qualificação compatível com os processos utilizados.</w:t>
      </w:r>
    </w:p>
    <w:p>
      <w:pPr>
        <w:pStyle w:val="ListBullet"/>
      </w:pPr>
      <w:r>
        <w:t>Eletricistas com NR-10 e, quando aplicável, NR-10 SEP.</w:t>
      </w:r>
    </w:p>
    <w:p>
      <w:pPr>
        <w:pStyle w:val="ListBullet"/>
      </w:pPr>
      <w:r>
        <w:t>Profissionais autorizados para trabalho em espaço confinado e altura, quando necessário.</w:t>
      </w:r>
    </w:p>
    <w:p>
      <w:pPr>
        <w:pStyle w:val="ListBullet"/>
      </w:pPr>
      <w:r>
        <w:t>Experiência mínima de 2 anos para os demais profissionais operacionais.</w:t>
      </w:r>
    </w:p>
    <w:p>
      <w:pPr>
        <w:pStyle w:val="ListBullet"/>
      </w:pPr>
      <w:r>
        <w:t>Disponibilidade de certificados e registros para auditoria.</w:t>
      </w:r>
    </w:p>
    <w:p>
      <w:pPr>
        <w:pStyle w:val="Heading1"/>
      </w:pPr>
      <w:r>
        <w:t>14. PROCEDIMENTOS ADMINISTRATIVOS E LEGAIS</w:t>
      </w:r>
    </w:p>
    <w:p>
      <w:pPr>
        <w:pStyle w:val="ListBullet"/>
      </w:pPr>
      <w:r>
        <w:t>PGR e PCMSO atualizados.</w:t>
      </w:r>
    </w:p>
    <w:p>
      <w:pPr>
        <w:pStyle w:val="ListBullet"/>
      </w:pPr>
      <w:r>
        <w:t>ASOs válidos para todos os profissionais.</w:t>
      </w:r>
    </w:p>
    <w:p>
      <w:pPr>
        <w:pStyle w:val="ListBullet"/>
      </w:pPr>
      <w:r>
        <w:t>ART ou documento de responsabilidade técnica quando aplicável.</w:t>
      </w:r>
    </w:p>
    <w:p>
      <w:pPr>
        <w:pStyle w:val="ListBullet"/>
      </w:pPr>
      <w:r>
        <w:t>Certificados de treinamentos obrigatórios.</w:t>
      </w:r>
    </w:p>
    <w:p>
      <w:pPr>
        <w:pStyle w:val="ListBullet"/>
      </w:pPr>
      <w:r>
        <w:t>Fichas de entrega e controle de EPIs.</w:t>
      </w:r>
    </w:p>
    <w:p>
      <w:pPr>
        <w:pStyle w:val="ListBullet"/>
      </w:pPr>
      <w:r>
        <w:t>Documentação trabalhista e previdenciária atualizada.</w:t>
      </w:r>
    </w:p>
    <w:p>
      <w:pPr>
        <w:pStyle w:val="ListBullet"/>
      </w:pPr>
      <w:r>
        <w:t>Controle de acesso e credenciamento dos profissionais.</w:t>
      </w:r>
    </w:p>
    <w:p>
      <w:pPr>
        <w:pStyle w:val="Heading1"/>
      </w:pPr>
      <w:r>
        <w:t>15. SEGURANÇA DO TRABALHO</w:t>
      </w:r>
    </w:p>
    <w:p>
      <w:r>
        <w:t>A contratada deverá manter estrutura de segurança compatível com o risco das atividades e seguir integralmente os procedimentos da contratante.</w:t>
      </w:r>
    </w:p>
    <w:p>
      <w:pPr>
        <w:pStyle w:val="ListBullet"/>
      </w:pPr>
      <w:r>
        <w:t>DDS diário.</w:t>
      </w:r>
    </w:p>
    <w:p>
      <w:pPr>
        <w:pStyle w:val="ListBullet"/>
      </w:pPr>
      <w:r>
        <w:t>APR antes das atividades de risco.</w:t>
      </w:r>
    </w:p>
    <w:p>
      <w:pPr>
        <w:pStyle w:val="ListBullet"/>
      </w:pPr>
      <w:r>
        <w:t>Permissão de Trabalho quando aplicável.</w:t>
      </w:r>
    </w:p>
    <w:p>
      <w:pPr>
        <w:pStyle w:val="ListBullet"/>
      </w:pPr>
      <w:r>
        <w:t>Inspeções periódicas de segurança.</w:t>
      </w:r>
    </w:p>
    <w:p>
      <w:pPr>
        <w:pStyle w:val="ListBullet"/>
      </w:pPr>
      <w:r>
        <w:t>Controle de treinamentos e autorizações.</w:t>
      </w:r>
    </w:p>
    <w:p>
      <w:pPr>
        <w:pStyle w:val="ListBullet"/>
      </w:pPr>
      <w:r>
        <w:t>Bloqueio e etiquetagem de fontes de energia quando aplicável.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Meta</w:t>
            </w:r>
          </w:p>
        </w:tc>
      </w:tr>
      <w:tr>
        <w:tc>
          <w:tcPr>
            <w:tcW w:type="dxa" w:w="4703"/>
            <w:vAlign w:val="center"/>
          </w:tcPr>
          <w:p>
            <w:r>
              <w:t>Acidentes com afastamento</w:t>
            </w:r>
          </w:p>
        </w:tc>
        <w:tc>
          <w:tcPr>
            <w:tcW w:type="dxa" w:w="4703"/>
            <w:vAlign w:val="center"/>
          </w:tcPr>
          <w:p>
            <w:r>
              <w:t>Zero</w:t>
            </w:r>
          </w:p>
        </w:tc>
      </w:tr>
      <w:tr>
        <w:tc>
          <w:tcPr>
            <w:tcW w:type="dxa" w:w="4703"/>
            <w:vAlign w:val="center"/>
          </w:tcPr>
          <w:p>
            <w:r>
              <w:t>APR emitidas para atividades aplicáveis</w:t>
            </w:r>
          </w:p>
        </w:tc>
        <w:tc>
          <w:tcPr>
            <w:tcW w:type="dxa" w:w="4703"/>
            <w:vAlign w:val="center"/>
          </w:tcPr>
          <w:p>
            <w:r>
              <w:t>100%</w:t>
            </w:r>
          </w:p>
        </w:tc>
      </w:tr>
      <w:tr>
        <w:tc>
          <w:tcPr>
            <w:tcW w:type="dxa" w:w="4703"/>
            <w:vAlign w:val="center"/>
          </w:tcPr>
          <w:p>
            <w:r>
              <w:t>Treinamentos obrigatórios válidos</w:t>
            </w:r>
          </w:p>
        </w:tc>
        <w:tc>
          <w:tcPr>
            <w:tcW w:type="dxa" w:w="4703"/>
            <w:vAlign w:val="center"/>
          </w:tcPr>
          <w:p>
            <w:r>
              <w:t>100%</w:t>
            </w:r>
          </w:p>
        </w:tc>
      </w:tr>
      <w:tr>
        <w:tc>
          <w:tcPr>
            <w:tcW w:type="dxa" w:w="4703"/>
            <w:vAlign w:val="center"/>
          </w:tcPr>
          <w:p>
            <w:r>
              <w:t>Conformidade no uso de EPI</w:t>
            </w:r>
          </w:p>
        </w:tc>
        <w:tc>
          <w:tcPr>
            <w:tcW w:type="dxa" w:w="4703"/>
            <w:vAlign w:val="center"/>
          </w:tcPr>
          <w:p>
            <w:r>
              <w:t>100%</w:t>
            </w:r>
          </w:p>
        </w:tc>
      </w:tr>
    </w:tbl>
    <w:p/>
    <w:p>
      <w:pPr>
        <w:pStyle w:val="Heading1"/>
      </w:pPr>
      <w:r>
        <w:t>16. MEIO AMBIENTE</w:t>
      </w:r>
    </w:p>
    <w:p>
      <w:pPr>
        <w:pStyle w:val="ListBullet"/>
      </w:pPr>
      <w:r>
        <w:t>Segregação e acondicionamento adequado dos resíduos.</w:t>
      </w:r>
    </w:p>
    <w:p>
      <w:pPr>
        <w:pStyle w:val="ListBullet"/>
      </w:pPr>
      <w:r>
        <w:t>Controle de resíduos contaminados e perigosos.</w:t>
      </w:r>
    </w:p>
    <w:p>
      <w:pPr>
        <w:pStyle w:val="ListBullet"/>
      </w:pPr>
      <w:r>
        <w:t>Disponibilização de kits de contenção.</w:t>
      </w:r>
    </w:p>
    <w:p>
      <w:pPr>
        <w:pStyle w:val="ListBullet"/>
      </w:pPr>
      <w:r>
        <w:t>Prevenção de vazamentos e derramamentos.</w:t>
      </w:r>
    </w:p>
    <w:p>
      <w:pPr>
        <w:pStyle w:val="ListBullet"/>
      </w:pPr>
      <w:r>
        <w:t>Destinação dos resíduos conforme procedimentos da contratante.</w:t>
      </w:r>
    </w:p>
    <w:p>
      <w:pPr>
        <w:pStyle w:val="ListBullet"/>
      </w:pPr>
      <w:r>
        <w:t>Comunicação imediata de desvios ambientais.</w:t>
      </w:r>
    </w:p>
    <w:p>
      <w:pPr>
        <w:pStyle w:val="Heading1"/>
      </w:pPr>
      <w:r>
        <w:t>17. QUALIDADE</w:t>
      </w:r>
    </w:p>
    <w:p>
      <w:pPr>
        <w:pStyle w:val="ListBullet"/>
      </w:pPr>
      <w:r>
        <w:t>Procedimentos documentados para atividades críticas.</w:t>
      </w:r>
    </w:p>
    <w:p>
      <w:pPr>
        <w:pStyle w:val="ListBullet"/>
      </w:pPr>
      <w:r>
        <w:t>Registro fotográfico das intervenções relevantes.</w:t>
      </w:r>
    </w:p>
    <w:p>
      <w:pPr>
        <w:pStyle w:val="ListBullet"/>
      </w:pPr>
      <w:r>
        <w:t>Controle de inspeções e testes.</w:t>
      </w:r>
    </w:p>
    <w:p>
      <w:pPr>
        <w:pStyle w:val="ListBullet"/>
      </w:pPr>
      <w:r>
        <w:t>Registro de não conformidades.</w:t>
      </w:r>
    </w:p>
    <w:p>
      <w:pPr>
        <w:pStyle w:val="ListBullet"/>
      </w:pPr>
      <w:r>
        <w:t>Acompanhamento de ações corretivas.</w:t>
      </w:r>
    </w:p>
    <w:p>
      <w:pPr>
        <w:pStyle w:val="ListBullet"/>
      </w:pPr>
      <w:r>
        <w:t>Rastreabilidade dos serviços executados.</w:t>
      </w:r>
    </w:p>
    <w:p>
      <w:pPr>
        <w:pStyle w:val="Heading1"/>
      </w:pPr>
      <w:r>
        <w:t>18. CRITÉRIOS DE MEDIÇÃO</w:t>
      </w:r>
    </w:p>
    <w:p>
      <w:r>
        <w:t>A medição será realizada mensalmente e deverá considerar os serviços efetivamente executados e aprovados.</w:t>
      </w:r>
    </w:p>
    <w:p>
      <w:pPr>
        <w:pStyle w:val="ListBullet"/>
      </w:pPr>
      <w:r>
        <w:t>Horas de mão de obra efetivamente disponibilizadas e/ou executadas.</w:t>
      </w:r>
    </w:p>
    <w:p>
      <w:pPr>
        <w:pStyle w:val="ListBullet"/>
      </w:pPr>
      <w:r>
        <w:t>Serviços concluídos e aceitos.</w:t>
      </w:r>
    </w:p>
    <w:p>
      <w:pPr>
        <w:pStyle w:val="ListBullet"/>
      </w:pPr>
      <w:r>
        <w:t>Atendimento das ordens de serviço.</w:t>
      </w:r>
    </w:p>
    <w:p>
      <w:pPr>
        <w:pStyle w:val="ListBullet"/>
      </w:pPr>
      <w:r>
        <w:t>Relatórios e evidências aprovados.</w:t>
      </w:r>
    </w:p>
    <w:p>
      <w:pPr>
        <w:pStyle w:val="ListBullet"/>
      </w:pPr>
      <w:r>
        <w:t>Indicadores de segurança e qualidade.</w:t>
      </w:r>
    </w:p>
    <w:p>
      <w:pPr>
        <w:pStyle w:val="ListBullet"/>
      </w:pPr>
      <w:r>
        <w:t>Serviços SPOT formalmente autorizados.</w:t>
      </w:r>
    </w:p>
    <w:p>
      <w:r>
        <w:t>Prazo para envio da medição: até o 5º dia útil do mês subsequente.</w:t>
      </w:r>
    </w:p>
    <w:p>
      <w:r>
        <w:t>Prazo para validação da medição: até 5 dias úteis após o recebimento.</w:t>
      </w:r>
    </w:p>
    <w:p>
      <w:pPr>
        <w:pStyle w:val="Heading1"/>
      </w:pPr>
      <w:r>
        <w:t>19. CRONOGRAMA DE MOBILIZAÇÃO 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Prazo</w:t>
            </w:r>
          </w:p>
        </w:tc>
      </w:tr>
      <w:tr>
        <w:tc>
          <w:tcPr>
            <w:tcW w:type="dxa" w:w="4703"/>
            <w:vAlign w:val="center"/>
          </w:tcPr>
          <w:p>
            <w:r>
              <w:t>Assinatura contratual</w:t>
            </w:r>
          </w:p>
        </w:tc>
        <w:tc>
          <w:tcPr>
            <w:tcW w:type="dxa" w:w="4703"/>
            <w:vAlign w:val="center"/>
          </w:tcPr>
          <w:p>
            <w:r>
              <w:t>D+0</w:t>
            </w:r>
          </w:p>
        </w:tc>
      </w:tr>
      <w:tr>
        <w:tc>
          <w:tcPr>
            <w:tcW w:type="dxa" w:w="4703"/>
            <w:vAlign w:val="center"/>
          </w:tcPr>
          <w:p>
            <w:r>
              <w:t>Mobilização</w:t>
            </w:r>
          </w:p>
        </w:tc>
        <w:tc>
          <w:tcPr>
            <w:tcW w:type="dxa" w:w="4703"/>
            <w:vAlign w:val="center"/>
          </w:tcPr>
          <w:p>
            <w:r>
              <w:t>D+15</w:t>
            </w:r>
          </w:p>
        </w:tc>
      </w:tr>
      <w:tr>
        <w:tc>
          <w:tcPr>
            <w:tcW w:type="dxa" w:w="4703"/>
            <w:vAlign w:val="center"/>
          </w:tcPr>
          <w:p>
            <w:r>
              <w:t>Integração e credenciamento</w:t>
            </w:r>
          </w:p>
        </w:tc>
        <w:tc>
          <w:tcPr>
            <w:tcW w:type="dxa" w:w="4703"/>
            <w:vAlign w:val="center"/>
          </w:tcPr>
          <w:p>
            <w:r>
              <w:t>D+20</w:t>
            </w:r>
          </w:p>
        </w:tc>
      </w:tr>
      <w:tr>
        <w:tc>
          <w:tcPr>
            <w:tcW w:type="dxa" w:w="4703"/>
            <w:vAlign w:val="center"/>
          </w:tcPr>
          <w:p>
            <w:r>
              <w:t>Início da operação</w:t>
            </w:r>
          </w:p>
        </w:tc>
        <w:tc>
          <w:tcPr>
            <w:tcW w:type="dxa" w:w="4703"/>
            <w:vAlign w:val="center"/>
          </w:tcPr>
          <w:p>
            <w:r>
              <w:t>D+30</w:t>
            </w:r>
          </w:p>
        </w:tc>
      </w:tr>
      <w:tr>
        <w:tc>
          <w:tcPr>
            <w:tcW w:type="dxa" w:w="4703"/>
            <w:vAlign w:val="center"/>
          </w:tcPr>
          <w:p>
            <w:r>
              <w:t>Primeira avaliação de desempenho</w:t>
            </w:r>
          </w:p>
        </w:tc>
        <w:tc>
          <w:tcPr>
            <w:tcW w:type="dxa" w:w="4703"/>
            <w:vAlign w:val="center"/>
          </w:tcPr>
          <w:p>
            <w:r>
              <w:t>D+60</w:t>
            </w:r>
          </w:p>
        </w:tc>
      </w:tr>
      <w:tr>
        <w:tc>
          <w:tcPr>
            <w:tcW w:type="dxa" w:w="4703"/>
            <w:vAlign w:val="center"/>
          </w:tcPr>
          <w:p>
            <w:r>
              <w:t>Operação estabilizada</w:t>
            </w:r>
          </w:p>
        </w:tc>
        <w:tc>
          <w:tcPr>
            <w:tcW w:type="dxa" w:w="4703"/>
            <w:vAlign w:val="center"/>
          </w:tcPr>
          <w:p>
            <w:r>
              <w:t>D+90</w:t>
            </w:r>
          </w:p>
        </w:tc>
      </w:tr>
    </w:tbl>
    <w:p/>
    <w:p>
      <w:pPr>
        <w:pStyle w:val="Heading1"/>
      </w:pPr>
      <w:r>
        <w:t>20. ENTREGÁVEIS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Periodicidade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Entregáveis</w:t>
            </w:r>
          </w:p>
        </w:tc>
      </w:tr>
      <w:tr>
        <w:tc>
          <w:tcPr>
            <w:tcW w:type="dxa" w:w="4703"/>
            <w:vAlign w:val="center"/>
          </w:tcPr>
          <w:p>
            <w:r>
              <w:t>Diária</w:t>
            </w:r>
          </w:p>
        </w:tc>
        <w:tc>
          <w:tcPr>
            <w:tcW w:type="dxa" w:w="4703"/>
            <w:vAlign w:val="center"/>
          </w:tcPr>
          <w:p>
            <w:r>
              <w:t>Registro de atividades e ocorrências relevantes</w:t>
            </w:r>
          </w:p>
        </w:tc>
      </w:tr>
      <w:tr>
        <w:tc>
          <w:tcPr>
            <w:tcW w:type="dxa" w:w="4703"/>
            <w:vAlign w:val="center"/>
          </w:tcPr>
          <w:p>
            <w:r>
              <w:t>Semanal</w:t>
            </w:r>
          </w:p>
        </w:tc>
        <w:tc>
          <w:tcPr>
            <w:tcW w:type="dxa" w:w="4703"/>
            <w:vAlign w:val="center"/>
          </w:tcPr>
          <w:p>
            <w:r>
              <w:t>Programação, status das O.S. e pendências</w:t>
            </w:r>
          </w:p>
        </w:tc>
      </w:tr>
      <w:tr>
        <w:tc>
          <w:tcPr>
            <w:tcW w:type="dxa" w:w="4703"/>
            <w:vAlign w:val="center"/>
          </w:tcPr>
          <w:p>
            <w:r>
              <w:t>Mensal</w:t>
            </w:r>
          </w:p>
        </w:tc>
        <w:tc>
          <w:tcPr>
            <w:tcW w:type="dxa" w:w="4703"/>
            <w:vAlign w:val="center"/>
          </w:tcPr>
          <w:p>
            <w:r>
              <w:t>Relatório de atividades, HH, efetivo, indicadores e evidências fotográficas</w:t>
            </w:r>
          </w:p>
        </w:tc>
      </w:tr>
      <w:tr>
        <w:tc>
          <w:tcPr>
            <w:tcW w:type="dxa" w:w="4703"/>
            <w:vAlign w:val="center"/>
          </w:tcPr>
          <w:p>
            <w:r>
              <w:t>Trimestral</w:t>
            </w:r>
          </w:p>
        </w:tc>
        <w:tc>
          <w:tcPr>
            <w:tcW w:type="dxa" w:w="4703"/>
            <w:vAlign w:val="center"/>
          </w:tcPr>
          <w:p>
            <w:r>
              <w:t>Plano de melhorias e avaliação técnica</w:t>
            </w:r>
          </w:p>
        </w:tc>
      </w:tr>
      <w:tr>
        <w:tc>
          <w:tcPr>
            <w:tcW w:type="dxa" w:w="4703"/>
            <w:vAlign w:val="center"/>
          </w:tcPr>
          <w:p>
            <w:r>
              <w:t>Anual</w:t>
            </w:r>
          </w:p>
        </w:tc>
        <w:tc>
          <w:tcPr>
            <w:tcW w:type="dxa" w:w="4703"/>
            <w:vAlign w:val="center"/>
          </w:tcPr>
          <w:p>
            <w:r>
              <w:t>Revisão documental e relatório executivo</w:t>
            </w:r>
          </w:p>
        </w:tc>
      </w:tr>
    </w:tbl>
    <w:p/>
    <w:p>
      <w:pPr>
        <w:pStyle w:val="Heading1"/>
      </w:pPr>
      <w:r>
        <w:t>21. OBRIGAÇÕES DAS PARTES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Contratante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Contratada</w:t>
            </w:r>
          </w:p>
        </w:tc>
      </w:tr>
      <w:tr>
        <w:tc>
          <w:tcPr>
            <w:tcW w:type="dxa" w:w="4703"/>
            <w:vAlign w:val="center"/>
          </w:tcPr>
          <w:p>
            <w:r>
              <w:t>Fornecer informações e documentação técnica disponíveis; disponibilizar acesso às áreas; fiscalizar os serviços; aprovar medições; definir prioridades.</w:t>
            </w:r>
          </w:p>
        </w:tc>
        <w:tc>
          <w:tcPr>
            <w:tcW w:type="dxa" w:w="4703"/>
            <w:vAlign w:val="center"/>
          </w:tcPr>
          <w:p>
            <w:r>
              <w:t>Fornecer mão de obra qualificada; EPIs e ferramentas previstas; supervisão; documentação técnica; treinamentos; relatórios e gestão operacional.</w:t>
            </w:r>
          </w:p>
        </w:tc>
      </w:tr>
    </w:tbl>
    <w:p/>
    <w:p>
      <w:pPr>
        <w:pStyle w:val="Heading1"/>
      </w:pPr>
      <w:r>
        <w:t>22. VISITA TÉCNICA</w:t>
      </w:r>
    </w:p>
    <w:p>
      <w:r>
        <w:t>A visita técnica será obrigatória para participação no processo de contratação, permitindo às empresas conhecer as instalações, condições de acesso, riscos, equipamentos e particularidades do escopo.</w:t>
      </w:r>
    </w:p>
    <w:p>
      <w:pPr>
        <w:pStyle w:val="Heading1"/>
      </w:pPr>
      <w:r>
        <w:t>23. INDICADORES DE DESEMPENHO – KPI/SLA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Meta de referência</w:t>
            </w:r>
          </w:p>
        </w:tc>
      </w:tr>
      <w:tr>
        <w:tc>
          <w:tcPr>
            <w:tcW w:type="dxa" w:w="4703"/>
            <w:vAlign w:val="center"/>
          </w:tcPr>
          <w:p>
            <w:r>
              <w:t>Cumprimento da programação preventiva</w:t>
            </w:r>
          </w:p>
        </w:tc>
        <w:tc>
          <w:tcPr>
            <w:tcW w:type="dxa" w:w="4703"/>
            <w:vAlign w:val="center"/>
          </w:tcPr>
          <w:p>
            <w:r>
              <w:t>≥ 95%</w:t>
            </w:r>
          </w:p>
        </w:tc>
      </w:tr>
      <w:tr>
        <w:tc>
          <w:tcPr>
            <w:tcW w:type="dxa" w:w="4703"/>
            <w:vAlign w:val="center"/>
          </w:tcPr>
          <w:p>
            <w:r>
              <w:t>Atendimento de O.S. dentro do SLA</w:t>
            </w:r>
          </w:p>
        </w:tc>
        <w:tc>
          <w:tcPr>
            <w:tcW w:type="dxa" w:w="4703"/>
            <w:vAlign w:val="center"/>
          </w:tcPr>
          <w:p>
            <w:r>
              <w:t>≥ 95%</w:t>
            </w:r>
          </w:p>
        </w:tc>
      </w:tr>
      <w:tr>
        <w:tc>
          <w:tcPr>
            <w:tcW w:type="dxa" w:w="4703"/>
            <w:vAlign w:val="center"/>
          </w:tcPr>
          <w:p>
            <w:r>
              <w:t>Disponibilidade da equipe contratada</w:t>
            </w:r>
          </w:p>
        </w:tc>
        <w:tc>
          <w:tcPr>
            <w:tcW w:type="dxa" w:w="4703"/>
            <w:vAlign w:val="center"/>
          </w:tcPr>
          <w:p>
            <w:r>
              <w:t>≥ 98%</w:t>
            </w:r>
          </w:p>
        </w:tc>
      </w:tr>
      <w:tr>
        <w:tc>
          <w:tcPr>
            <w:tcW w:type="dxa" w:w="4703"/>
            <w:vAlign w:val="center"/>
          </w:tcPr>
          <w:p>
            <w:r>
              <w:t>Relatórios entregues no prazo</w:t>
            </w:r>
          </w:p>
        </w:tc>
        <w:tc>
          <w:tcPr>
            <w:tcW w:type="dxa" w:w="4703"/>
            <w:vAlign w:val="center"/>
          </w:tcPr>
          <w:p>
            <w:r>
              <w:t>100%</w:t>
            </w:r>
          </w:p>
        </w:tc>
      </w:tr>
      <w:tr>
        <w:tc>
          <w:tcPr>
            <w:tcW w:type="dxa" w:w="4703"/>
            <w:vAlign w:val="center"/>
          </w:tcPr>
          <w:p>
            <w:r>
              <w:t>Treinamentos obrigatórios válidos</w:t>
            </w:r>
          </w:p>
        </w:tc>
        <w:tc>
          <w:tcPr>
            <w:tcW w:type="dxa" w:w="4703"/>
            <w:vAlign w:val="center"/>
          </w:tcPr>
          <w:p>
            <w:r>
              <w:t>100%</w:t>
            </w:r>
          </w:p>
        </w:tc>
      </w:tr>
      <w:tr>
        <w:tc>
          <w:tcPr>
            <w:tcW w:type="dxa" w:w="4703"/>
            <w:vAlign w:val="center"/>
          </w:tcPr>
          <w:p>
            <w:r>
              <w:t>Acidentes com afastamento</w:t>
            </w:r>
          </w:p>
        </w:tc>
        <w:tc>
          <w:tcPr>
            <w:tcW w:type="dxa" w:w="4703"/>
            <w:vAlign w:val="center"/>
          </w:tcPr>
          <w:p>
            <w:r>
              <w:t>Zero</w:t>
            </w:r>
          </w:p>
        </w:tc>
      </w:tr>
    </w:tbl>
    <w:p/>
    <w:p>
      <w:pPr>
        <w:pStyle w:val="Heading1"/>
      </w:pPr>
      <w:r>
        <w:t>24. CRITÉRIOS DE AVALIAÇÃO DAS PROPOSTAS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4703"/>
            <w:shd w:fill="D9EAF7"/>
          </w:tcPr>
          <w:p>
            <w:r>
              <w:rPr>
                <w:b/>
              </w:rPr>
              <w:t>Peso</w:t>
            </w:r>
          </w:p>
        </w:tc>
      </w:tr>
      <w:tr>
        <w:tc>
          <w:tcPr>
            <w:tcW w:type="dxa" w:w="4703"/>
            <w:vAlign w:val="center"/>
          </w:tcPr>
          <w:p>
            <w:r>
              <w:t>Proposta Técnica</w:t>
            </w:r>
          </w:p>
        </w:tc>
        <w:tc>
          <w:tcPr>
            <w:tcW w:type="dxa" w:w="4703"/>
            <w:vAlign w:val="center"/>
          </w:tcPr>
          <w:p>
            <w:r>
              <w:t>35%</w:t>
            </w:r>
          </w:p>
        </w:tc>
      </w:tr>
      <w:tr>
        <w:tc>
          <w:tcPr>
            <w:tcW w:type="dxa" w:w="4703"/>
            <w:vAlign w:val="center"/>
          </w:tcPr>
          <w:p>
            <w:r>
              <w:t>Experiência comprovada</w:t>
            </w:r>
          </w:p>
        </w:tc>
        <w:tc>
          <w:tcPr>
            <w:tcW w:type="dxa" w:w="4703"/>
            <w:vAlign w:val="center"/>
          </w:tcPr>
          <w:p>
            <w:r>
              <w:t>20%</w:t>
            </w:r>
          </w:p>
        </w:tc>
      </w:tr>
      <w:tr>
        <w:tc>
          <w:tcPr>
            <w:tcW w:type="dxa" w:w="4703"/>
            <w:vAlign w:val="center"/>
          </w:tcPr>
          <w:p>
            <w:r>
              <w:t>Metodologia de execução</w:t>
            </w:r>
          </w:p>
        </w:tc>
        <w:tc>
          <w:tcPr>
            <w:tcW w:type="dxa" w:w="4703"/>
            <w:vAlign w:val="center"/>
          </w:tcPr>
          <w:p>
            <w:r>
              <w:t>15%</w:t>
            </w:r>
          </w:p>
        </w:tc>
      </w:tr>
      <w:tr>
        <w:tc>
          <w:tcPr>
            <w:tcW w:type="dxa" w:w="4703"/>
            <w:vAlign w:val="center"/>
          </w:tcPr>
          <w:p>
            <w:r>
              <w:t>Segurança e Qualidade</w:t>
            </w:r>
          </w:p>
        </w:tc>
        <w:tc>
          <w:tcPr>
            <w:tcW w:type="dxa" w:w="4703"/>
            <w:vAlign w:val="center"/>
          </w:tcPr>
          <w:p>
            <w:r>
              <w:t>15%</w:t>
            </w:r>
          </w:p>
        </w:tc>
      </w:tr>
      <w:tr>
        <w:tc>
          <w:tcPr>
            <w:tcW w:type="dxa" w:w="4703"/>
            <w:vAlign w:val="center"/>
          </w:tcPr>
          <w:p>
            <w:r>
              <w:t>Proposta Comercial</w:t>
            </w:r>
          </w:p>
        </w:tc>
        <w:tc>
          <w:tcPr>
            <w:tcW w:type="dxa" w:w="4703"/>
            <w:vAlign w:val="center"/>
          </w:tcPr>
          <w:p>
            <w:r>
              <w:t>15%</w:t>
            </w:r>
          </w:p>
        </w:tc>
      </w:tr>
    </w:tbl>
    <w:p/>
    <w:p>
      <w:pPr>
        <w:pStyle w:val="Heading1"/>
      </w:pPr>
      <w:r>
        <w:t>25. ANEXOS</w:t>
      </w:r>
    </w:p>
    <w:p>
      <w:pPr>
        <w:pStyle w:val="ListBullet"/>
      </w:pPr>
      <w:r>
        <w:t>Anexo I – Matriz de Responsabilidades.</w:t>
      </w:r>
    </w:p>
    <w:p>
      <w:pPr>
        <w:pStyle w:val="ListBullet"/>
      </w:pPr>
      <w:r>
        <w:t>Anexo II – Organograma Contratual.</w:t>
      </w:r>
    </w:p>
    <w:p>
      <w:pPr>
        <w:pStyle w:val="ListBullet"/>
      </w:pPr>
      <w:r>
        <w:t>Anexo III – Relação de Equipamentos e Sistemas Atendidos.</w:t>
      </w:r>
    </w:p>
    <w:p>
      <w:pPr>
        <w:pStyle w:val="ListBullet"/>
      </w:pPr>
      <w:r>
        <w:t>Anexo IV – Procedimento de Segurança para Terceiros.</w:t>
      </w:r>
    </w:p>
    <w:p>
      <w:pPr>
        <w:pStyle w:val="ListBullet"/>
      </w:pPr>
      <w:r>
        <w:t>Anexo V – Modelo de APR.</w:t>
      </w:r>
    </w:p>
    <w:p>
      <w:pPr>
        <w:pStyle w:val="ListBullet"/>
      </w:pPr>
      <w:r>
        <w:t>Anexo VI – Formulário de Medição.</w:t>
      </w:r>
    </w:p>
    <w:p>
      <w:pPr>
        <w:pStyle w:val="ListBullet"/>
      </w:pPr>
      <w:r>
        <w:t>Anexo VII – Indicadores de Desempenho (KPIs).</w:t>
      </w:r>
    </w:p>
    <w:p>
      <w:pPr>
        <w:pStyle w:val="ListBullet"/>
      </w:pPr>
      <w:r>
        <w:t>Anexo VIII – Plano de Mobilização.</w:t>
      </w:r>
    </w:p>
    <w:p>
      <w:pPr>
        <w:pStyle w:val="ListBullet"/>
      </w:pPr>
      <w:r>
        <w:t>Anexo IX – Plano de Gestão Ambiental.</w:t>
      </w:r>
    </w:p>
    <w:p>
      <w:pPr>
        <w:pStyle w:val="ListBullet"/>
      </w:pPr>
      <w:r>
        <w:t>Anexo X – Lista Mestra de Documentos Contratuais.</w:t>
      </w:r>
    </w:p>
    <w:p>
      <w:pPr>
        <w:pStyle w:val="Heading1"/>
      </w:pPr>
      <w:r>
        <w:t>26. CONSIDERAÇÕES FINAIS</w:t>
      </w:r>
    </w:p>
    <w:p>
      <w:r>
        <w:t>O presente Memorial Descritivo estabelece as condições mínimas para execução dos serviços de manutenção industrial, utilidades e confiabilidade dos ativos da unidade Nexum. A proposta deverá contemplar todos os recursos necessários ao atendimento integral do escopo, incluindo mão de obra, supervisão, ferramentas, equipamentos, documentação, segurança, qualidade e gestão operacional.</w:t>
      </w:r>
    </w:p>
    <w:p/>
    <w:p>
      <w:pPr>
        <w:jc w:val="center"/>
      </w:pPr>
      <w:r>
        <w:rPr>
          <w:b/>
        </w:rPr>
        <w:t>FIM DO MEMORIAL DESCRITIVO TÉCNICO – MD-MAN-UTIL-061/2026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