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870B0" w14:textId="3B1E43B2" w:rsidR="00720547" w:rsidRDefault="00720547" w:rsidP="00720547">
      <w:pPr>
        <w:pStyle w:val="PlainText"/>
        <w:jc w:val="center"/>
        <w:rPr>
          <w:rFonts w:ascii="Times New Roman" w:hAnsi="Times New Roman" w:cs="Times New Roman"/>
          <w:b/>
          <w:sz w:val="24"/>
          <w:szCs w:val="24"/>
        </w:rPr>
      </w:pPr>
      <w:r w:rsidRPr="00214B71">
        <w:rPr>
          <w:rFonts w:ascii="Times New Roman" w:hAnsi="Times New Roman" w:cs="Times New Roman"/>
          <w:b/>
          <w:sz w:val="24"/>
          <w:szCs w:val="24"/>
        </w:rPr>
        <w:t>Apollo Passive Seismic Experiment Expanded Event Catalog</w:t>
      </w:r>
    </w:p>
    <w:p w14:paraId="7B6C6C0D" w14:textId="582A19CC" w:rsidR="00720547" w:rsidRDefault="00720547" w:rsidP="00720547">
      <w:pPr>
        <w:pStyle w:val="PlainText"/>
        <w:jc w:val="center"/>
        <w:rPr>
          <w:rFonts w:ascii="Times New Roman" w:hAnsi="Times New Roman" w:cs="Times New Roman"/>
          <w:b/>
          <w:sz w:val="24"/>
          <w:szCs w:val="24"/>
        </w:rPr>
      </w:pPr>
      <w:r>
        <w:rPr>
          <w:rFonts w:ascii="Times New Roman" w:hAnsi="Times New Roman" w:cs="Times New Roman"/>
          <w:b/>
          <w:sz w:val="24"/>
          <w:szCs w:val="24"/>
        </w:rPr>
        <w:t>SUPPLEMENTAL ARCHIVE</w:t>
      </w:r>
    </w:p>
    <w:p w14:paraId="622C9327" w14:textId="63163C85" w:rsidR="00163C34" w:rsidRDefault="00163C34" w:rsidP="00720547">
      <w:pPr>
        <w:pStyle w:val="PlainText"/>
        <w:jc w:val="center"/>
        <w:rPr>
          <w:rFonts w:ascii="Times New Roman" w:hAnsi="Times New Roman" w:cs="Times New Roman"/>
          <w:b/>
          <w:sz w:val="24"/>
          <w:szCs w:val="24"/>
        </w:rPr>
      </w:pPr>
    </w:p>
    <w:p w14:paraId="671CB619" w14:textId="2FA4A3AE" w:rsidR="00163C34" w:rsidRDefault="00163C34" w:rsidP="00720547">
      <w:pPr>
        <w:pStyle w:val="PlainText"/>
        <w:jc w:val="center"/>
        <w:rPr>
          <w:rFonts w:ascii="Times New Roman" w:hAnsi="Times New Roman" w:cs="Times New Roman"/>
          <w:b/>
          <w:sz w:val="24"/>
          <w:szCs w:val="24"/>
        </w:rPr>
      </w:pPr>
      <w:r>
        <w:rPr>
          <w:rFonts w:ascii="Times New Roman" w:hAnsi="Times New Roman" w:cs="Times New Roman"/>
          <w:b/>
          <w:sz w:val="24"/>
          <w:szCs w:val="24"/>
        </w:rPr>
        <w:t>Renee C. Weber</w:t>
      </w:r>
      <w:r w:rsidR="00B60F4C" w:rsidRPr="00B60F4C">
        <w:rPr>
          <w:rFonts w:ascii="Times New Roman" w:hAnsi="Times New Roman" w:cs="Times New Roman"/>
          <w:b/>
          <w:sz w:val="24"/>
          <w:szCs w:val="24"/>
          <w:vertAlign w:val="superscript"/>
        </w:rPr>
        <w:t>1</w:t>
      </w:r>
      <w:r w:rsidR="00B60F4C">
        <w:rPr>
          <w:rFonts w:ascii="Times New Roman" w:hAnsi="Times New Roman" w:cs="Times New Roman"/>
          <w:b/>
          <w:sz w:val="24"/>
          <w:szCs w:val="24"/>
        </w:rPr>
        <w:t>, Seiichi Nagihara</w:t>
      </w:r>
      <w:r w:rsidR="00B60F4C" w:rsidRPr="00B60F4C">
        <w:rPr>
          <w:rFonts w:ascii="Times New Roman" w:hAnsi="Times New Roman" w:cs="Times New Roman"/>
          <w:b/>
          <w:sz w:val="24"/>
          <w:szCs w:val="24"/>
          <w:vertAlign w:val="superscript"/>
        </w:rPr>
        <w:t>2</w:t>
      </w:r>
      <w:r w:rsidR="00B60F4C">
        <w:rPr>
          <w:rFonts w:ascii="Times New Roman" w:hAnsi="Times New Roman" w:cs="Times New Roman"/>
          <w:b/>
          <w:sz w:val="24"/>
          <w:szCs w:val="24"/>
        </w:rPr>
        <w:t>,</w:t>
      </w:r>
      <w:r w:rsidR="006A2EEC">
        <w:rPr>
          <w:rFonts w:ascii="Times New Roman" w:hAnsi="Times New Roman" w:cs="Times New Roman"/>
          <w:b/>
          <w:sz w:val="24"/>
          <w:szCs w:val="24"/>
        </w:rPr>
        <w:t xml:space="preserve"> and Jesse-Lee Dimech</w:t>
      </w:r>
      <w:r w:rsidR="00B60F4C" w:rsidRPr="00B60F4C">
        <w:rPr>
          <w:rFonts w:ascii="Times New Roman" w:hAnsi="Times New Roman" w:cs="Times New Roman"/>
          <w:b/>
          <w:sz w:val="24"/>
          <w:szCs w:val="24"/>
          <w:vertAlign w:val="superscript"/>
        </w:rPr>
        <w:t>1</w:t>
      </w:r>
    </w:p>
    <w:p w14:paraId="09D49873" w14:textId="1DC66515" w:rsidR="00163C34" w:rsidRDefault="00B60F4C" w:rsidP="00720547">
      <w:pPr>
        <w:pStyle w:val="PlainText"/>
        <w:jc w:val="center"/>
        <w:rPr>
          <w:rFonts w:ascii="Times New Roman" w:hAnsi="Times New Roman" w:cs="Times New Roman"/>
          <w:b/>
          <w:sz w:val="24"/>
          <w:szCs w:val="24"/>
        </w:rPr>
      </w:pPr>
      <w:r w:rsidRPr="00B60F4C">
        <w:rPr>
          <w:rFonts w:ascii="Times New Roman" w:hAnsi="Times New Roman" w:cs="Times New Roman"/>
          <w:b/>
          <w:sz w:val="24"/>
          <w:szCs w:val="24"/>
          <w:vertAlign w:val="superscript"/>
        </w:rPr>
        <w:t>1</w:t>
      </w:r>
      <w:r w:rsidR="00163C34">
        <w:rPr>
          <w:rFonts w:ascii="Times New Roman" w:hAnsi="Times New Roman" w:cs="Times New Roman"/>
          <w:b/>
          <w:sz w:val="24"/>
          <w:szCs w:val="24"/>
        </w:rPr>
        <w:t>NASA Marshall Space Flight Center</w:t>
      </w:r>
      <w:r>
        <w:rPr>
          <w:rFonts w:ascii="Times New Roman" w:hAnsi="Times New Roman" w:cs="Times New Roman"/>
          <w:b/>
          <w:sz w:val="24"/>
          <w:szCs w:val="24"/>
        </w:rPr>
        <w:t>, Huntsville AL</w:t>
      </w:r>
    </w:p>
    <w:p w14:paraId="767624F4" w14:textId="3F4806C9" w:rsidR="00B60F4C" w:rsidRPr="00214B71" w:rsidRDefault="00B60F4C" w:rsidP="00720547">
      <w:pPr>
        <w:pStyle w:val="PlainText"/>
        <w:jc w:val="center"/>
        <w:rPr>
          <w:rFonts w:ascii="Times New Roman" w:hAnsi="Times New Roman" w:cs="Times New Roman"/>
          <w:b/>
          <w:sz w:val="24"/>
          <w:szCs w:val="24"/>
        </w:rPr>
      </w:pPr>
      <w:r w:rsidRPr="00B60F4C">
        <w:rPr>
          <w:rFonts w:ascii="Times New Roman" w:hAnsi="Times New Roman" w:cs="Times New Roman"/>
          <w:b/>
          <w:sz w:val="24"/>
          <w:szCs w:val="24"/>
          <w:vertAlign w:val="superscript"/>
        </w:rPr>
        <w:t>2</w:t>
      </w:r>
      <w:r>
        <w:rPr>
          <w:rFonts w:ascii="Times New Roman" w:hAnsi="Times New Roman" w:cs="Times New Roman"/>
          <w:b/>
          <w:sz w:val="24"/>
          <w:szCs w:val="24"/>
        </w:rPr>
        <w:t>Dept. of Geosciences, Texas Tech University, Lubbock TX</w:t>
      </w:r>
      <w:bookmarkStart w:id="0" w:name="_GoBack"/>
      <w:bookmarkEnd w:id="0"/>
    </w:p>
    <w:p w14:paraId="36B80C65" w14:textId="77777777" w:rsidR="00720547" w:rsidRDefault="00720547" w:rsidP="00720547">
      <w:pPr>
        <w:pStyle w:val="PlainText"/>
        <w:jc w:val="both"/>
        <w:rPr>
          <w:rFonts w:ascii="Times New Roman" w:hAnsi="Times New Roman" w:cs="Times New Roman"/>
          <w:sz w:val="24"/>
          <w:szCs w:val="24"/>
        </w:rPr>
      </w:pPr>
    </w:p>
    <w:p w14:paraId="2C43D976" w14:textId="1CEEB49C" w:rsidR="00720547" w:rsidRPr="003232AB" w:rsidRDefault="00720547" w:rsidP="003232AB">
      <w:pPr>
        <w:jc w:val="both"/>
      </w:pPr>
      <w:r>
        <w:rPr>
          <w:rFonts w:ascii="Times New Roman" w:hAnsi="Times New Roman" w:cs="Times New Roman"/>
        </w:rPr>
        <w:t>This document contains information to explain the contents of the archive, which is submitted as a supplement</w:t>
      </w:r>
      <w:r w:rsidR="00833B77">
        <w:rPr>
          <w:rFonts w:ascii="Times New Roman" w:hAnsi="Times New Roman" w:cs="Times New Roman"/>
        </w:rPr>
        <w:t xml:space="preserve"> to the integrated catalog of lunar seismic events that was delivered to the PDS</w:t>
      </w:r>
      <w:r w:rsidR="003232AB">
        <w:rPr>
          <w:rFonts w:ascii="Times New Roman" w:hAnsi="Times New Roman" w:cs="Times New Roman"/>
        </w:rPr>
        <w:t xml:space="preserve">, available here: </w:t>
      </w:r>
      <w:hyperlink r:id="rId6" w:history="1">
        <w:r w:rsidR="003232AB">
          <w:rPr>
            <w:rStyle w:val="Hyperlink"/>
            <w:rFonts w:ascii="Calibri" w:hAnsi="Calibri"/>
            <w:color w:val="954F72"/>
            <w:sz w:val="22"/>
            <w:szCs w:val="22"/>
          </w:rPr>
          <w:t>https://pds-geosciences.wustl.edu/missions/apollo/seismic_event_catalog.htm</w:t>
        </w:r>
      </w:hyperlink>
      <w:r w:rsidR="00833B77">
        <w:rPr>
          <w:rFonts w:ascii="Times New Roman" w:hAnsi="Times New Roman" w:cs="Times New Roman"/>
        </w:rPr>
        <w:t xml:space="preserve">. </w:t>
      </w:r>
      <w:r w:rsidR="00833B77" w:rsidRPr="00833B77">
        <w:rPr>
          <w:rFonts w:ascii="Times New Roman" w:hAnsi="Times New Roman" w:cs="Times New Roman"/>
        </w:rPr>
        <w:t xml:space="preserve">Our team integrated moonquake </w:t>
      </w:r>
      <w:r w:rsidR="00833B77">
        <w:rPr>
          <w:rFonts w:ascii="Times New Roman" w:hAnsi="Times New Roman" w:cs="Times New Roman"/>
        </w:rPr>
        <w:t xml:space="preserve">locations from the </w:t>
      </w:r>
      <w:r w:rsidR="00833B77" w:rsidRPr="00833B77">
        <w:rPr>
          <w:rFonts w:ascii="Times New Roman" w:hAnsi="Times New Roman" w:cs="Times New Roman"/>
        </w:rPr>
        <w:t xml:space="preserve">catalog into the GIS platform using </w:t>
      </w:r>
      <w:proofErr w:type="spellStart"/>
      <w:r w:rsidR="00833B77" w:rsidRPr="00833B77">
        <w:rPr>
          <w:rFonts w:ascii="Times New Roman" w:hAnsi="Times New Roman" w:cs="Times New Roman"/>
          <w:iCs/>
        </w:rPr>
        <w:t>ArcGlobe</w:t>
      </w:r>
      <w:proofErr w:type="spellEnd"/>
      <w:r w:rsidR="00833B77" w:rsidRPr="00833B77">
        <w:rPr>
          <w:rFonts w:ascii="Times New Roman" w:hAnsi="Times New Roman" w:cs="Times New Roman"/>
          <w:iCs/>
        </w:rPr>
        <w:t>, an extension of ArcGIS</w:t>
      </w:r>
      <w:r w:rsidR="00833B77" w:rsidRPr="00833B77">
        <w:rPr>
          <w:rFonts w:ascii="Times New Roman" w:hAnsi="Times New Roman" w:cs="Times New Roman"/>
          <w:iCs/>
          <w:vertAlign w:val="superscript"/>
        </w:rPr>
        <w:footnoteReference w:id="1"/>
      </w:r>
      <w:r w:rsidR="00833B77" w:rsidRPr="00833B77">
        <w:rPr>
          <w:rFonts w:ascii="Times New Roman" w:hAnsi="Times New Roman" w:cs="Times New Roman"/>
        </w:rPr>
        <w:t>.</w:t>
      </w:r>
      <w:r w:rsidR="00833B77">
        <w:rPr>
          <w:rFonts w:ascii="Times New Roman" w:hAnsi="Times New Roman" w:cs="Times New Roman"/>
        </w:rPr>
        <w:t xml:space="preserve"> Since</w:t>
      </w:r>
      <w:r w:rsidR="00833B77" w:rsidRPr="00833B77">
        <w:rPr>
          <w:rFonts w:ascii="Times New Roman" w:hAnsi="Times New Roman" w:cs="Times New Roman"/>
        </w:rPr>
        <w:t xml:space="preserve"> ArcGIS is commercial software, </w:t>
      </w:r>
      <w:r w:rsidR="00833B77">
        <w:rPr>
          <w:rFonts w:ascii="Times New Roman" w:hAnsi="Times New Roman" w:cs="Times New Roman"/>
        </w:rPr>
        <w:t xml:space="preserve">these files are not compliant with PDS standards. </w:t>
      </w:r>
      <w:r w:rsidR="00B57275">
        <w:rPr>
          <w:rFonts w:ascii="Times New Roman" w:hAnsi="Times New Roman" w:cs="Times New Roman"/>
        </w:rPr>
        <w:t>However, as</w:t>
      </w:r>
      <w:r w:rsidR="00833B77">
        <w:rPr>
          <w:rFonts w:ascii="Times New Roman" w:hAnsi="Times New Roman" w:cs="Times New Roman"/>
        </w:rPr>
        <w:t xml:space="preserve"> they were a named deliverable from the PDART award, we chose to archive them with the Lunar and Planetary Institute, so they would be available for use by the planetary community and broader public.</w:t>
      </w:r>
    </w:p>
    <w:p w14:paraId="5EE77AD0" w14:textId="0EF7BD6B" w:rsidR="00883C5C" w:rsidRPr="00883C5C" w:rsidRDefault="00EF3256" w:rsidP="00EF3256">
      <w:pPr>
        <w:spacing w:before="100" w:beforeAutospacing="1" w:after="100" w:afterAutospacing="1"/>
        <w:jc w:val="both"/>
        <w:rPr>
          <w:rFonts w:ascii="Times New Roman" w:eastAsia="Times New Roman" w:hAnsi="Times New Roman" w:cs="Times New Roman"/>
        </w:rPr>
      </w:pPr>
      <w:r w:rsidRPr="00EF3256">
        <w:rPr>
          <w:rFonts w:ascii="Times New Roman" w:eastAsia="Times New Roman" w:hAnsi="Times New Roman" w:cs="Times New Roman"/>
          <w:noProof/>
        </w:rPr>
        <w:drawing>
          <wp:anchor distT="0" distB="0" distL="114300" distR="114300" simplePos="0" relativeHeight="251658240" behindDoc="0" locked="0" layoutInCell="1" allowOverlap="1" wp14:anchorId="385CB711" wp14:editId="57E7D64D">
            <wp:simplePos x="0" y="0"/>
            <wp:positionH relativeFrom="column">
              <wp:posOffset>-25824</wp:posOffset>
            </wp:positionH>
            <wp:positionV relativeFrom="paragraph">
              <wp:posOffset>1908175</wp:posOffset>
            </wp:positionV>
            <wp:extent cx="3906520" cy="3615055"/>
            <wp:effectExtent l="0" t="0" r="5080" b="4445"/>
            <wp:wrapSquare wrapText="bothSides"/>
            <wp:docPr id="8" name="Picture 8" descr="page3image1818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181862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06520" cy="3615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3256">
        <w:rPr>
          <w:rFonts w:ascii="TimesNewRomanPSMT" w:eastAsia="Times New Roman" w:hAnsi="TimesNewRomanPSMT" w:cs="TimesNewRomanPSMT"/>
        </w:rPr>
        <w:t>ArcGIS</w:t>
      </w:r>
      <w:r w:rsidR="00883C5C" w:rsidRPr="00883C5C">
        <w:rPr>
          <w:rFonts w:ascii="TimesNewRomanPSMT" w:eastAsia="Times New Roman" w:hAnsi="TimesNewRomanPSMT" w:cs="TimesNewRomanPSMT"/>
        </w:rPr>
        <w:t xml:space="preserve"> software is widely available among universities in the United States</w:t>
      </w:r>
      <w:r w:rsidRPr="00EF3256">
        <w:rPr>
          <w:rFonts w:ascii="TimesNewRomanPSMT" w:eastAsia="Times New Roman" w:hAnsi="TimesNewRomanPSMT" w:cs="TimesNewRomanPSMT"/>
        </w:rPr>
        <w:t xml:space="preserve">, and </w:t>
      </w:r>
      <w:r w:rsidR="00883C5C" w:rsidRPr="00883C5C">
        <w:rPr>
          <w:rFonts w:ascii="TimesNewRomanPSMT" w:eastAsia="Times New Roman" w:hAnsi="TimesNewRomanPSMT" w:cs="TimesNewRomanPSMT"/>
        </w:rPr>
        <w:t xml:space="preserve">compared to </w:t>
      </w:r>
      <w:r w:rsidRPr="00883C5C">
        <w:rPr>
          <w:rFonts w:ascii="TimesNewRomanPSMT" w:eastAsia="Times New Roman" w:hAnsi="TimesNewRomanPSMT" w:cs="TimesNewRomanPSMT"/>
        </w:rPr>
        <w:t xml:space="preserve">other ubiquitous global mapping software </w:t>
      </w:r>
      <w:r w:rsidRPr="00EF3256">
        <w:rPr>
          <w:rFonts w:ascii="TimesNewRomanPSMT" w:eastAsia="Times New Roman" w:hAnsi="TimesNewRomanPSMT" w:cs="TimesNewRomanPSMT"/>
        </w:rPr>
        <w:t xml:space="preserve">such as </w:t>
      </w:r>
      <w:r w:rsidR="00883C5C" w:rsidRPr="00883C5C">
        <w:rPr>
          <w:rFonts w:ascii="TimesNewRomanPS" w:eastAsia="Times New Roman" w:hAnsi="TimesNewRomanPS" w:cs="Times New Roman"/>
          <w:iCs/>
        </w:rPr>
        <w:t>Google Earth/Moon</w:t>
      </w:r>
      <w:r w:rsidRPr="00EF3256">
        <w:rPr>
          <w:rFonts w:ascii="TimesNewRomanPSMT" w:eastAsia="Times New Roman" w:hAnsi="TimesNewRomanPSMT" w:cs="TimesNewRomanPSMT"/>
        </w:rPr>
        <w:t>,</w:t>
      </w:r>
      <w:r w:rsidR="00883C5C" w:rsidRPr="00883C5C">
        <w:rPr>
          <w:rFonts w:ascii="TimesNewRomanPSMT" w:eastAsia="Times New Roman" w:hAnsi="TimesNewRomanPSMT" w:cs="TimesNewRomanPSMT"/>
        </w:rPr>
        <w:t xml:space="preserve"> </w:t>
      </w:r>
      <w:proofErr w:type="spellStart"/>
      <w:r w:rsidR="00883C5C" w:rsidRPr="00883C5C">
        <w:rPr>
          <w:rFonts w:ascii="TimesNewRomanPS" w:eastAsia="Times New Roman" w:hAnsi="TimesNewRomanPS" w:cs="Times New Roman"/>
          <w:iCs/>
        </w:rPr>
        <w:t>ArcGlobe</w:t>
      </w:r>
      <w:proofErr w:type="spellEnd"/>
      <w:r w:rsidR="00883C5C" w:rsidRPr="00883C5C">
        <w:rPr>
          <w:rFonts w:ascii="TimesNewRomanPS" w:eastAsia="Times New Roman" w:hAnsi="TimesNewRomanPS" w:cs="Times New Roman"/>
          <w:iCs/>
        </w:rPr>
        <w:t xml:space="preserve"> </w:t>
      </w:r>
      <w:r w:rsidR="00883C5C" w:rsidRPr="00883C5C">
        <w:rPr>
          <w:rFonts w:ascii="TimesNewRomanPSMT" w:eastAsia="Times New Roman" w:hAnsi="TimesNewRomanPSMT" w:cs="TimesNewRomanPSMT"/>
        </w:rPr>
        <w:t xml:space="preserve">is better suited for mapping features inside the globe (e.g., moonquake hypocenters) and it offers more tools for database queries. Even though </w:t>
      </w:r>
      <w:proofErr w:type="spellStart"/>
      <w:r w:rsidR="00883C5C" w:rsidRPr="00883C5C">
        <w:rPr>
          <w:rFonts w:ascii="TimesNewRomanPS" w:eastAsia="Times New Roman" w:hAnsi="TimesNewRomanPS" w:cs="Times New Roman"/>
          <w:iCs/>
        </w:rPr>
        <w:t>ArcGlobe</w:t>
      </w:r>
      <w:proofErr w:type="spellEnd"/>
      <w:r w:rsidR="00883C5C" w:rsidRPr="00883C5C">
        <w:rPr>
          <w:rFonts w:ascii="TimesNewRomanPS" w:eastAsia="Times New Roman" w:hAnsi="TimesNewRomanPS" w:cs="Times New Roman"/>
          <w:iCs/>
        </w:rPr>
        <w:t xml:space="preserve"> </w:t>
      </w:r>
      <w:r w:rsidR="00883C5C" w:rsidRPr="00883C5C">
        <w:rPr>
          <w:rFonts w:ascii="TimesNewRomanPSMT" w:eastAsia="Times New Roman" w:hAnsi="TimesNewRomanPSMT" w:cs="TimesNewRomanPSMT"/>
        </w:rPr>
        <w:t xml:space="preserve">is designed for Earth, with simple scale corrections, it can be used to map features on and inside the Moon (Fig. 1). </w:t>
      </w:r>
      <w:proofErr w:type="spellStart"/>
      <w:r w:rsidR="00883C5C" w:rsidRPr="00883C5C">
        <w:rPr>
          <w:rFonts w:ascii="TimesNewRomanPS" w:eastAsia="Times New Roman" w:hAnsi="TimesNewRomanPS" w:cs="Times New Roman"/>
          <w:iCs/>
        </w:rPr>
        <w:t>ArcGlobe</w:t>
      </w:r>
      <w:proofErr w:type="spellEnd"/>
      <w:r w:rsidR="00883C5C" w:rsidRPr="00883C5C">
        <w:rPr>
          <w:rFonts w:ascii="TimesNewRomanPS" w:eastAsia="Times New Roman" w:hAnsi="TimesNewRomanPS" w:cs="Times New Roman"/>
          <w:iCs/>
        </w:rPr>
        <w:t xml:space="preserve"> </w:t>
      </w:r>
      <w:r w:rsidR="00883C5C" w:rsidRPr="00883C5C">
        <w:rPr>
          <w:rFonts w:ascii="TimesNewRomanPSMT" w:eastAsia="Times New Roman" w:hAnsi="TimesNewRomanPSMT" w:cs="TimesNewRomanPSMT"/>
        </w:rPr>
        <w:t xml:space="preserve">belongs to a family of ESRI GIS software products called </w:t>
      </w:r>
      <w:r w:rsidR="00883C5C" w:rsidRPr="00883C5C">
        <w:rPr>
          <w:rFonts w:ascii="TimesNewRomanPS" w:eastAsia="Times New Roman" w:hAnsi="TimesNewRomanPS" w:cs="Times New Roman"/>
          <w:iCs/>
        </w:rPr>
        <w:t>ArcGIS Desktop</w:t>
      </w:r>
      <w:r w:rsidR="00883C5C" w:rsidRPr="00883C5C">
        <w:rPr>
          <w:rFonts w:ascii="TimesNewRomanPSMT" w:eastAsia="Times New Roman" w:hAnsi="TimesNewRomanPSMT" w:cs="TimesNewRomanPSMT"/>
        </w:rPr>
        <w:t xml:space="preserve">, and the United States Geological Survey (USGS) Astrogeology Center has been releasing lunar data products that are compatible with </w:t>
      </w:r>
      <w:r w:rsidR="00883C5C" w:rsidRPr="00883C5C">
        <w:rPr>
          <w:rFonts w:ascii="TimesNewRomanPS" w:eastAsia="Times New Roman" w:hAnsi="TimesNewRomanPS" w:cs="Times New Roman"/>
          <w:iCs/>
        </w:rPr>
        <w:t>ArcGIS</w:t>
      </w:r>
      <w:r w:rsidR="00883C5C" w:rsidRPr="00883C5C">
        <w:rPr>
          <w:rFonts w:ascii="TimesNewRomanPSMT" w:eastAsia="Times New Roman" w:hAnsi="TimesNewRomanPSMT" w:cs="TimesNewRomanPSMT"/>
        </w:rPr>
        <w:t xml:space="preserve">. Therefore, using </w:t>
      </w:r>
      <w:proofErr w:type="spellStart"/>
      <w:r w:rsidR="00883C5C" w:rsidRPr="00883C5C">
        <w:rPr>
          <w:rFonts w:ascii="TimesNewRomanPS" w:eastAsia="Times New Roman" w:hAnsi="TimesNewRomanPS" w:cs="Times New Roman"/>
          <w:iCs/>
        </w:rPr>
        <w:t>ArcGlobe</w:t>
      </w:r>
      <w:proofErr w:type="spellEnd"/>
      <w:r w:rsidR="00883C5C" w:rsidRPr="00883C5C">
        <w:rPr>
          <w:rFonts w:ascii="TimesNewRomanPSMT" w:eastAsia="Times New Roman" w:hAnsi="TimesNewRomanPSMT" w:cs="TimesNewRomanPSMT"/>
        </w:rPr>
        <w:t>, the moonquake data can be easily compared and cross- referenced with o</w:t>
      </w:r>
      <w:r w:rsidRPr="00883C5C">
        <w:rPr>
          <w:rFonts w:ascii="Times New Roman" w:eastAsia="Times New Roman" w:hAnsi="Times New Roman" w:cs="Times New Roman"/>
        </w:rPr>
        <w:fldChar w:fldCharType="begin"/>
      </w:r>
      <w:r w:rsidR="00C72C5E">
        <w:rPr>
          <w:rFonts w:ascii="Times New Roman" w:eastAsia="Times New Roman" w:hAnsi="Times New Roman" w:cs="Times New Roman"/>
        </w:rPr>
        <w:instrText xml:space="preserve"> INCLUDEPICTURE "C:\\var\\folders\\5f\\6kh2h3js2ksd_blzm40q5ry80000gp\\T\\com.microsoft.Word\\WebArchiveCopyPasteTempFiles\\page3image1818624" \* MERGEFORMAT </w:instrText>
      </w:r>
      <w:r w:rsidRPr="00883C5C">
        <w:rPr>
          <w:rFonts w:ascii="Times New Roman" w:eastAsia="Times New Roman" w:hAnsi="Times New Roman" w:cs="Times New Roman"/>
        </w:rPr>
        <w:fldChar w:fldCharType="end"/>
      </w:r>
      <w:r w:rsidR="00883C5C" w:rsidRPr="00883C5C">
        <w:rPr>
          <w:rFonts w:ascii="TimesNewRomanPSMT" w:eastAsia="Times New Roman" w:hAnsi="TimesNewRomanPSMT" w:cs="TimesNewRomanPSMT"/>
        </w:rPr>
        <w:t xml:space="preserve">ther available lunar data. </w:t>
      </w:r>
    </w:p>
    <w:p w14:paraId="715F5932" w14:textId="77777777" w:rsidR="00883C5C" w:rsidRPr="00883C5C" w:rsidRDefault="00883C5C" w:rsidP="00EF3256">
      <w:pPr>
        <w:spacing w:before="100" w:beforeAutospacing="1" w:after="100" w:afterAutospacing="1"/>
        <w:jc w:val="both"/>
        <w:rPr>
          <w:rFonts w:ascii="Times New Roman" w:eastAsia="Times New Roman" w:hAnsi="Times New Roman" w:cs="Times New Roman"/>
        </w:rPr>
      </w:pPr>
      <w:r w:rsidRPr="00883C5C">
        <w:rPr>
          <w:rFonts w:ascii="TimesNewRomanPSMT" w:eastAsia="Times New Roman" w:hAnsi="TimesNewRomanPSMT" w:cs="TimesNewRomanPSMT"/>
        </w:rPr>
        <w:t>Figure 1</w:t>
      </w:r>
      <w:r w:rsidR="00EF3256">
        <w:rPr>
          <w:rFonts w:ascii="TimesNewRomanPSMT" w:eastAsia="Times New Roman" w:hAnsi="TimesNewRomanPSMT" w:cs="TimesNewRomanPSMT"/>
        </w:rPr>
        <w:t>:</w:t>
      </w:r>
      <w:r w:rsidRPr="00883C5C">
        <w:rPr>
          <w:rFonts w:ascii="TimesNewRomanPSMT" w:eastAsia="Times New Roman" w:hAnsi="TimesNewRomanPSMT" w:cs="TimesNewRomanPSMT"/>
        </w:rPr>
        <w:t xml:space="preserve"> </w:t>
      </w:r>
      <w:r w:rsidR="00EF3256">
        <w:rPr>
          <w:rFonts w:ascii="TimesNewRomanPSMT" w:eastAsia="Times New Roman" w:hAnsi="TimesNewRomanPSMT" w:cs="TimesNewRomanPSMT"/>
        </w:rPr>
        <w:t>T</w:t>
      </w:r>
      <w:r w:rsidRPr="00883C5C">
        <w:rPr>
          <w:rFonts w:ascii="TimesNewRomanPSMT" w:eastAsia="Times New Roman" w:hAnsi="TimesNewRomanPSMT" w:cs="TimesNewRomanPSMT"/>
        </w:rPr>
        <w:t xml:space="preserve">he near side of the Moon with the epicentral locations of moonquake clusters (Nakamura, 2005), plotted on the topographic relief map generated by USGS (data from the Lunar Orbiter Laser Altimeter onboard the Lunar Reconnaissance Orbiter), as displayed on </w:t>
      </w:r>
      <w:proofErr w:type="spellStart"/>
      <w:r w:rsidRPr="00883C5C">
        <w:rPr>
          <w:rFonts w:ascii="TimesNewRomanPS" w:eastAsia="Times New Roman" w:hAnsi="TimesNewRomanPS" w:cs="Times New Roman"/>
          <w:iCs/>
        </w:rPr>
        <w:t>ArcGlobe</w:t>
      </w:r>
      <w:proofErr w:type="spellEnd"/>
      <w:r w:rsidRPr="00883C5C">
        <w:rPr>
          <w:rFonts w:ascii="TimesNewRomanPSMT" w:eastAsia="Times New Roman" w:hAnsi="TimesNewRomanPSMT" w:cs="TimesNewRomanPSMT"/>
        </w:rPr>
        <w:t xml:space="preserve">. The red </w:t>
      </w:r>
      <w:r w:rsidRPr="00883C5C">
        <w:rPr>
          <w:rFonts w:ascii="TimesNewRomanPSMT" w:eastAsia="Times New Roman" w:hAnsi="TimesNewRomanPSMT" w:cs="TimesNewRomanPSMT"/>
        </w:rPr>
        <w:lastRenderedPageBreak/>
        <w:t>labels show the ID numbers assigned to the clusters.</w:t>
      </w:r>
      <w:r w:rsidR="00EF3256">
        <w:rPr>
          <w:rFonts w:ascii="TimesNewRomanPSMT" w:eastAsia="Times New Roman" w:hAnsi="TimesNewRomanPSMT" w:cs="TimesNewRomanPSMT"/>
        </w:rPr>
        <w:t xml:space="preserve"> </w:t>
      </w:r>
      <w:r w:rsidRPr="00883C5C">
        <w:rPr>
          <w:rFonts w:ascii="TimesNewRomanPSMT" w:eastAsia="Times New Roman" w:hAnsi="TimesNewRomanPSMT" w:cs="TimesNewRomanPSMT"/>
        </w:rPr>
        <w:t xml:space="preserve">The white dots indicate the Apollo landing sites. </w:t>
      </w:r>
    </w:p>
    <w:p w14:paraId="71EDD8FC" w14:textId="77777777" w:rsidR="00EF3256" w:rsidRDefault="00883C5C" w:rsidP="00EF3256">
      <w:pPr>
        <w:spacing w:before="100" w:beforeAutospacing="1" w:after="100" w:afterAutospacing="1"/>
        <w:jc w:val="both"/>
        <w:rPr>
          <w:rFonts w:ascii="Times New Roman" w:eastAsia="Times New Roman" w:hAnsi="Times New Roman" w:cs="Times New Roman"/>
        </w:rPr>
      </w:pPr>
      <w:r w:rsidRPr="00883C5C">
        <w:rPr>
          <w:rFonts w:ascii="TimesNewRomanPSMT" w:eastAsia="Times New Roman" w:hAnsi="TimesNewRomanPSMT" w:cs="TimesNewRomanPSMT"/>
        </w:rPr>
        <w:t xml:space="preserve"> </w:t>
      </w:r>
    </w:p>
    <w:p w14:paraId="4CAA2545" w14:textId="77777777" w:rsidR="00EF3256" w:rsidRDefault="00EF3256" w:rsidP="00EF3256">
      <w:pPr>
        <w:spacing w:before="100" w:beforeAutospacing="1" w:after="100" w:afterAutospacing="1"/>
        <w:jc w:val="both"/>
        <w:rPr>
          <w:rFonts w:ascii="TimesNewRomanPSMT" w:eastAsia="Times New Roman" w:hAnsi="TimesNewRomanPSMT" w:cs="TimesNewRomanPSMT"/>
        </w:rPr>
      </w:pPr>
    </w:p>
    <w:p w14:paraId="3664AD4C" w14:textId="77777777" w:rsidR="00EF3256" w:rsidRDefault="00EF3256" w:rsidP="00EF3256">
      <w:pPr>
        <w:spacing w:before="100" w:beforeAutospacing="1" w:after="100" w:afterAutospacing="1"/>
        <w:jc w:val="both"/>
        <w:rPr>
          <w:rFonts w:ascii="TimesNewRomanPSMT" w:eastAsia="Times New Roman" w:hAnsi="TimesNewRomanPSMT" w:cs="TimesNewRomanPSMT"/>
        </w:rPr>
      </w:pPr>
    </w:p>
    <w:p w14:paraId="6620B530" w14:textId="28D7FCBA" w:rsidR="004A0DF1" w:rsidRPr="00801D0B" w:rsidRDefault="003232AB" w:rsidP="00EF3256">
      <w:pPr>
        <w:spacing w:before="100" w:beforeAutospacing="1" w:after="100" w:afterAutospacing="1"/>
        <w:jc w:val="both"/>
        <w:rPr>
          <w:rFonts w:ascii="Times New Roman" w:eastAsia="Times New Roman" w:hAnsi="Times New Roman" w:cs="Times New Roman"/>
        </w:rPr>
      </w:pPr>
      <w:r w:rsidRPr="00EF3256">
        <w:rPr>
          <w:rFonts w:ascii="Times New Roman" w:eastAsia="Times New Roman" w:hAnsi="Times New Roman" w:cs="Times New Roman"/>
          <w:noProof/>
        </w:rPr>
        <w:drawing>
          <wp:anchor distT="0" distB="0" distL="114300" distR="114300" simplePos="0" relativeHeight="251659264" behindDoc="0" locked="0" layoutInCell="1" allowOverlap="1" wp14:anchorId="74151A9E" wp14:editId="3B21966B">
            <wp:simplePos x="0" y="0"/>
            <wp:positionH relativeFrom="column">
              <wp:posOffset>0</wp:posOffset>
            </wp:positionH>
            <wp:positionV relativeFrom="paragraph">
              <wp:posOffset>707390</wp:posOffset>
            </wp:positionV>
            <wp:extent cx="5827395" cy="5701665"/>
            <wp:effectExtent l="0" t="0" r="1905" b="635"/>
            <wp:wrapSquare wrapText="bothSides"/>
            <wp:docPr id="7" name="Picture 7" descr="page4image182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4image18224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7395" cy="5701665"/>
                    </a:xfrm>
                    <a:prstGeom prst="rect">
                      <a:avLst/>
                    </a:prstGeom>
                    <a:noFill/>
                    <a:ln>
                      <a:noFill/>
                    </a:ln>
                  </pic:spPr>
                </pic:pic>
              </a:graphicData>
            </a:graphic>
            <wp14:sizeRelH relativeFrom="page">
              <wp14:pctWidth>0</wp14:pctWidth>
            </wp14:sizeRelH>
            <wp14:sizeRelV relativeFrom="page">
              <wp14:pctHeight>0</wp14:pctHeight>
            </wp14:sizeRelV>
          </wp:anchor>
        </w:drawing>
      </w:r>
      <w:r w:rsidR="00883C5C" w:rsidRPr="00883C5C">
        <w:rPr>
          <w:rFonts w:ascii="TimesNewRomanPSMT" w:eastAsia="Times New Roman" w:hAnsi="TimesNewRomanPSMT" w:cs="TimesNewRomanPSMT"/>
        </w:rPr>
        <w:t xml:space="preserve">Figure 2 shows the </w:t>
      </w:r>
      <w:proofErr w:type="spellStart"/>
      <w:r w:rsidR="00883C5C" w:rsidRPr="00883C5C">
        <w:rPr>
          <w:rFonts w:ascii="TimesNewRomanPSMT" w:eastAsia="Times New Roman" w:hAnsi="TimesNewRomanPSMT" w:cs="TimesNewRomanPSMT"/>
        </w:rPr>
        <w:t>hypocenteral</w:t>
      </w:r>
      <w:proofErr w:type="spellEnd"/>
      <w:r w:rsidR="00883C5C" w:rsidRPr="00883C5C">
        <w:rPr>
          <w:rFonts w:ascii="TimesNewRomanPSMT" w:eastAsia="Times New Roman" w:hAnsi="TimesNewRomanPSMT" w:cs="TimesNewRomanPSMT"/>
        </w:rPr>
        <w:t xml:space="preserve"> locations of the deep moonquake clusters without the surface relief. All the maps in Figures 1 and 2 can be made from one set of 3-D work environment</w:t>
      </w:r>
      <w:r w:rsidR="004A0DF1">
        <w:rPr>
          <w:rFonts w:ascii="TimesNewRomanPSMT" w:eastAsia="Times New Roman" w:hAnsi="TimesNewRomanPSMT" w:cs="TimesNewRomanPSMT"/>
        </w:rPr>
        <w:t>s</w:t>
      </w:r>
      <w:r w:rsidR="00883C5C" w:rsidRPr="00883C5C">
        <w:rPr>
          <w:rFonts w:ascii="TimesNewRomanPSMT" w:eastAsia="Times New Roman" w:hAnsi="TimesNewRomanPSMT" w:cs="TimesNewRomanPSMT"/>
        </w:rPr>
        <w:t xml:space="preserve"> on </w:t>
      </w:r>
      <w:proofErr w:type="spellStart"/>
      <w:r w:rsidR="00883C5C" w:rsidRPr="00883C5C">
        <w:rPr>
          <w:rFonts w:ascii="TimesNewRomanPS" w:eastAsia="Times New Roman" w:hAnsi="TimesNewRomanPS" w:cs="Times New Roman"/>
          <w:iCs/>
        </w:rPr>
        <w:t>ArcGlobe</w:t>
      </w:r>
      <w:proofErr w:type="spellEnd"/>
      <w:r w:rsidR="00883C5C" w:rsidRPr="00883C5C">
        <w:rPr>
          <w:rFonts w:ascii="TimesNewRomanPS" w:eastAsia="Times New Roman" w:hAnsi="TimesNewRomanPS" w:cs="Times New Roman"/>
          <w:iCs/>
        </w:rPr>
        <w:t xml:space="preserve"> </w:t>
      </w:r>
      <w:r w:rsidR="00883C5C" w:rsidRPr="00883C5C">
        <w:rPr>
          <w:rFonts w:ascii="TimesNewRomanPSMT" w:eastAsia="Times New Roman" w:hAnsi="TimesNewRomanPSMT" w:cs="TimesNewRomanPSMT"/>
        </w:rPr>
        <w:t xml:space="preserve">with ease. </w:t>
      </w:r>
    </w:p>
    <w:p w14:paraId="0FD3F291" w14:textId="46619683" w:rsidR="00883C5C" w:rsidRPr="00883C5C" w:rsidRDefault="00883C5C" w:rsidP="00EF3256">
      <w:pPr>
        <w:spacing w:before="100" w:beforeAutospacing="1" w:after="100" w:afterAutospacing="1"/>
        <w:jc w:val="both"/>
        <w:rPr>
          <w:rFonts w:ascii="Times New Roman" w:eastAsia="Times New Roman" w:hAnsi="Times New Roman" w:cs="Times New Roman"/>
        </w:rPr>
      </w:pPr>
      <w:r w:rsidRPr="00883C5C">
        <w:rPr>
          <w:rFonts w:ascii="TimesNewRomanPSMT" w:eastAsia="Times New Roman" w:hAnsi="TimesNewRomanPSMT" w:cs="TimesNewRomanPSMT"/>
        </w:rPr>
        <w:t xml:space="preserve">Figure 2a. A 3-D plot of the </w:t>
      </w:r>
      <w:proofErr w:type="spellStart"/>
      <w:r w:rsidRPr="00883C5C">
        <w:rPr>
          <w:rFonts w:ascii="TimesNewRomanPSMT" w:eastAsia="Times New Roman" w:hAnsi="TimesNewRomanPSMT" w:cs="TimesNewRomanPSMT"/>
        </w:rPr>
        <w:t>hypocentral</w:t>
      </w:r>
      <w:proofErr w:type="spellEnd"/>
      <w:r w:rsidRPr="00883C5C">
        <w:rPr>
          <w:rFonts w:ascii="TimesNewRomanPSMT" w:eastAsia="Times New Roman" w:hAnsi="TimesNewRomanPSMT" w:cs="TimesNewRomanPSMT"/>
        </w:rPr>
        <w:t xml:space="preserve"> locations of the deep moonquake clusters. </w:t>
      </w:r>
    </w:p>
    <w:p w14:paraId="510D6F61"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0B76B9C1"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64C0C899"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08DD6248" w14:textId="77777777" w:rsidR="004A0DF1" w:rsidRDefault="004A0DF1" w:rsidP="00EF3256">
      <w:pPr>
        <w:spacing w:before="100" w:beforeAutospacing="1" w:after="100" w:afterAutospacing="1"/>
        <w:jc w:val="both"/>
        <w:rPr>
          <w:rFonts w:ascii="TimesNewRomanPSMT" w:eastAsia="Times New Roman" w:hAnsi="TimesNewRomanPSMT" w:cs="TimesNewRomanPSMT"/>
        </w:rPr>
      </w:pPr>
      <w:r w:rsidRPr="00EF3256">
        <w:rPr>
          <w:rFonts w:ascii="Times New Roman" w:eastAsia="Times New Roman" w:hAnsi="Times New Roman" w:cs="Times New Roman"/>
          <w:noProof/>
        </w:rPr>
        <w:drawing>
          <wp:anchor distT="0" distB="0" distL="114300" distR="114300" simplePos="0" relativeHeight="251660288" behindDoc="0" locked="0" layoutInCell="1" allowOverlap="1" wp14:anchorId="042AF3D6" wp14:editId="43DC90C9">
            <wp:simplePos x="0" y="0"/>
            <wp:positionH relativeFrom="column">
              <wp:posOffset>0</wp:posOffset>
            </wp:positionH>
            <wp:positionV relativeFrom="paragraph">
              <wp:posOffset>73025</wp:posOffset>
            </wp:positionV>
            <wp:extent cx="5913120" cy="6080760"/>
            <wp:effectExtent l="0" t="0" r="5080" b="2540"/>
            <wp:wrapSquare wrapText="bothSides"/>
            <wp:docPr id="6" name="Picture 6" descr="page4image1819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image18197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3120" cy="6080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02319" w14:textId="77777777" w:rsidR="00883C5C" w:rsidRPr="00883C5C" w:rsidRDefault="00883C5C" w:rsidP="00EF3256">
      <w:pPr>
        <w:spacing w:before="100" w:beforeAutospacing="1" w:after="100" w:afterAutospacing="1"/>
        <w:jc w:val="both"/>
        <w:rPr>
          <w:rFonts w:ascii="Times New Roman" w:eastAsia="Times New Roman" w:hAnsi="Times New Roman" w:cs="Times New Roman"/>
        </w:rPr>
      </w:pPr>
      <w:r w:rsidRPr="00883C5C">
        <w:rPr>
          <w:rFonts w:ascii="TimesNewRomanPSMT" w:eastAsia="Times New Roman" w:hAnsi="TimesNewRomanPSMT" w:cs="TimesNewRomanPSMT"/>
        </w:rPr>
        <w:t xml:space="preserve">Figure 2b. A 3-D hypocenter plot of the same clusters in a north-polar projection. The dots are color-coded by their latitudes. The red and orange dots are in the northern hemisphere and the green and yellow dots are in the southern hemisphere. </w:t>
      </w:r>
    </w:p>
    <w:p w14:paraId="761F3FBC" w14:textId="33ABDD80" w:rsidR="00883C5C" w:rsidRPr="00883C5C" w:rsidRDefault="004A0DF1" w:rsidP="00EF3256">
      <w:pPr>
        <w:jc w:val="both"/>
        <w:rPr>
          <w:rFonts w:ascii="Times New Roman" w:eastAsia="Times New Roman" w:hAnsi="Times New Roman" w:cs="Times New Roman"/>
        </w:rPr>
      </w:pPr>
      <w:r w:rsidRPr="00883C5C">
        <w:rPr>
          <w:rFonts w:ascii="Times New Roman" w:eastAsia="Times New Roman" w:hAnsi="Times New Roman" w:cs="Times New Roman"/>
        </w:rPr>
        <w:lastRenderedPageBreak/>
        <w:fldChar w:fldCharType="begin"/>
      </w:r>
      <w:r w:rsidR="00C72C5E">
        <w:rPr>
          <w:rFonts w:ascii="Times New Roman" w:eastAsia="Times New Roman" w:hAnsi="Times New Roman" w:cs="Times New Roman"/>
        </w:rPr>
        <w:instrText xml:space="preserve"> INCLUDEPICTURE "C:\\var\\folders\\5f\\6kh2h3js2ksd_blzm40q5ry80000gp\\T\\com.microsoft.Word\\WebArchiveCopyPasteTempFiles\\page4image1822432" \* MERGEFORMAT </w:instrText>
      </w:r>
      <w:r w:rsidRPr="00883C5C">
        <w:rPr>
          <w:rFonts w:ascii="Times New Roman" w:eastAsia="Times New Roman" w:hAnsi="Times New Roman" w:cs="Times New Roman"/>
        </w:rPr>
        <w:fldChar w:fldCharType="end"/>
      </w:r>
      <w:r w:rsidR="00883C5C" w:rsidRPr="00883C5C">
        <w:rPr>
          <w:rFonts w:ascii="Times New Roman" w:eastAsia="Times New Roman" w:hAnsi="Times New Roman" w:cs="Times New Roman"/>
        </w:rPr>
        <w:fldChar w:fldCharType="begin"/>
      </w:r>
      <w:r w:rsidR="00C72C5E">
        <w:rPr>
          <w:rFonts w:ascii="Times New Roman" w:eastAsia="Times New Roman" w:hAnsi="Times New Roman" w:cs="Times New Roman"/>
        </w:rPr>
        <w:instrText xml:space="preserve"> INCLUDEPICTURE "C:\\var\\folders\\5f\\6kh2h3js2ksd_blzm40q5ry80000gp\\T\\com.microsoft.Word\\WebArchiveCopyPasteTempFiles\\page4image1819744" \* MERGEFORMAT </w:instrText>
      </w:r>
      <w:r w:rsidR="00883C5C" w:rsidRPr="00883C5C">
        <w:rPr>
          <w:rFonts w:ascii="Times New Roman" w:eastAsia="Times New Roman" w:hAnsi="Times New Roman" w:cs="Times New Roman"/>
        </w:rPr>
        <w:fldChar w:fldCharType="end"/>
      </w:r>
    </w:p>
    <w:p w14:paraId="27DCFE58" w14:textId="77777777" w:rsidR="00883C5C" w:rsidRPr="00883C5C" w:rsidRDefault="00883C5C" w:rsidP="00EF3256">
      <w:pPr>
        <w:spacing w:before="100" w:beforeAutospacing="1" w:after="100" w:afterAutospacing="1"/>
        <w:jc w:val="both"/>
        <w:rPr>
          <w:rFonts w:ascii="Times New Roman" w:eastAsia="Times New Roman" w:hAnsi="Times New Roman" w:cs="Times New Roman"/>
        </w:rPr>
      </w:pPr>
    </w:p>
    <w:p w14:paraId="66599126" w14:textId="77777777" w:rsidR="003232AB" w:rsidRDefault="003232AB" w:rsidP="00EF3256">
      <w:pPr>
        <w:spacing w:before="100" w:beforeAutospacing="1" w:after="100" w:afterAutospacing="1"/>
        <w:jc w:val="both"/>
        <w:rPr>
          <w:rFonts w:ascii="TimesNewRomanPS" w:eastAsia="Times New Roman" w:hAnsi="TimesNewRomanPS" w:cs="Times New Roman"/>
          <w:b/>
          <w:bCs/>
        </w:rPr>
      </w:pPr>
    </w:p>
    <w:p w14:paraId="6F2D23AB" w14:textId="7FAB3693" w:rsidR="00883C5C" w:rsidRPr="00883C5C" w:rsidRDefault="00883C5C" w:rsidP="00EF3256">
      <w:pPr>
        <w:spacing w:before="100" w:beforeAutospacing="1" w:after="100" w:afterAutospacing="1"/>
        <w:jc w:val="both"/>
        <w:rPr>
          <w:rFonts w:ascii="Times New Roman" w:eastAsia="Times New Roman" w:hAnsi="Times New Roman" w:cs="Times New Roman"/>
        </w:rPr>
      </w:pPr>
      <w:r w:rsidRPr="00883C5C">
        <w:rPr>
          <w:rFonts w:ascii="TimesNewRomanPS" w:eastAsia="Times New Roman" w:hAnsi="TimesNewRomanPS" w:cs="Times New Roman"/>
          <w:b/>
          <w:bCs/>
        </w:rPr>
        <w:t xml:space="preserve">Use of GIS in analytical work </w:t>
      </w:r>
    </w:p>
    <w:p w14:paraId="31BE39A7" w14:textId="77777777" w:rsidR="00883C5C" w:rsidRPr="00883C5C" w:rsidRDefault="004A0DF1" w:rsidP="00EF3256">
      <w:pPr>
        <w:spacing w:before="100" w:beforeAutospacing="1" w:after="100" w:afterAutospacing="1"/>
        <w:jc w:val="both"/>
        <w:rPr>
          <w:rFonts w:ascii="Times New Roman" w:eastAsia="Times New Roman" w:hAnsi="Times New Roman" w:cs="Times New Roman"/>
        </w:rPr>
      </w:pPr>
      <w:r w:rsidRPr="00EF3256">
        <w:rPr>
          <w:rFonts w:ascii="Times New Roman" w:eastAsia="Times New Roman" w:hAnsi="Times New Roman" w:cs="Times New Roman"/>
          <w:noProof/>
        </w:rPr>
        <w:drawing>
          <wp:anchor distT="0" distB="0" distL="114300" distR="114300" simplePos="0" relativeHeight="251661312" behindDoc="0" locked="0" layoutInCell="1" allowOverlap="1" wp14:anchorId="686BA9DE" wp14:editId="05608C08">
            <wp:simplePos x="0" y="0"/>
            <wp:positionH relativeFrom="column">
              <wp:posOffset>0</wp:posOffset>
            </wp:positionH>
            <wp:positionV relativeFrom="paragraph">
              <wp:posOffset>1862667</wp:posOffset>
            </wp:positionV>
            <wp:extent cx="4292600" cy="5181600"/>
            <wp:effectExtent l="0" t="0" r="0" b="0"/>
            <wp:wrapSquare wrapText="bothSides"/>
            <wp:docPr id="5" name="Picture 5" descr="page6image380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6image380534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2600" cy="51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C5C" w:rsidRPr="00883C5C">
        <w:rPr>
          <w:rFonts w:ascii="TimesNewRomanPSMT" w:eastAsia="Times New Roman" w:hAnsi="TimesNewRomanPSMT" w:cs="TimesNewRomanPSMT"/>
        </w:rPr>
        <w:t xml:space="preserve">Beyond the 3-D visualization, </w:t>
      </w:r>
      <w:proofErr w:type="spellStart"/>
      <w:r w:rsidR="00883C5C" w:rsidRPr="00883C5C">
        <w:rPr>
          <w:rFonts w:ascii="TimesNewRomanPS" w:eastAsia="Times New Roman" w:hAnsi="TimesNewRomanPS" w:cs="Times New Roman"/>
          <w:iCs/>
        </w:rPr>
        <w:t>ArcGlobe</w:t>
      </w:r>
      <w:proofErr w:type="spellEnd"/>
      <w:r w:rsidR="00883C5C" w:rsidRPr="00883C5C">
        <w:rPr>
          <w:rFonts w:ascii="TimesNewRomanPS" w:eastAsia="Times New Roman" w:hAnsi="TimesNewRomanPS" w:cs="Times New Roman"/>
          <w:iCs/>
        </w:rPr>
        <w:t xml:space="preserve"> </w:t>
      </w:r>
      <w:r w:rsidR="00883C5C" w:rsidRPr="00883C5C">
        <w:rPr>
          <w:rFonts w:ascii="TimesNewRomanPSMT" w:eastAsia="Times New Roman" w:hAnsi="TimesNewRomanPSMT" w:cs="TimesNewRomanPSMT"/>
        </w:rPr>
        <w:t xml:space="preserve">can be used for temporal and spatial analysis of the moonquake data. Figure 3 shows a screen shot of the event </w:t>
      </w:r>
      <w:r>
        <w:rPr>
          <w:rFonts w:ascii="TimesNewRomanPSMT" w:eastAsia="Times New Roman" w:hAnsi="TimesNewRomanPSMT" w:cs="TimesNewRomanPSMT"/>
        </w:rPr>
        <w:t>catalog</w:t>
      </w:r>
      <w:r w:rsidR="00883C5C" w:rsidRPr="00883C5C">
        <w:rPr>
          <w:rFonts w:ascii="TimesNewRomanPSMT" w:eastAsia="Times New Roman" w:hAnsi="TimesNewRomanPSMT" w:cs="TimesNewRomanPSMT"/>
        </w:rPr>
        <w:t xml:space="preserve"> imported into the </w:t>
      </w:r>
      <w:proofErr w:type="spellStart"/>
      <w:r w:rsidR="00883C5C" w:rsidRPr="00883C5C">
        <w:rPr>
          <w:rFonts w:ascii="TimesNewRomanPS" w:eastAsia="Times New Roman" w:hAnsi="TimesNewRomanPS" w:cs="Times New Roman"/>
          <w:iCs/>
        </w:rPr>
        <w:t>ArcGlobe</w:t>
      </w:r>
      <w:proofErr w:type="spellEnd"/>
      <w:r w:rsidR="00883C5C" w:rsidRPr="00883C5C">
        <w:rPr>
          <w:rFonts w:ascii="TimesNewRomanPS" w:eastAsia="Times New Roman" w:hAnsi="TimesNewRomanPS" w:cs="Times New Roman"/>
          <w:iCs/>
        </w:rPr>
        <w:t xml:space="preserve"> </w:t>
      </w:r>
      <w:r w:rsidR="00883C5C" w:rsidRPr="00883C5C">
        <w:rPr>
          <w:rFonts w:ascii="TimesNewRomanPSMT" w:eastAsia="Times New Roman" w:hAnsi="TimesNewRomanPSMT" w:cs="TimesNewRomanPSMT"/>
        </w:rPr>
        <w:t xml:space="preserve">working environment. This </w:t>
      </w:r>
      <w:proofErr w:type="gramStart"/>
      <w:r w:rsidR="00883C5C" w:rsidRPr="00883C5C">
        <w:rPr>
          <w:rFonts w:ascii="TimesNewRomanPSMT" w:eastAsia="Times New Roman" w:hAnsi="TimesNewRomanPSMT" w:cs="TimesNewRomanPSMT"/>
        </w:rPr>
        <w:t>particular example</w:t>
      </w:r>
      <w:proofErr w:type="gramEnd"/>
      <w:r w:rsidR="00883C5C" w:rsidRPr="00883C5C">
        <w:rPr>
          <w:rFonts w:ascii="TimesNewRomanPSMT" w:eastAsia="Times New Roman" w:hAnsi="TimesNewRomanPSMT" w:cs="TimesNewRomanPSMT"/>
        </w:rPr>
        <w:t xml:space="preserve"> has been filtered to show only the events originating from cluster A1. The A1 events have been known to occur with ~27-</w:t>
      </w:r>
      <w:r>
        <w:rPr>
          <w:rFonts w:ascii="TimesNewRomanPSMT" w:eastAsia="Times New Roman" w:hAnsi="TimesNewRomanPSMT" w:cs="TimesNewRomanPSMT"/>
        </w:rPr>
        <w:t>E</w:t>
      </w:r>
      <w:r w:rsidR="00883C5C" w:rsidRPr="00883C5C">
        <w:rPr>
          <w:rFonts w:ascii="TimesNewRomanPSMT" w:eastAsia="Times New Roman" w:hAnsi="TimesNewRomanPSMT" w:cs="TimesNewRomanPSMT"/>
        </w:rPr>
        <w:t xml:space="preserve">arth-day cycles (Bulow et al., 2007). Many other deep moonquake clusters become active with similar periods. Therefore, deep moonquake activities are linked to the tidal stress (e.g., Weber et al., 2009). The A1 events listed in Figure 3 are from the first 6 months of 1972. In each lunation period, the cluster triggers 2 or more moonquakes over 2 to 6 </w:t>
      </w:r>
      <w:r>
        <w:rPr>
          <w:rFonts w:ascii="TimesNewRomanPSMT" w:eastAsia="Times New Roman" w:hAnsi="TimesNewRomanPSMT" w:cs="TimesNewRomanPSMT"/>
        </w:rPr>
        <w:t>E</w:t>
      </w:r>
      <w:r w:rsidR="00883C5C" w:rsidRPr="00883C5C">
        <w:rPr>
          <w:rFonts w:ascii="TimesNewRomanPSMT" w:eastAsia="Times New Roman" w:hAnsi="TimesNewRomanPSMT" w:cs="TimesNewRomanPSMT"/>
        </w:rPr>
        <w:t xml:space="preserve">arth days. However, there are some moonquakes that are off the 27-earth-day recurrence cycle. The event in ordinal day 80 is such an example. There were two more such occasions during the first half of 1972. </w:t>
      </w:r>
    </w:p>
    <w:p w14:paraId="69B6901C" w14:textId="77777777" w:rsidR="004A0DF1" w:rsidRDefault="004A0DF1" w:rsidP="004A0DF1">
      <w:pPr>
        <w:spacing w:before="100" w:beforeAutospacing="1" w:after="100" w:afterAutospacing="1"/>
        <w:jc w:val="both"/>
        <w:rPr>
          <w:rFonts w:ascii="TimesNewRomanPSMT" w:eastAsia="Times New Roman" w:hAnsi="TimesNewRomanPSMT" w:cs="TimesNewRomanPSMT"/>
        </w:rPr>
      </w:pPr>
    </w:p>
    <w:p w14:paraId="1BC37736" w14:textId="77777777" w:rsidR="004A0DF1" w:rsidRDefault="004A0DF1" w:rsidP="004A0DF1">
      <w:pPr>
        <w:spacing w:before="100" w:beforeAutospacing="1" w:after="100" w:afterAutospacing="1"/>
        <w:jc w:val="both"/>
        <w:rPr>
          <w:rFonts w:ascii="TimesNewRomanPSMT" w:eastAsia="Times New Roman" w:hAnsi="TimesNewRomanPSMT" w:cs="TimesNewRomanPSMT"/>
        </w:rPr>
      </w:pPr>
    </w:p>
    <w:p w14:paraId="34C121D1" w14:textId="77777777" w:rsidR="004A0DF1" w:rsidRPr="00883C5C" w:rsidRDefault="004A0DF1" w:rsidP="004A0DF1">
      <w:pPr>
        <w:spacing w:before="100" w:beforeAutospacing="1" w:after="100" w:afterAutospacing="1"/>
        <w:jc w:val="both"/>
        <w:rPr>
          <w:rFonts w:ascii="Times New Roman" w:eastAsia="Times New Roman" w:hAnsi="Times New Roman" w:cs="Times New Roman"/>
        </w:rPr>
      </w:pPr>
      <w:r w:rsidRPr="00883C5C">
        <w:rPr>
          <w:rFonts w:ascii="TimesNewRomanPSMT" w:eastAsia="Times New Roman" w:hAnsi="TimesNewRomanPSMT" w:cs="TimesNewRomanPSMT"/>
        </w:rPr>
        <w:t xml:space="preserve">Figure 3. A screen shot of the event list for cluster A for the first half of 1972. The events that occurred in sync with the lunation periods are shown with red arrows. The events that are </w:t>
      </w:r>
      <w:proofErr w:type="gramStart"/>
      <w:r w:rsidRPr="00883C5C">
        <w:rPr>
          <w:rFonts w:ascii="TimesNewRomanPSMT" w:eastAsia="Times New Roman" w:hAnsi="TimesNewRomanPSMT" w:cs="TimesNewRomanPSMT"/>
        </w:rPr>
        <w:t>off-cycle</w:t>
      </w:r>
      <w:proofErr w:type="gramEnd"/>
      <w:r w:rsidRPr="00883C5C">
        <w:rPr>
          <w:rFonts w:ascii="TimesNewRomanPSMT" w:eastAsia="Times New Roman" w:hAnsi="TimesNewRomanPSMT" w:cs="TimesNewRomanPSMT"/>
        </w:rPr>
        <w:t xml:space="preserve"> are indicated by black arrows. </w:t>
      </w:r>
    </w:p>
    <w:p w14:paraId="703B288A"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288F1944"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14C9052C"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7ED816B0"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42EB567F"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59622A04"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25F2BA2A"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6BDCA782"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0B1326A8" w14:textId="77777777" w:rsidR="004A0DF1" w:rsidRDefault="004A0DF1" w:rsidP="00EF3256">
      <w:pPr>
        <w:spacing w:before="100" w:beforeAutospacing="1" w:after="100" w:afterAutospacing="1"/>
        <w:jc w:val="both"/>
        <w:rPr>
          <w:rFonts w:ascii="TimesNewRomanPSMT" w:eastAsia="Times New Roman" w:hAnsi="TimesNewRomanPSMT" w:cs="TimesNewRomanPSMT"/>
        </w:rPr>
      </w:pPr>
    </w:p>
    <w:p w14:paraId="78BEBB64" w14:textId="77777777" w:rsidR="00883C5C" w:rsidRPr="00883C5C" w:rsidRDefault="00801D0B" w:rsidP="00EF3256">
      <w:pPr>
        <w:spacing w:before="100" w:beforeAutospacing="1" w:after="100" w:afterAutospacing="1"/>
        <w:jc w:val="both"/>
        <w:rPr>
          <w:rFonts w:ascii="Times New Roman" w:eastAsia="Times New Roman" w:hAnsi="Times New Roman" w:cs="Times New Roman"/>
        </w:rPr>
      </w:pPr>
      <w:r w:rsidRPr="00EF3256">
        <w:rPr>
          <w:rFonts w:ascii="Times New Roman" w:eastAsia="Times New Roman" w:hAnsi="Times New Roman" w:cs="Times New Roman"/>
          <w:noProof/>
        </w:rPr>
        <w:drawing>
          <wp:anchor distT="0" distB="0" distL="114300" distR="114300" simplePos="0" relativeHeight="251662336" behindDoc="0" locked="0" layoutInCell="1" allowOverlap="1" wp14:anchorId="63E8D556" wp14:editId="764D3A8D">
            <wp:simplePos x="0" y="0"/>
            <wp:positionH relativeFrom="column">
              <wp:posOffset>0</wp:posOffset>
            </wp:positionH>
            <wp:positionV relativeFrom="paragraph">
              <wp:posOffset>973455</wp:posOffset>
            </wp:positionV>
            <wp:extent cx="3596640" cy="3581400"/>
            <wp:effectExtent l="0" t="0" r="0" b="0"/>
            <wp:wrapSquare wrapText="bothSides"/>
            <wp:docPr id="4" name="Picture 4" descr="page7image183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7image18302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96640" cy="358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83C5C" w:rsidRPr="00883C5C">
        <w:rPr>
          <w:rFonts w:ascii="TimesNewRomanPSMT" w:eastAsia="Times New Roman" w:hAnsi="TimesNewRomanPSMT" w:cs="TimesNewRomanPSMT"/>
        </w:rPr>
        <w:t xml:space="preserve">During the periods when A1 was active, several other clusters were active as well. Figure 4a shows all the events detected during Period 1 (Days 13-17) and Period 2 (Days 41-46) in the near-side view. Four of these clusters (A1, A20, A37, and A204) were active for </w:t>
      </w:r>
      <w:proofErr w:type="gramStart"/>
      <w:r w:rsidR="00883C5C" w:rsidRPr="00883C5C">
        <w:rPr>
          <w:rFonts w:ascii="TimesNewRomanPSMT" w:eastAsia="Times New Roman" w:hAnsi="TimesNewRomanPSMT" w:cs="TimesNewRomanPSMT"/>
        </w:rPr>
        <w:t>both of these</w:t>
      </w:r>
      <w:proofErr w:type="gramEnd"/>
      <w:r w:rsidR="00883C5C" w:rsidRPr="00883C5C">
        <w:rPr>
          <w:rFonts w:ascii="TimesNewRomanPSMT" w:eastAsia="Times New Roman" w:hAnsi="TimesNewRomanPSMT" w:cs="TimesNewRomanPSMT"/>
        </w:rPr>
        <w:t xml:space="preserve"> periods. Figure 4b shows the same clusters viewed through the western hemisphere. The clusters that were active in these periods seem to form two mega-clusters. </w:t>
      </w:r>
    </w:p>
    <w:p w14:paraId="4827ECA7" w14:textId="77777777" w:rsidR="00801D0B" w:rsidRPr="00883C5C" w:rsidRDefault="00801D0B" w:rsidP="00801D0B">
      <w:pPr>
        <w:spacing w:before="100" w:beforeAutospacing="1" w:after="100" w:afterAutospacing="1"/>
        <w:jc w:val="both"/>
        <w:rPr>
          <w:rFonts w:ascii="Times New Roman" w:eastAsia="Times New Roman" w:hAnsi="Times New Roman" w:cs="Times New Roman"/>
        </w:rPr>
      </w:pPr>
      <w:r w:rsidRPr="00883C5C">
        <w:rPr>
          <w:rFonts w:ascii="TimesNewRomanPSMT" w:eastAsia="Times New Roman" w:hAnsi="TimesNewRomanPSMT" w:cs="TimesNewRomanPSMT"/>
        </w:rPr>
        <w:t xml:space="preserve">Figure 4a. The hypocenters of the deep moonquakes that occurred in Periods 1 (day 13-17, blue) and 2 (day 41-46, magenta) in Figure 3. Viewed through the near side. </w:t>
      </w:r>
    </w:p>
    <w:p w14:paraId="3EAEB04A"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4EADD6C1"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7E149C13"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77B48FAB"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64F87C3E"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2BC350BC"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7EFCF996"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49FFDFA9" w14:textId="77777777" w:rsidR="00801D0B" w:rsidRDefault="00801D0B" w:rsidP="00EF3256">
      <w:pPr>
        <w:spacing w:before="100" w:beforeAutospacing="1" w:after="100" w:afterAutospacing="1"/>
        <w:jc w:val="both"/>
        <w:rPr>
          <w:rFonts w:ascii="TimesNewRomanPSMT" w:eastAsia="Times New Roman" w:hAnsi="TimesNewRomanPSMT" w:cs="TimesNewRomanPSMT"/>
        </w:rPr>
      </w:pPr>
      <w:r w:rsidRPr="00EF3256">
        <w:rPr>
          <w:rFonts w:ascii="Times New Roman" w:eastAsia="Times New Roman" w:hAnsi="Times New Roman" w:cs="Times New Roman"/>
          <w:noProof/>
        </w:rPr>
        <w:lastRenderedPageBreak/>
        <w:drawing>
          <wp:anchor distT="0" distB="0" distL="114300" distR="114300" simplePos="0" relativeHeight="251663360" behindDoc="0" locked="0" layoutInCell="1" allowOverlap="1" wp14:anchorId="0BCC2C29" wp14:editId="32C6DAF7">
            <wp:simplePos x="0" y="0"/>
            <wp:positionH relativeFrom="column">
              <wp:posOffset>423</wp:posOffset>
            </wp:positionH>
            <wp:positionV relativeFrom="paragraph">
              <wp:posOffset>116840</wp:posOffset>
            </wp:positionV>
            <wp:extent cx="3596640" cy="3246120"/>
            <wp:effectExtent l="0" t="0" r="0" b="5080"/>
            <wp:wrapSquare wrapText="bothSides"/>
            <wp:docPr id="3" name="Picture 3" descr="page7image1830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7image1830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324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42D15" w14:textId="77777777" w:rsidR="00801D0B" w:rsidRPr="00883C5C" w:rsidRDefault="00801D0B" w:rsidP="00801D0B">
      <w:pPr>
        <w:spacing w:before="100" w:beforeAutospacing="1" w:after="100" w:afterAutospacing="1"/>
        <w:jc w:val="both"/>
        <w:rPr>
          <w:rFonts w:ascii="Times New Roman" w:eastAsia="Times New Roman" w:hAnsi="Times New Roman" w:cs="Times New Roman"/>
        </w:rPr>
      </w:pPr>
      <w:r w:rsidRPr="00883C5C">
        <w:rPr>
          <w:rFonts w:ascii="TimesNewRomanPSMT" w:eastAsia="Times New Roman" w:hAnsi="TimesNewRomanPSMT" w:cs="TimesNewRomanPSMT"/>
        </w:rPr>
        <w:t xml:space="preserve">Figure 4b. The same moonquake clusters viewed through the western hemisphere. It is more obvious in this view that the clusters form two mega-clusters. </w:t>
      </w:r>
    </w:p>
    <w:p w14:paraId="04B284E8"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4FA15893"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7BCFE441"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71747E2F"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1D19B28F"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7DE3D78F"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28D19152" w14:textId="77777777" w:rsidR="00883C5C" w:rsidRDefault="00883C5C" w:rsidP="00EF3256">
      <w:pPr>
        <w:spacing w:before="100" w:beforeAutospacing="1" w:after="100" w:afterAutospacing="1"/>
        <w:jc w:val="both"/>
        <w:rPr>
          <w:rFonts w:ascii="TimesNewRomanPSMT" w:eastAsia="Times New Roman" w:hAnsi="TimesNewRomanPSMT" w:cs="TimesNewRomanPSMT"/>
        </w:rPr>
      </w:pPr>
      <w:r w:rsidRPr="00883C5C">
        <w:rPr>
          <w:rFonts w:ascii="TimesNewRomanPSMT" w:eastAsia="Times New Roman" w:hAnsi="TimesNewRomanPSMT" w:cs="TimesNewRomanPSMT"/>
        </w:rPr>
        <w:t xml:space="preserve">Figure 5a shows the clusters that were active on Day 80 and Days 136-137 in the near-side view. These were the times when A1 triggered moonquakes out of sync with its lunation cycle. The off-cycle events consist mainly of clusters that were not active in Periods 1 and 2, except for A20. In other words, A20 seems active whenever A1 is active. However, A1 and A20 are not particularly close to each other. </w:t>
      </w:r>
    </w:p>
    <w:p w14:paraId="0AC0C0BF" w14:textId="64607065" w:rsidR="00801D0B" w:rsidRPr="00883C5C" w:rsidRDefault="00801D0B" w:rsidP="00801D0B">
      <w:pPr>
        <w:spacing w:before="100" w:beforeAutospacing="1" w:after="100" w:afterAutospacing="1"/>
        <w:jc w:val="both"/>
        <w:rPr>
          <w:rFonts w:ascii="Times New Roman" w:eastAsia="Times New Roman" w:hAnsi="Times New Roman" w:cs="Times New Roman"/>
        </w:rPr>
      </w:pPr>
      <w:r w:rsidRPr="00EF3256">
        <w:rPr>
          <w:rFonts w:ascii="Times New Roman" w:eastAsia="Times New Roman" w:hAnsi="Times New Roman" w:cs="Times New Roman"/>
          <w:noProof/>
        </w:rPr>
        <w:drawing>
          <wp:anchor distT="0" distB="0" distL="114300" distR="114300" simplePos="0" relativeHeight="251664384" behindDoc="0" locked="0" layoutInCell="1" allowOverlap="1" wp14:anchorId="11CB06CE" wp14:editId="34D0D4D8">
            <wp:simplePos x="0" y="0"/>
            <wp:positionH relativeFrom="column">
              <wp:posOffset>-8890</wp:posOffset>
            </wp:positionH>
            <wp:positionV relativeFrom="paragraph">
              <wp:posOffset>842010</wp:posOffset>
            </wp:positionV>
            <wp:extent cx="3200400" cy="3140710"/>
            <wp:effectExtent l="0" t="0" r="0" b="0"/>
            <wp:wrapSquare wrapText="bothSides"/>
            <wp:docPr id="2" name="Picture 2" descr="page8image183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8image18325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31407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C5C">
        <w:rPr>
          <w:rFonts w:ascii="TimesNewRomanPSMT" w:eastAsia="Times New Roman" w:hAnsi="TimesNewRomanPSMT" w:cs="TimesNewRomanPSMT"/>
        </w:rPr>
        <w:t>Figure 5b compares the locations of the clusters from Figure 4 with the off-cycle clusters. This plot is also seen through the western hemisphere. Except for A20, these two sets of clusters do not overlap much in their spatial distribution. The off-cycle events (orange and green in Figure 5b) are more sparsely distributed but</w:t>
      </w:r>
      <w:r w:rsidRPr="00883C5C">
        <w:rPr>
          <w:rFonts w:ascii="Times New Roman" w:eastAsia="Times New Roman" w:hAnsi="Times New Roman" w:cs="Times New Roman"/>
        </w:rPr>
        <w:fldChar w:fldCharType="begin"/>
      </w:r>
      <w:r w:rsidR="00C72C5E">
        <w:rPr>
          <w:rFonts w:ascii="Times New Roman" w:eastAsia="Times New Roman" w:hAnsi="Times New Roman" w:cs="Times New Roman"/>
        </w:rPr>
        <w:instrText xml:space="preserve"> INCLUDEPICTURE "C:\\var\\folders\\5f\\6kh2h3js2ksd_blzm40q5ry80000gp\\T\\com.microsoft.Word\\WebArchiveCopyPasteTempFiles\\page8image1832512" \* MERGEFORMAT </w:instrText>
      </w:r>
      <w:r w:rsidRPr="00883C5C">
        <w:rPr>
          <w:rFonts w:ascii="Times New Roman" w:eastAsia="Times New Roman" w:hAnsi="Times New Roman" w:cs="Times New Roman"/>
        </w:rPr>
        <w:fldChar w:fldCharType="end"/>
      </w:r>
      <w:r w:rsidRPr="00883C5C">
        <w:rPr>
          <w:rFonts w:ascii="TimesNewRomanPSMT" w:eastAsia="Times New Roman" w:hAnsi="TimesNewRomanPSMT" w:cs="TimesNewRomanPSMT"/>
        </w:rPr>
        <w:t xml:space="preserve"> seem to occur between the two mega-clusters identified Figure 4b. </w:t>
      </w:r>
    </w:p>
    <w:p w14:paraId="1FAF1D94" w14:textId="77777777" w:rsidR="00801D0B" w:rsidRPr="00883C5C" w:rsidRDefault="00801D0B" w:rsidP="00EF3256">
      <w:pPr>
        <w:spacing w:before="100" w:beforeAutospacing="1" w:after="100" w:afterAutospacing="1"/>
        <w:jc w:val="both"/>
        <w:rPr>
          <w:rFonts w:ascii="Times New Roman" w:eastAsia="Times New Roman" w:hAnsi="Times New Roman" w:cs="Times New Roman"/>
        </w:rPr>
      </w:pPr>
    </w:p>
    <w:p w14:paraId="1C0E8777" w14:textId="77777777" w:rsidR="00801D0B" w:rsidRPr="00883C5C" w:rsidRDefault="00801D0B" w:rsidP="00801D0B">
      <w:pPr>
        <w:spacing w:before="100" w:beforeAutospacing="1" w:after="100" w:afterAutospacing="1"/>
        <w:jc w:val="both"/>
        <w:rPr>
          <w:rFonts w:ascii="Times New Roman" w:eastAsia="Times New Roman" w:hAnsi="Times New Roman" w:cs="Times New Roman"/>
        </w:rPr>
      </w:pPr>
      <w:r w:rsidRPr="00883C5C">
        <w:rPr>
          <w:rFonts w:ascii="TimesNewRomanPSMT" w:eastAsia="Times New Roman" w:hAnsi="TimesNewRomanPSMT" w:cs="TimesNewRomanPSMT"/>
        </w:rPr>
        <w:t xml:space="preserve">Figure 5a. The clusters that were active on Day 80 (orange) and Days 136-137 (green). Viewed through the near side. </w:t>
      </w:r>
    </w:p>
    <w:p w14:paraId="746FABC1"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7B1D0EE9"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24D1EDF8"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24A2F72C"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1AF10FAE"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2CF33EA2"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0AB69E14" w14:textId="77777777" w:rsidR="00801D0B" w:rsidRDefault="00801D0B" w:rsidP="00EF3256">
      <w:pPr>
        <w:spacing w:before="100" w:beforeAutospacing="1" w:after="100" w:afterAutospacing="1"/>
        <w:jc w:val="both"/>
        <w:rPr>
          <w:rFonts w:ascii="TimesNewRomanPSMT" w:eastAsia="Times New Roman" w:hAnsi="TimesNewRomanPSMT" w:cs="TimesNewRomanPSMT"/>
        </w:rPr>
      </w:pPr>
      <w:r w:rsidRPr="00EF3256">
        <w:rPr>
          <w:rFonts w:ascii="Times New Roman" w:eastAsia="Times New Roman" w:hAnsi="Times New Roman" w:cs="Times New Roman"/>
          <w:noProof/>
        </w:rPr>
        <w:drawing>
          <wp:anchor distT="0" distB="0" distL="114300" distR="114300" simplePos="0" relativeHeight="251665408" behindDoc="0" locked="0" layoutInCell="1" allowOverlap="1" wp14:anchorId="4A822B4C" wp14:editId="7EC3F1B9">
            <wp:simplePos x="0" y="0"/>
            <wp:positionH relativeFrom="column">
              <wp:posOffset>-8890</wp:posOffset>
            </wp:positionH>
            <wp:positionV relativeFrom="paragraph">
              <wp:posOffset>36618</wp:posOffset>
            </wp:positionV>
            <wp:extent cx="3222625" cy="2870200"/>
            <wp:effectExtent l="0" t="0" r="3175" b="0"/>
            <wp:wrapSquare wrapText="bothSides"/>
            <wp:docPr id="1" name="Picture 1" descr="page8image1832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8image18322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2625" cy="287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B14D9" w14:textId="77777777" w:rsidR="00801D0B" w:rsidRPr="00883C5C" w:rsidRDefault="00801D0B" w:rsidP="00801D0B">
      <w:pPr>
        <w:spacing w:before="100" w:beforeAutospacing="1" w:after="100" w:afterAutospacing="1"/>
        <w:jc w:val="both"/>
        <w:rPr>
          <w:rFonts w:ascii="Times New Roman" w:eastAsia="Times New Roman" w:hAnsi="Times New Roman" w:cs="Times New Roman"/>
        </w:rPr>
      </w:pPr>
      <w:r w:rsidRPr="00883C5C">
        <w:rPr>
          <w:rFonts w:ascii="TimesNewRomanPSMT" w:eastAsia="Times New Roman" w:hAnsi="TimesNewRomanPSMT" w:cs="TimesNewRomanPSMT"/>
        </w:rPr>
        <w:t xml:space="preserve">Figure 5b. The same clusters plotted with those from Figure 4b. Viewed through the western hemisphere. The off-cycle clusters (orange and green) seem to occur in the gap between the two mega- clusters (blue and magenta). </w:t>
      </w:r>
    </w:p>
    <w:p w14:paraId="61BB896B"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7293BDBC"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28E2DCC5"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223C34A1" w14:textId="77777777" w:rsidR="00801D0B" w:rsidRDefault="00801D0B" w:rsidP="00EF3256">
      <w:pPr>
        <w:spacing w:before="100" w:beforeAutospacing="1" w:after="100" w:afterAutospacing="1"/>
        <w:jc w:val="both"/>
        <w:rPr>
          <w:rFonts w:ascii="TimesNewRomanPSMT" w:eastAsia="Times New Roman" w:hAnsi="TimesNewRomanPSMT" w:cs="TimesNewRomanPSMT"/>
        </w:rPr>
      </w:pPr>
    </w:p>
    <w:p w14:paraId="7ABBCDC4" w14:textId="44E80BE7" w:rsidR="00801D0B" w:rsidRDefault="00801D0B" w:rsidP="00801D0B">
      <w:pPr>
        <w:spacing w:before="100" w:beforeAutospacing="1" w:after="100" w:afterAutospacing="1"/>
        <w:jc w:val="both"/>
        <w:rPr>
          <w:rFonts w:ascii="TimesNewRomanPSMT" w:eastAsia="Times New Roman" w:hAnsi="TimesNewRomanPSMT" w:cs="TimesNewRomanPSMT"/>
        </w:rPr>
      </w:pPr>
      <w:r>
        <w:rPr>
          <w:rFonts w:ascii="TimesNewRomanPSMT" w:eastAsia="Times New Roman" w:hAnsi="TimesNewRomanPSMT" w:cs="TimesNewRomanPSMT"/>
        </w:rPr>
        <w:t>While it</w:t>
      </w:r>
      <w:r w:rsidRPr="00883C5C">
        <w:rPr>
          <w:rFonts w:ascii="TimesNewRomanPSMT" w:eastAsia="Times New Roman" w:hAnsi="TimesNewRomanPSMT" w:cs="TimesNewRomanPSMT"/>
        </w:rPr>
        <w:t xml:space="preserve"> is not the intention of </w:t>
      </w:r>
      <w:r>
        <w:rPr>
          <w:rFonts w:ascii="TimesNewRomanPSMT" w:eastAsia="Times New Roman" w:hAnsi="TimesNewRomanPSMT" w:cs="TimesNewRomanPSMT"/>
        </w:rPr>
        <w:t>this effort</w:t>
      </w:r>
      <w:r w:rsidRPr="00883C5C">
        <w:rPr>
          <w:rFonts w:ascii="TimesNewRomanPSMT" w:eastAsia="Times New Roman" w:hAnsi="TimesNewRomanPSMT" w:cs="TimesNewRomanPSMT"/>
        </w:rPr>
        <w:t xml:space="preserve"> to look further into the analysis of the spatial and temporal distribution of these moonquakes, but t</w:t>
      </w:r>
      <w:r w:rsidRPr="00883C5C">
        <w:rPr>
          <w:rFonts w:ascii="Times New Roman" w:eastAsia="Times New Roman" w:hAnsi="Times New Roman" w:cs="Times New Roman"/>
        </w:rPr>
        <w:fldChar w:fldCharType="begin"/>
      </w:r>
      <w:r w:rsidR="00C72C5E">
        <w:rPr>
          <w:rFonts w:ascii="Times New Roman" w:eastAsia="Times New Roman" w:hAnsi="Times New Roman" w:cs="Times New Roman"/>
        </w:rPr>
        <w:instrText xml:space="preserve"> INCLUDEPICTURE "C:\\var\\folders\\5f\\6kh2h3js2ksd_blzm40q5ry80000gp\\T\\com.microsoft.Word\\WebArchiveCopyPasteTempFiles\\page8image1832288" \* MERGEFORMAT </w:instrText>
      </w:r>
      <w:r w:rsidRPr="00883C5C">
        <w:rPr>
          <w:rFonts w:ascii="Times New Roman" w:eastAsia="Times New Roman" w:hAnsi="Times New Roman" w:cs="Times New Roman"/>
        </w:rPr>
        <w:fldChar w:fldCharType="end"/>
      </w:r>
      <w:r w:rsidRPr="00883C5C">
        <w:rPr>
          <w:rFonts w:ascii="TimesNewRomanPSMT" w:eastAsia="Times New Roman" w:hAnsi="TimesNewRomanPSMT" w:cs="TimesNewRomanPSMT"/>
        </w:rPr>
        <w:t xml:space="preserve">his example demonstrates the great potential for the use of GIS in analytical work. </w:t>
      </w:r>
    </w:p>
    <w:p w14:paraId="1DBD3942" w14:textId="7F4A4EC6" w:rsidR="001C7512" w:rsidRDefault="001C7512" w:rsidP="00801D0B">
      <w:pPr>
        <w:spacing w:before="100" w:beforeAutospacing="1" w:after="100" w:afterAutospacing="1"/>
        <w:jc w:val="both"/>
        <w:rPr>
          <w:rFonts w:ascii="Times New Roman" w:eastAsia="Times New Roman" w:hAnsi="Times New Roman" w:cs="Times New Roman"/>
        </w:rPr>
      </w:pPr>
    </w:p>
    <w:p w14:paraId="54FFE3BB" w14:textId="7592E94E" w:rsidR="001C7512" w:rsidRPr="001C1330" w:rsidRDefault="001C7512" w:rsidP="001C1330">
      <w:pPr>
        <w:spacing w:before="100" w:beforeAutospacing="1" w:after="100" w:afterAutospacing="1"/>
        <w:jc w:val="both"/>
        <w:rPr>
          <w:rFonts w:ascii="TimesNewRomanPSMT" w:eastAsia="Times New Roman" w:hAnsi="TimesNewRomanPSMT" w:cs="TimesNewRomanPSMT"/>
          <w:b/>
        </w:rPr>
      </w:pPr>
      <w:r w:rsidRPr="008A2B7E">
        <w:rPr>
          <w:rFonts w:ascii="TimesNewRomanPSMT" w:eastAsia="Times New Roman" w:hAnsi="TimesNewRomanPSMT" w:cs="TimesNewRomanPSMT"/>
          <w:b/>
        </w:rPr>
        <w:t>References</w:t>
      </w:r>
    </w:p>
    <w:p w14:paraId="77D056B2" w14:textId="77777777" w:rsidR="001C7512" w:rsidRDefault="001C7512" w:rsidP="001C7512">
      <w:pPr>
        <w:pStyle w:val="PlainText"/>
        <w:jc w:val="both"/>
        <w:rPr>
          <w:rFonts w:ascii="Times New Roman" w:hAnsi="Times New Roman" w:cs="Times New Roman"/>
          <w:sz w:val="24"/>
          <w:szCs w:val="24"/>
        </w:rPr>
      </w:pPr>
      <w:r w:rsidRPr="00214B71">
        <w:rPr>
          <w:rFonts w:ascii="Times New Roman" w:hAnsi="Times New Roman" w:cs="Times New Roman"/>
          <w:sz w:val="24"/>
          <w:szCs w:val="24"/>
        </w:rPr>
        <w:t xml:space="preserve">Bulow, R. C., Johnson, C. L., Bills, B. G., &amp; Shearer, P. M. (2007). Temporal and spatial properties of some deep moonquake clusters. Journal of Geophysical Research, 112(E9). </w:t>
      </w:r>
      <w:hyperlink r:id="rId15" w:history="1">
        <w:r w:rsidRPr="004823FE">
          <w:rPr>
            <w:rStyle w:val="Hyperlink"/>
            <w:rFonts w:ascii="Times New Roman" w:hAnsi="Times New Roman" w:cs="Times New Roman"/>
            <w:sz w:val="24"/>
            <w:szCs w:val="24"/>
          </w:rPr>
          <w:t>https://doi.org/10.1029/2006JE002847</w:t>
        </w:r>
      </w:hyperlink>
      <w:r>
        <w:rPr>
          <w:rFonts w:ascii="Times New Roman" w:hAnsi="Times New Roman" w:cs="Times New Roman"/>
          <w:sz w:val="24"/>
          <w:szCs w:val="24"/>
        </w:rPr>
        <w:t>.</w:t>
      </w:r>
    </w:p>
    <w:p w14:paraId="0E9ADBBC" w14:textId="77777777" w:rsidR="001C7512" w:rsidRPr="00214B71" w:rsidRDefault="001C7512" w:rsidP="001C7512">
      <w:pPr>
        <w:pStyle w:val="PlainText"/>
        <w:jc w:val="both"/>
        <w:rPr>
          <w:rFonts w:ascii="Times New Roman" w:hAnsi="Times New Roman" w:cs="Times New Roman"/>
          <w:sz w:val="24"/>
          <w:szCs w:val="24"/>
        </w:rPr>
      </w:pPr>
    </w:p>
    <w:p w14:paraId="75631515" w14:textId="77777777" w:rsidR="001C7512" w:rsidRDefault="001C7512" w:rsidP="001C7512">
      <w:pPr>
        <w:pStyle w:val="PlainText"/>
        <w:jc w:val="both"/>
        <w:rPr>
          <w:rFonts w:ascii="Times New Roman" w:hAnsi="Times New Roman" w:cs="Times New Roman"/>
          <w:sz w:val="24"/>
          <w:szCs w:val="24"/>
        </w:rPr>
      </w:pPr>
      <w:r w:rsidRPr="00214B71">
        <w:rPr>
          <w:rFonts w:ascii="Times New Roman" w:hAnsi="Times New Roman" w:cs="Times New Roman"/>
          <w:sz w:val="24"/>
          <w:szCs w:val="24"/>
        </w:rPr>
        <w:t xml:space="preserve">Nakamura, Y. (2005). Farside deep moonquakes and deep interior of the Moon. Journal of Geophysical Research, 110(E1). </w:t>
      </w:r>
      <w:hyperlink r:id="rId16" w:history="1">
        <w:r w:rsidRPr="004823FE">
          <w:rPr>
            <w:rStyle w:val="Hyperlink"/>
            <w:rFonts w:ascii="Times New Roman" w:hAnsi="Times New Roman" w:cs="Times New Roman"/>
            <w:sz w:val="24"/>
            <w:szCs w:val="24"/>
          </w:rPr>
          <w:t>https://doi.org/10.1029/2004JE002332</w:t>
        </w:r>
      </w:hyperlink>
      <w:r>
        <w:rPr>
          <w:rFonts w:ascii="Times New Roman" w:hAnsi="Times New Roman" w:cs="Times New Roman"/>
          <w:sz w:val="24"/>
          <w:szCs w:val="24"/>
        </w:rPr>
        <w:t>.</w:t>
      </w:r>
    </w:p>
    <w:p w14:paraId="752CC435" w14:textId="77777777" w:rsidR="001C7512" w:rsidRPr="00214B71" w:rsidRDefault="001C7512" w:rsidP="001C7512">
      <w:pPr>
        <w:pStyle w:val="PlainText"/>
        <w:jc w:val="both"/>
        <w:rPr>
          <w:rFonts w:ascii="Times New Roman" w:hAnsi="Times New Roman" w:cs="Times New Roman"/>
          <w:sz w:val="24"/>
          <w:szCs w:val="24"/>
        </w:rPr>
      </w:pPr>
    </w:p>
    <w:p w14:paraId="10EB9EAD" w14:textId="77777777" w:rsidR="001C7512" w:rsidRDefault="001C7512" w:rsidP="001C7512">
      <w:pPr>
        <w:pStyle w:val="PlainText"/>
        <w:jc w:val="both"/>
        <w:rPr>
          <w:rFonts w:ascii="Times New Roman" w:hAnsi="Times New Roman" w:cs="Times New Roman"/>
          <w:sz w:val="24"/>
          <w:szCs w:val="24"/>
        </w:rPr>
      </w:pPr>
      <w:r w:rsidRPr="00EF6F23">
        <w:rPr>
          <w:rFonts w:ascii="Times New Roman" w:hAnsi="Times New Roman" w:cs="Times New Roman"/>
          <w:sz w:val="24"/>
          <w:szCs w:val="24"/>
        </w:rPr>
        <w:t xml:space="preserve">Weber, R. C., Bills, B. G., &amp; Johnson, C. L. (2009). Constraints on deep moonquake focal mechanisms through analyses of tidal stress. Journal of Geophysical Research: Planets, 114(E5). </w:t>
      </w:r>
      <w:hyperlink r:id="rId17" w:history="1">
        <w:r w:rsidRPr="004823FE">
          <w:rPr>
            <w:rStyle w:val="Hyperlink"/>
            <w:rFonts w:ascii="Times New Roman" w:hAnsi="Times New Roman" w:cs="Times New Roman"/>
            <w:sz w:val="24"/>
            <w:szCs w:val="24"/>
          </w:rPr>
          <w:t>https://doi.org/10.1029/2008JE003286</w:t>
        </w:r>
      </w:hyperlink>
      <w:r>
        <w:rPr>
          <w:rFonts w:ascii="Times New Roman" w:hAnsi="Times New Roman" w:cs="Times New Roman"/>
          <w:sz w:val="24"/>
          <w:szCs w:val="24"/>
        </w:rPr>
        <w:t>.</w:t>
      </w:r>
    </w:p>
    <w:p w14:paraId="3A331503" w14:textId="77777777" w:rsidR="001C7512" w:rsidRPr="00214B71" w:rsidRDefault="001C7512" w:rsidP="001C7512">
      <w:pPr>
        <w:pStyle w:val="PlainText"/>
        <w:jc w:val="both"/>
        <w:rPr>
          <w:rFonts w:ascii="Times New Roman" w:hAnsi="Times New Roman" w:cs="Times New Roman"/>
          <w:sz w:val="24"/>
          <w:szCs w:val="24"/>
        </w:rPr>
      </w:pPr>
    </w:p>
    <w:p w14:paraId="11D1CAC6" w14:textId="200D49C7" w:rsidR="00801D0B" w:rsidRPr="001C7512" w:rsidRDefault="00801D0B" w:rsidP="001C7512">
      <w:pPr>
        <w:pStyle w:val="PlainText"/>
        <w:jc w:val="both"/>
        <w:rPr>
          <w:rFonts w:ascii="Times New Roman" w:hAnsi="Times New Roman" w:cs="Times New Roman"/>
          <w:sz w:val="24"/>
          <w:szCs w:val="24"/>
        </w:rPr>
      </w:pPr>
    </w:p>
    <w:sectPr w:rsidR="00801D0B" w:rsidRPr="001C7512" w:rsidSect="00B209E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741E85" w14:textId="77777777" w:rsidR="00B75A08" w:rsidRDefault="00B75A08" w:rsidP="00EF3256">
      <w:r>
        <w:separator/>
      </w:r>
    </w:p>
  </w:endnote>
  <w:endnote w:type="continuationSeparator" w:id="0">
    <w:p w14:paraId="786DCF32" w14:textId="77777777" w:rsidR="00B75A08" w:rsidRDefault="00B75A08" w:rsidP="00EF32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2F1C7F" w14:textId="77777777" w:rsidR="00B75A08" w:rsidRDefault="00B75A08" w:rsidP="00EF3256">
      <w:r>
        <w:separator/>
      </w:r>
    </w:p>
  </w:footnote>
  <w:footnote w:type="continuationSeparator" w:id="0">
    <w:p w14:paraId="791E8C4C" w14:textId="77777777" w:rsidR="00B75A08" w:rsidRDefault="00B75A08" w:rsidP="00EF3256">
      <w:r>
        <w:continuationSeparator/>
      </w:r>
    </w:p>
  </w:footnote>
  <w:footnote w:id="1">
    <w:p w14:paraId="230430B7" w14:textId="77777777" w:rsidR="00833B77" w:rsidRPr="00EF3256" w:rsidRDefault="00833B77" w:rsidP="00833B77">
      <w:pPr>
        <w:rPr>
          <w:rFonts w:ascii="Times New Roman" w:eastAsia="Times New Roman" w:hAnsi="Times New Roman" w:cs="Times New Roman"/>
        </w:rPr>
      </w:pPr>
      <w:r>
        <w:rPr>
          <w:rStyle w:val="FootnoteReference"/>
        </w:rPr>
        <w:footnoteRef/>
      </w:r>
      <w:r>
        <w:t xml:space="preserve"> </w:t>
      </w:r>
      <w:hyperlink r:id="rId1" w:history="1">
        <w:r w:rsidRPr="00EF3256">
          <w:rPr>
            <w:rFonts w:ascii="Times New Roman" w:eastAsia="Times New Roman" w:hAnsi="Times New Roman" w:cs="Times New Roman"/>
            <w:color w:val="0000FF"/>
            <w:u w:val="single"/>
          </w:rPr>
          <w:t>https://desktop.arcgis.com/en/arcmap/latest/extensions/arcglobe/the-arcglobe-user-interface.htm</w:t>
        </w:r>
      </w:hyperlink>
    </w:p>
    <w:p w14:paraId="72CD932D" w14:textId="77777777" w:rsidR="00833B77" w:rsidRDefault="00833B77" w:rsidP="00833B77">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C5C"/>
    <w:rsid w:val="00163C34"/>
    <w:rsid w:val="001C1330"/>
    <w:rsid w:val="001C7512"/>
    <w:rsid w:val="002651CE"/>
    <w:rsid w:val="003232AB"/>
    <w:rsid w:val="00422B06"/>
    <w:rsid w:val="004A0DF1"/>
    <w:rsid w:val="00520758"/>
    <w:rsid w:val="006A2EEC"/>
    <w:rsid w:val="006F4F5F"/>
    <w:rsid w:val="00720547"/>
    <w:rsid w:val="007542F7"/>
    <w:rsid w:val="00801D0B"/>
    <w:rsid w:val="00833B77"/>
    <w:rsid w:val="008627E2"/>
    <w:rsid w:val="00865E54"/>
    <w:rsid w:val="00883C5C"/>
    <w:rsid w:val="00B209EB"/>
    <w:rsid w:val="00B57275"/>
    <w:rsid w:val="00B60F4C"/>
    <w:rsid w:val="00B75A08"/>
    <w:rsid w:val="00C72C5E"/>
    <w:rsid w:val="00C7320D"/>
    <w:rsid w:val="00DB2064"/>
    <w:rsid w:val="00DC2BA0"/>
    <w:rsid w:val="00EF3256"/>
    <w:rsid w:val="00F04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A5FD11"/>
  <w14:defaultImageDpi w14:val="32767"/>
  <w15:chartTrackingRefBased/>
  <w15:docId w15:val="{5DFAA745-4A8E-2240-AB0C-2447F661C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83C5C"/>
    <w:pPr>
      <w:spacing w:before="100" w:beforeAutospacing="1" w:after="100" w:afterAutospacing="1"/>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EF3256"/>
    <w:rPr>
      <w:sz w:val="20"/>
      <w:szCs w:val="20"/>
    </w:rPr>
  </w:style>
  <w:style w:type="character" w:customStyle="1" w:styleId="FootnoteTextChar">
    <w:name w:val="Footnote Text Char"/>
    <w:basedOn w:val="DefaultParagraphFont"/>
    <w:link w:val="FootnoteText"/>
    <w:uiPriority w:val="99"/>
    <w:semiHidden/>
    <w:rsid w:val="00EF3256"/>
    <w:rPr>
      <w:sz w:val="20"/>
      <w:szCs w:val="20"/>
    </w:rPr>
  </w:style>
  <w:style w:type="character" w:styleId="FootnoteReference">
    <w:name w:val="footnote reference"/>
    <w:basedOn w:val="DefaultParagraphFont"/>
    <w:uiPriority w:val="99"/>
    <w:semiHidden/>
    <w:unhideWhenUsed/>
    <w:rsid w:val="00EF3256"/>
    <w:rPr>
      <w:vertAlign w:val="superscript"/>
    </w:rPr>
  </w:style>
  <w:style w:type="character" w:styleId="Hyperlink">
    <w:name w:val="Hyperlink"/>
    <w:basedOn w:val="DefaultParagraphFont"/>
    <w:uiPriority w:val="99"/>
    <w:unhideWhenUsed/>
    <w:rsid w:val="00EF3256"/>
    <w:rPr>
      <w:color w:val="0000FF"/>
      <w:u w:val="single"/>
    </w:rPr>
  </w:style>
  <w:style w:type="paragraph" w:styleId="PlainText">
    <w:name w:val="Plain Text"/>
    <w:basedOn w:val="Normal"/>
    <w:link w:val="PlainTextChar"/>
    <w:uiPriority w:val="99"/>
    <w:unhideWhenUsed/>
    <w:rsid w:val="00720547"/>
    <w:rPr>
      <w:rFonts w:ascii="Calibri" w:eastAsia="Times New Roman" w:hAnsi="Calibri" w:cs="Consolas"/>
      <w:sz w:val="28"/>
      <w:szCs w:val="21"/>
    </w:rPr>
  </w:style>
  <w:style w:type="character" w:customStyle="1" w:styleId="PlainTextChar">
    <w:name w:val="Plain Text Char"/>
    <w:basedOn w:val="DefaultParagraphFont"/>
    <w:link w:val="PlainText"/>
    <w:uiPriority w:val="99"/>
    <w:rsid w:val="00720547"/>
    <w:rPr>
      <w:rFonts w:ascii="Calibri" w:eastAsia="Times New Roman" w:hAnsi="Calibri" w:cs="Consolas"/>
      <w:sz w:val="28"/>
      <w:szCs w:val="21"/>
    </w:rPr>
  </w:style>
  <w:style w:type="character" w:styleId="FollowedHyperlink">
    <w:name w:val="FollowedHyperlink"/>
    <w:basedOn w:val="DefaultParagraphFont"/>
    <w:uiPriority w:val="99"/>
    <w:semiHidden/>
    <w:unhideWhenUsed/>
    <w:rsid w:val="00163C3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82556">
      <w:bodyDiv w:val="1"/>
      <w:marLeft w:val="0"/>
      <w:marRight w:val="0"/>
      <w:marTop w:val="0"/>
      <w:marBottom w:val="0"/>
      <w:divBdr>
        <w:top w:val="none" w:sz="0" w:space="0" w:color="auto"/>
        <w:left w:val="none" w:sz="0" w:space="0" w:color="auto"/>
        <w:bottom w:val="none" w:sz="0" w:space="0" w:color="auto"/>
        <w:right w:val="none" w:sz="0" w:space="0" w:color="auto"/>
      </w:divBdr>
    </w:div>
    <w:div w:id="491607406">
      <w:bodyDiv w:val="1"/>
      <w:marLeft w:val="0"/>
      <w:marRight w:val="0"/>
      <w:marTop w:val="0"/>
      <w:marBottom w:val="0"/>
      <w:divBdr>
        <w:top w:val="none" w:sz="0" w:space="0" w:color="auto"/>
        <w:left w:val="none" w:sz="0" w:space="0" w:color="auto"/>
        <w:bottom w:val="none" w:sz="0" w:space="0" w:color="auto"/>
        <w:right w:val="none" w:sz="0" w:space="0" w:color="auto"/>
      </w:divBdr>
    </w:div>
    <w:div w:id="895818598">
      <w:bodyDiv w:val="1"/>
      <w:marLeft w:val="0"/>
      <w:marRight w:val="0"/>
      <w:marTop w:val="0"/>
      <w:marBottom w:val="0"/>
      <w:divBdr>
        <w:top w:val="none" w:sz="0" w:space="0" w:color="auto"/>
        <w:left w:val="none" w:sz="0" w:space="0" w:color="auto"/>
        <w:bottom w:val="none" w:sz="0" w:space="0" w:color="auto"/>
        <w:right w:val="none" w:sz="0" w:space="0" w:color="auto"/>
      </w:divBdr>
    </w:div>
    <w:div w:id="1603026377">
      <w:bodyDiv w:val="1"/>
      <w:marLeft w:val="0"/>
      <w:marRight w:val="0"/>
      <w:marTop w:val="0"/>
      <w:marBottom w:val="0"/>
      <w:divBdr>
        <w:top w:val="none" w:sz="0" w:space="0" w:color="auto"/>
        <w:left w:val="none" w:sz="0" w:space="0" w:color="auto"/>
        <w:bottom w:val="none" w:sz="0" w:space="0" w:color="auto"/>
        <w:right w:val="none" w:sz="0" w:space="0" w:color="auto"/>
      </w:divBdr>
      <w:divsChild>
        <w:div w:id="1295718867">
          <w:marLeft w:val="0"/>
          <w:marRight w:val="0"/>
          <w:marTop w:val="0"/>
          <w:marBottom w:val="0"/>
          <w:divBdr>
            <w:top w:val="none" w:sz="0" w:space="0" w:color="auto"/>
            <w:left w:val="none" w:sz="0" w:space="0" w:color="auto"/>
            <w:bottom w:val="none" w:sz="0" w:space="0" w:color="auto"/>
            <w:right w:val="none" w:sz="0" w:space="0" w:color="auto"/>
          </w:divBdr>
          <w:divsChild>
            <w:div w:id="1632710392">
              <w:marLeft w:val="0"/>
              <w:marRight w:val="0"/>
              <w:marTop w:val="0"/>
              <w:marBottom w:val="0"/>
              <w:divBdr>
                <w:top w:val="none" w:sz="0" w:space="0" w:color="auto"/>
                <w:left w:val="none" w:sz="0" w:space="0" w:color="auto"/>
                <w:bottom w:val="none" w:sz="0" w:space="0" w:color="auto"/>
                <w:right w:val="none" w:sz="0" w:space="0" w:color="auto"/>
              </w:divBdr>
              <w:divsChild>
                <w:div w:id="773743702">
                  <w:marLeft w:val="0"/>
                  <w:marRight w:val="0"/>
                  <w:marTop w:val="0"/>
                  <w:marBottom w:val="0"/>
                  <w:divBdr>
                    <w:top w:val="none" w:sz="0" w:space="0" w:color="auto"/>
                    <w:left w:val="none" w:sz="0" w:space="0" w:color="auto"/>
                    <w:bottom w:val="none" w:sz="0" w:space="0" w:color="auto"/>
                    <w:right w:val="none" w:sz="0" w:space="0" w:color="auto"/>
                  </w:divBdr>
                </w:div>
              </w:divsChild>
            </w:div>
            <w:div w:id="1594469">
              <w:marLeft w:val="0"/>
              <w:marRight w:val="0"/>
              <w:marTop w:val="0"/>
              <w:marBottom w:val="0"/>
              <w:divBdr>
                <w:top w:val="none" w:sz="0" w:space="0" w:color="auto"/>
                <w:left w:val="none" w:sz="0" w:space="0" w:color="auto"/>
                <w:bottom w:val="none" w:sz="0" w:space="0" w:color="auto"/>
                <w:right w:val="none" w:sz="0" w:space="0" w:color="auto"/>
              </w:divBdr>
              <w:divsChild>
                <w:div w:id="18202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09863">
          <w:marLeft w:val="0"/>
          <w:marRight w:val="0"/>
          <w:marTop w:val="0"/>
          <w:marBottom w:val="0"/>
          <w:divBdr>
            <w:top w:val="none" w:sz="0" w:space="0" w:color="auto"/>
            <w:left w:val="none" w:sz="0" w:space="0" w:color="auto"/>
            <w:bottom w:val="none" w:sz="0" w:space="0" w:color="auto"/>
            <w:right w:val="none" w:sz="0" w:space="0" w:color="auto"/>
          </w:divBdr>
          <w:divsChild>
            <w:div w:id="1514219075">
              <w:marLeft w:val="0"/>
              <w:marRight w:val="0"/>
              <w:marTop w:val="0"/>
              <w:marBottom w:val="0"/>
              <w:divBdr>
                <w:top w:val="none" w:sz="0" w:space="0" w:color="auto"/>
                <w:left w:val="none" w:sz="0" w:space="0" w:color="auto"/>
                <w:bottom w:val="none" w:sz="0" w:space="0" w:color="auto"/>
                <w:right w:val="none" w:sz="0" w:space="0" w:color="auto"/>
              </w:divBdr>
              <w:divsChild>
                <w:div w:id="1435594295">
                  <w:marLeft w:val="0"/>
                  <w:marRight w:val="0"/>
                  <w:marTop w:val="0"/>
                  <w:marBottom w:val="0"/>
                  <w:divBdr>
                    <w:top w:val="none" w:sz="0" w:space="0" w:color="auto"/>
                    <w:left w:val="none" w:sz="0" w:space="0" w:color="auto"/>
                    <w:bottom w:val="none" w:sz="0" w:space="0" w:color="auto"/>
                    <w:right w:val="none" w:sz="0" w:space="0" w:color="auto"/>
                  </w:divBdr>
                </w:div>
              </w:divsChild>
            </w:div>
            <w:div w:id="117115800">
              <w:marLeft w:val="0"/>
              <w:marRight w:val="0"/>
              <w:marTop w:val="0"/>
              <w:marBottom w:val="0"/>
              <w:divBdr>
                <w:top w:val="none" w:sz="0" w:space="0" w:color="auto"/>
                <w:left w:val="none" w:sz="0" w:space="0" w:color="auto"/>
                <w:bottom w:val="none" w:sz="0" w:space="0" w:color="auto"/>
                <w:right w:val="none" w:sz="0" w:space="0" w:color="auto"/>
              </w:divBdr>
              <w:divsChild>
                <w:div w:id="19918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041889">
          <w:marLeft w:val="0"/>
          <w:marRight w:val="0"/>
          <w:marTop w:val="0"/>
          <w:marBottom w:val="0"/>
          <w:divBdr>
            <w:top w:val="none" w:sz="0" w:space="0" w:color="auto"/>
            <w:left w:val="none" w:sz="0" w:space="0" w:color="auto"/>
            <w:bottom w:val="none" w:sz="0" w:space="0" w:color="auto"/>
            <w:right w:val="none" w:sz="0" w:space="0" w:color="auto"/>
          </w:divBdr>
          <w:divsChild>
            <w:div w:id="1920796841">
              <w:marLeft w:val="0"/>
              <w:marRight w:val="0"/>
              <w:marTop w:val="0"/>
              <w:marBottom w:val="0"/>
              <w:divBdr>
                <w:top w:val="none" w:sz="0" w:space="0" w:color="auto"/>
                <w:left w:val="none" w:sz="0" w:space="0" w:color="auto"/>
                <w:bottom w:val="none" w:sz="0" w:space="0" w:color="auto"/>
                <w:right w:val="none" w:sz="0" w:space="0" w:color="auto"/>
              </w:divBdr>
              <w:divsChild>
                <w:div w:id="1111247550">
                  <w:marLeft w:val="0"/>
                  <w:marRight w:val="0"/>
                  <w:marTop w:val="0"/>
                  <w:marBottom w:val="0"/>
                  <w:divBdr>
                    <w:top w:val="none" w:sz="0" w:space="0" w:color="auto"/>
                    <w:left w:val="none" w:sz="0" w:space="0" w:color="auto"/>
                    <w:bottom w:val="none" w:sz="0" w:space="0" w:color="auto"/>
                    <w:right w:val="none" w:sz="0" w:space="0" w:color="auto"/>
                  </w:divBdr>
                </w:div>
              </w:divsChild>
            </w:div>
            <w:div w:id="275257707">
              <w:marLeft w:val="0"/>
              <w:marRight w:val="0"/>
              <w:marTop w:val="0"/>
              <w:marBottom w:val="0"/>
              <w:divBdr>
                <w:top w:val="none" w:sz="0" w:space="0" w:color="auto"/>
                <w:left w:val="none" w:sz="0" w:space="0" w:color="auto"/>
                <w:bottom w:val="none" w:sz="0" w:space="0" w:color="auto"/>
                <w:right w:val="none" w:sz="0" w:space="0" w:color="auto"/>
              </w:divBdr>
              <w:divsChild>
                <w:div w:id="101797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21539">
          <w:marLeft w:val="0"/>
          <w:marRight w:val="0"/>
          <w:marTop w:val="0"/>
          <w:marBottom w:val="0"/>
          <w:divBdr>
            <w:top w:val="none" w:sz="0" w:space="0" w:color="auto"/>
            <w:left w:val="none" w:sz="0" w:space="0" w:color="auto"/>
            <w:bottom w:val="none" w:sz="0" w:space="0" w:color="auto"/>
            <w:right w:val="none" w:sz="0" w:space="0" w:color="auto"/>
          </w:divBdr>
          <w:divsChild>
            <w:div w:id="724647949">
              <w:marLeft w:val="0"/>
              <w:marRight w:val="0"/>
              <w:marTop w:val="0"/>
              <w:marBottom w:val="0"/>
              <w:divBdr>
                <w:top w:val="none" w:sz="0" w:space="0" w:color="auto"/>
                <w:left w:val="none" w:sz="0" w:space="0" w:color="auto"/>
                <w:bottom w:val="none" w:sz="0" w:space="0" w:color="auto"/>
                <w:right w:val="none" w:sz="0" w:space="0" w:color="auto"/>
              </w:divBdr>
              <w:divsChild>
                <w:div w:id="489061282">
                  <w:marLeft w:val="0"/>
                  <w:marRight w:val="0"/>
                  <w:marTop w:val="0"/>
                  <w:marBottom w:val="0"/>
                  <w:divBdr>
                    <w:top w:val="none" w:sz="0" w:space="0" w:color="auto"/>
                    <w:left w:val="none" w:sz="0" w:space="0" w:color="auto"/>
                    <w:bottom w:val="none" w:sz="0" w:space="0" w:color="auto"/>
                    <w:right w:val="none" w:sz="0" w:space="0" w:color="auto"/>
                  </w:divBdr>
                </w:div>
              </w:divsChild>
            </w:div>
            <w:div w:id="1474443973">
              <w:marLeft w:val="0"/>
              <w:marRight w:val="0"/>
              <w:marTop w:val="0"/>
              <w:marBottom w:val="0"/>
              <w:divBdr>
                <w:top w:val="none" w:sz="0" w:space="0" w:color="auto"/>
                <w:left w:val="none" w:sz="0" w:space="0" w:color="auto"/>
                <w:bottom w:val="none" w:sz="0" w:space="0" w:color="auto"/>
                <w:right w:val="none" w:sz="0" w:space="0" w:color="auto"/>
              </w:divBdr>
              <w:divsChild>
                <w:div w:id="1038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27793">
          <w:marLeft w:val="0"/>
          <w:marRight w:val="0"/>
          <w:marTop w:val="0"/>
          <w:marBottom w:val="0"/>
          <w:divBdr>
            <w:top w:val="none" w:sz="0" w:space="0" w:color="auto"/>
            <w:left w:val="none" w:sz="0" w:space="0" w:color="auto"/>
            <w:bottom w:val="none" w:sz="0" w:space="0" w:color="auto"/>
            <w:right w:val="none" w:sz="0" w:space="0" w:color="auto"/>
          </w:divBdr>
          <w:divsChild>
            <w:div w:id="1486510334">
              <w:marLeft w:val="0"/>
              <w:marRight w:val="0"/>
              <w:marTop w:val="0"/>
              <w:marBottom w:val="0"/>
              <w:divBdr>
                <w:top w:val="none" w:sz="0" w:space="0" w:color="auto"/>
                <w:left w:val="none" w:sz="0" w:space="0" w:color="auto"/>
                <w:bottom w:val="none" w:sz="0" w:space="0" w:color="auto"/>
                <w:right w:val="none" w:sz="0" w:space="0" w:color="auto"/>
              </w:divBdr>
              <w:divsChild>
                <w:div w:id="1861309835">
                  <w:marLeft w:val="0"/>
                  <w:marRight w:val="0"/>
                  <w:marTop w:val="0"/>
                  <w:marBottom w:val="0"/>
                  <w:divBdr>
                    <w:top w:val="none" w:sz="0" w:space="0" w:color="auto"/>
                    <w:left w:val="none" w:sz="0" w:space="0" w:color="auto"/>
                    <w:bottom w:val="none" w:sz="0" w:space="0" w:color="auto"/>
                    <w:right w:val="none" w:sz="0" w:space="0" w:color="auto"/>
                  </w:divBdr>
                </w:div>
              </w:divsChild>
            </w:div>
            <w:div w:id="179584139">
              <w:marLeft w:val="0"/>
              <w:marRight w:val="0"/>
              <w:marTop w:val="0"/>
              <w:marBottom w:val="0"/>
              <w:divBdr>
                <w:top w:val="none" w:sz="0" w:space="0" w:color="auto"/>
                <w:left w:val="none" w:sz="0" w:space="0" w:color="auto"/>
                <w:bottom w:val="none" w:sz="0" w:space="0" w:color="auto"/>
                <w:right w:val="none" w:sz="0" w:space="0" w:color="auto"/>
              </w:divBdr>
              <w:divsChild>
                <w:div w:id="82504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59434">
          <w:marLeft w:val="0"/>
          <w:marRight w:val="0"/>
          <w:marTop w:val="0"/>
          <w:marBottom w:val="0"/>
          <w:divBdr>
            <w:top w:val="none" w:sz="0" w:space="0" w:color="auto"/>
            <w:left w:val="none" w:sz="0" w:space="0" w:color="auto"/>
            <w:bottom w:val="none" w:sz="0" w:space="0" w:color="auto"/>
            <w:right w:val="none" w:sz="0" w:space="0" w:color="auto"/>
          </w:divBdr>
          <w:divsChild>
            <w:div w:id="399329038">
              <w:marLeft w:val="0"/>
              <w:marRight w:val="0"/>
              <w:marTop w:val="0"/>
              <w:marBottom w:val="0"/>
              <w:divBdr>
                <w:top w:val="none" w:sz="0" w:space="0" w:color="auto"/>
                <w:left w:val="none" w:sz="0" w:space="0" w:color="auto"/>
                <w:bottom w:val="none" w:sz="0" w:space="0" w:color="auto"/>
                <w:right w:val="none" w:sz="0" w:space="0" w:color="auto"/>
              </w:divBdr>
              <w:divsChild>
                <w:div w:id="29652067">
                  <w:marLeft w:val="0"/>
                  <w:marRight w:val="0"/>
                  <w:marTop w:val="0"/>
                  <w:marBottom w:val="0"/>
                  <w:divBdr>
                    <w:top w:val="none" w:sz="0" w:space="0" w:color="auto"/>
                    <w:left w:val="none" w:sz="0" w:space="0" w:color="auto"/>
                    <w:bottom w:val="none" w:sz="0" w:space="0" w:color="auto"/>
                    <w:right w:val="none" w:sz="0" w:space="0" w:color="auto"/>
                  </w:divBdr>
                </w:div>
              </w:divsChild>
            </w:div>
            <w:div w:id="278293283">
              <w:marLeft w:val="0"/>
              <w:marRight w:val="0"/>
              <w:marTop w:val="0"/>
              <w:marBottom w:val="0"/>
              <w:divBdr>
                <w:top w:val="none" w:sz="0" w:space="0" w:color="auto"/>
                <w:left w:val="none" w:sz="0" w:space="0" w:color="auto"/>
                <w:bottom w:val="none" w:sz="0" w:space="0" w:color="auto"/>
                <w:right w:val="none" w:sz="0" w:space="0" w:color="auto"/>
              </w:divBdr>
              <w:divsChild>
                <w:div w:id="1949123729">
                  <w:marLeft w:val="0"/>
                  <w:marRight w:val="0"/>
                  <w:marTop w:val="0"/>
                  <w:marBottom w:val="0"/>
                  <w:divBdr>
                    <w:top w:val="none" w:sz="0" w:space="0" w:color="auto"/>
                    <w:left w:val="none" w:sz="0" w:space="0" w:color="auto"/>
                    <w:bottom w:val="none" w:sz="0" w:space="0" w:color="auto"/>
                    <w:right w:val="none" w:sz="0" w:space="0" w:color="auto"/>
                  </w:divBdr>
                </w:div>
              </w:divsChild>
            </w:div>
            <w:div w:id="239799595">
              <w:marLeft w:val="0"/>
              <w:marRight w:val="0"/>
              <w:marTop w:val="0"/>
              <w:marBottom w:val="0"/>
              <w:divBdr>
                <w:top w:val="none" w:sz="0" w:space="0" w:color="auto"/>
                <w:left w:val="none" w:sz="0" w:space="0" w:color="auto"/>
                <w:bottom w:val="none" w:sz="0" w:space="0" w:color="auto"/>
                <w:right w:val="none" w:sz="0" w:space="0" w:color="auto"/>
              </w:divBdr>
              <w:divsChild>
                <w:div w:id="144357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66696">
          <w:marLeft w:val="0"/>
          <w:marRight w:val="0"/>
          <w:marTop w:val="0"/>
          <w:marBottom w:val="0"/>
          <w:divBdr>
            <w:top w:val="none" w:sz="0" w:space="0" w:color="auto"/>
            <w:left w:val="none" w:sz="0" w:space="0" w:color="auto"/>
            <w:bottom w:val="none" w:sz="0" w:space="0" w:color="auto"/>
            <w:right w:val="none" w:sz="0" w:space="0" w:color="auto"/>
          </w:divBdr>
          <w:divsChild>
            <w:div w:id="243882340">
              <w:marLeft w:val="0"/>
              <w:marRight w:val="0"/>
              <w:marTop w:val="0"/>
              <w:marBottom w:val="0"/>
              <w:divBdr>
                <w:top w:val="none" w:sz="0" w:space="0" w:color="auto"/>
                <w:left w:val="none" w:sz="0" w:space="0" w:color="auto"/>
                <w:bottom w:val="none" w:sz="0" w:space="0" w:color="auto"/>
                <w:right w:val="none" w:sz="0" w:space="0" w:color="auto"/>
              </w:divBdr>
              <w:divsChild>
                <w:div w:id="200946855">
                  <w:marLeft w:val="0"/>
                  <w:marRight w:val="0"/>
                  <w:marTop w:val="0"/>
                  <w:marBottom w:val="0"/>
                  <w:divBdr>
                    <w:top w:val="none" w:sz="0" w:space="0" w:color="auto"/>
                    <w:left w:val="none" w:sz="0" w:space="0" w:color="auto"/>
                    <w:bottom w:val="none" w:sz="0" w:space="0" w:color="auto"/>
                    <w:right w:val="none" w:sz="0" w:space="0" w:color="auto"/>
                  </w:divBdr>
                </w:div>
              </w:divsChild>
            </w:div>
            <w:div w:id="34936907">
              <w:marLeft w:val="0"/>
              <w:marRight w:val="0"/>
              <w:marTop w:val="0"/>
              <w:marBottom w:val="0"/>
              <w:divBdr>
                <w:top w:val="none" w:sz="0" w:space="0" w:color="auto"/>
                <w:left w:val="none" w:sz="0" w:space="0" w:color="auto"/>
                <w:bottom w:val="none" w:sz="0" w:space="0" w:color="auto"/>
                <w:right w:val="none" w:sz="0" w:space="0" w:color="auto"/>
              </w:divBdr>
              <w:divsChild>
                <w:div w:id="1786801176">
                  <w:marLeft w:val="0"/>
                  <w:marRight w:val="0"/>
                  <w:marTop w:val="0"/>
                  <w:marBottom w:val="0"/>
                  <w:divBdr>
                    <w:top w:val="none" w:sz="0" w:space="0" w:color="auto"/>
                    <w:left w:val="none" w:sz="0" w:space="0" w:color="auto"/>
                    <w:bottom w:val="none" w:sz="0" w:space="0" w:color="auto"/>
                    <w:right w:val="none" w:sz="0" w:space="0" w:color="auto"/>
                  </w:divBdr>
                </w:div>
              </w:divsChild>
            </w:div>
            <w:div w:id="2142991208">
              <w:marLeft w:val="0"/>
              <w:marRight w:val="0"/>
              <w:marTop w:val="0"/>
              <w:marBottom w:val="0"/>
              <w:divBdr>
                <w:top w:val="none" w:sz="0" w:space="0" w:color="auto"/>
                <w:left w:val="none" w:sz="0" w:space="0" w:color="auto"/>
                <w:bottom w:val="none" w:sz="0" w:space="0" w:color="auto"/>
                <w:right w:val="none" w:sz="0" w:space="0" w:color="auto"/>
              </w:divBdr>
              <w:divsChild>
                <w:div w:id="7362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doi.org/10.1029/2008JE003286" TargetMode="External"/><Relationship Id="rId2" Type="http://schemas.openxmlformats.org/officeDocument/2006/relationships/settings" Target="settings.xml"/><Relationship Id="rId16" Type="http://schemas.openxmlformats.org/officeDocument/2006/relationships/hyperlink" Target="https://doi.org/10.1029/2004JE002332" TargetMode="External"/><Relationship Id="rId1" Type="http://schemas.openxmlformats.org/officeDocument/2006/relationships/styles" Target="styles.xml"/><Relationship Id="rId6" Type="http://schemas.openxmlformats.org/officeDocument/2006/relationships/hyperlink" Target="https://pds-geosciences.wustl.edu/missions/apollo/seismic_event_catalog.ht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yperlink" Target="https://doi.org/10.1029/2006JE002847"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jpeg"/></Relationships>
</file>

<file path=word/_rels/footnotes.xml.rels><?xml version="1.0" encoding="UTF-8" standalone="yes"?>
<Relationships xmlns="http://schemas.openxmlformats.org/package/2006/relationships"><Relationship Id="rId1" Type="http://schemas.openxmlformats.org/officeDocument/2006/relationships/hyperlink" Target="https://desktop.arcgis.com/en/arcmap/latest/extensions/arcglobe/the-arcglobe-user-interfac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1146</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Weber, Renee C. (MSFC-ST13)</dc:creator>
  <cp:keywords/>
  <dc:description/>
  <cp:lastModifiedBy>Kiefer, Walter</cp:lastModifiedBy>
  <cp:revision>5</cp:revision>
  <dcterms:created xsi:type="dcterms:W3CDTF">2020-11-06T02:57:00Z</dcterms:created>
  <dcterms:modified xsi:type="dcterms:W3CDTF">2020-11-10T04:04:00Z</dcterms:modified>
</cp:coreProperties>
</file>