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03C" w:rsidRPr="00AD0343" w:rsidRDefault="00ED603C" w:rsidP="00ED603C">
      <w:pPr>
        <w:spacing w:after="0"/>
        <w:rPr>
          <w:rFonts w:ascii="Times New Roman" w:hAnsi="Times New Roman"/>
        </w:rPr>
      </w:pPr>
      <w:r w:rsidRPr="00AD0343">
        <w:rPr>
          <w:rFonts w:ascii="Times New Roman" w:hAnsi="Times New Roman"/>
        </w:rPr>
        <w:t xml:space="preserve">Edyta Galoch                                                                           </w:t>
      </w:r>
      <w:r>
        <w:rPr>
          <w:rFonts w:ascii="Times New Roman" w:hAnsi="Times New Roman"/>
        </w:rPr>
        <w:t xml:space="preserve">                             </w:t>
      </w:r>
      <w:r w:rsidRPr="00AD0343">
        <w:rPr>
          <w:rFonts w:ascii="Times New Roman" w:hAnsi="Times New Roman"/>
        </w:rPr>
        <w:t xml:space="preserve">   Fizjologia Prokaryota</w:t>
      </w:r>
    </w:p>
    <w:p w:rsidR="00ED603C" w:rsidRPr="00AD0343" w:rsidRDefault="00ED603C" w:rsidP="00ED603C">
      <w:pPr>
        <w:spacing w:after="0"/>
        <w:rPr>
          <w:rFonts w:ascii="Times New Roman" w:hAnsi="Times New Roman"/>
        </w:rPr>
      </w:pPr>
      <w:r w:rsidRPr="00AD0343">
        <w:rPr>
          <w:rFonts w:ascii="Times New Roman" w:hAnsi="Times New Roman"/>
        </w:rPr>
        <w:t>Magdalena Gaik</w:t>
      </w:r>
    </w:p>
    <w:p w:rsidR="00ED603C" w:rsidRPr="00AD0343" w:rsidRDefault="00ED603C" w:rsidP="00ED603C">
      <w:pPr>
        <w:spacing w:after="0"/>
        <w:rPr>
          <w:rFonts w:ascii="Times New Roman" w:hAnsi="Times New Roman"/>
        </w:rPr>
      </w:pPr>
      <w:r w:rsidRPr="00AD0343">
        <w:rPr>
          <w:rFonts w:ascii="Times New Roman" w:hAnsi="Times New Roman"/>
        </w:rPr>
        <w:t>Józef Ciok</w:t>
      </w:r>
    </w:p>
    <w:p w:rsidR="00ED603C" w:rsidRPr="00AD0343" w:rsidRDefault="00ED603C" w:rsidP="00ED603C">
      <w:pPr>
        <w:spacing w:after="0"/>
        <w:rPr>
          <w:rFonts w:ascii="Times New Roman" w:hAnsi="Times New Roman"/>
        </w:rPr>
      </w:pPr>
      <w:r w:rsidRPr="00AD0343">
        <w:rPr>
          <w:rFonts w:ascii="Times New Roman" w:hAnsi="Times New Roman"/>
        </w:rPr>
        <w:t>Beata Kondracka</w:t>
      </w:r>
    </w:p>
    <w:p w:rsidR="00ED603C" w:rsidRPr="00AD0343" w:rsidRDefault="00ED603C" w:rsidP="00ED603C">
      <w:pPr>
        <w:spacing w:after="0"/>
        <w:rPr>
          <w:rFonts w:ascii="Times New Roman" w:hAnsi="Times New Roman"/>
        </w:rPr>
      </w:pPr>
      <w:r w:rsidRPr="00AD0343">
        <w:rPr>
          <w:rFonts w:ascii="Times New Roman" w:hAnsi="Times New Roman"/>
        </w:rPr>
        <w:t>Aneta Wysmolińska</w:t>
      </w:r>
    </w:p>
    <w:p w:rsidR="00ED603C" w:rsidRPr="00AD0343" w:rsidRDefault="00ED603C" w:rsidP="00ED603C">
      <w:pPr>
        <w:spacing w:after="0"/>
        <w:rPr>
          <w:rFonts w:ascii="Times New Roman" w:hAnsi="Times New Roman"/>
        </w:rPr>
      </w:pPr>
      <w:r>
        <w:rPr>
          <w:rFonts w:ascii="Times New Roman" w:hAnsi="Times New Roman"/>
        </w:rPr>
        <w:t xml:space="preserve">BIOLOGIA </w:t>
      </w:r>
      <w:r w:rsidRPr="00AD0343">
        <w:rPr>
          <w:rFonts w:ascii="Times New Roman" w:hAnsi="Times New Roman"/>
        </w:rPr>
        <w:t>gr. 5</w:t>
      </w:r>
    </w:p>
    <w:p w:rsidR="00ED603C" w:rsidRPr="00AD0343" w:rsidRDefault="00ED603C" w:rsidP="00ED603C">
      <w:pPr>
        <w:spacing w:after="0" w:line="240" w:lineRule="auto"/>
        <w:jc w:val="center"/>
        <w:rPr>
          <w:rFonts w:ascii="Times New Roman" w:hAnsi="Times New Roman"/>
        </w:rPr>
      </w:pPr>
    </w:p>
    <w:p w:rsidR="00ED603C" w:rsidRDefault="00ED603C" w:rsidP="00ED603C">
      <w:pPr>
        <w:spacing w:after="0" w:line="240" w:lineRule="auto"/>
        <w:jc w:val="center"/>
        <w:rPr>
          <w:rFonts w:ascii="Times New Roman" w:hAnsi="Times New Roman"/>
          <w:b/>
          <w:sz w:val="36"/>
          <w:szCs w:val="36"/>
        </w:rPr>
      </w:pPr>
    </w:p>
    <w:p w:rsidR="00ED603C" w:rsidRPr="00287BE1" w:rsidRDefault="00ED603C" w:rsidP="00ED603C">
      <w:pPr>
        <w:spacing w:after="0" w:line="240" w:lineRule="auto"/>
        <w:jc w:val="center"/>
        <w:rPr>
          <w:rFonts w:ascii="Times New Roman" w:hAnsi="Times New Roman"/>
          <w:sz w:val="48"/>
          <w:szCs w:val="48"/>
        </w:rPr>
      </w:pPr>
      <w:r w:rsidRPr="00287BE1">
        <w:rPr>
          <w:rFonts w:ascii="Times New Roman" w:hAnsi="Times New Roman"/>
          <w:b/>
          <w:sz w:val="48"/>
          <w:szCs w:val="48"/>
        </w:rPr>
        <w:t>Wzrost bakterii w hodowli okresowej</w:t>
      </w:r>
      <w:r w:rsidRPr="00287BE1">
        <w:rPr>
          <w:rFonts w:ascii="Times New Roman" w:hAnsi="Times New Roman"/>
          <w:sz w:val="48"/>
          <w:szCs w:val="48"/>
        </w:rPr>
        <w:t>.</w:t>
      </w:r>
    </w:p>
    <w:p w:rsidR="00ED603C" w:rsidRDefault="00ED603C" w:rsidP="00ED603C">
      <w:pPr>
        <w:spacing w:after="0" w:line="240" w:lineRule="auto"/>
        <w:rPr>
          <w:rFonts w:ascii="Times New Roman" w:hAnsi="Times New Roman"/>
        </w:rPr>
      </w:pPr>
    </w:p>
    <w:p w:rsidR="00ED603C" w:rsidRPr="00C62E2A" w:rsidRDefault="00ED603C" w:rsidP="00ED603C">
      <w:pPr>
        <w:spacing w:after="0" w:line="240" w:lineRule="auto"/>
        <w:rPr>
          <w:rFonts w:ascii="Times New Roman" w:hAnsi="Times New Roman"/>
        </w:rPr>
      </w:pPr>
    </w:p>
    <w:p w:rsidR="00ED603C" w:rsidRPr="00C62E2A" w:rsidRDefault="00ED603C" w:rsidP="00ED603C">
      <w:pPr>
        <w:spacing w:after="0"/>
        <w:jc w:val="both"/>
        <w:rPr>
          <w:rFonts w:ascii="Times New Roman" w:hAnsi="Times New Roman"/>
        </w:rPr>
      </w:pPr>
      <w:r w:rsidRPr="00C62E2A">
        <w:rPr>
          <w:rFonts w:ascii="Times New Roman" w:hAnsi="Times New Roman"/>
        </w:rPr>
        <w:t xml:space="preserve">       Hodowla okresowa to hodowla w której cykl rozwoju populacji jest zamknięty. Wzrost mikroorganizmów</w:t>
      </w:r>
      <w:r>
        <w:rPr>
          <w:rFonts w:ascii="Times New Roman" w:hAnsi="Times New Roman"/>
        </w:rPr>
        <w:t xml:space="preserve"> </w:t>
      </w:r>
      <w:r w:rsidRPr="00C62E2A">
        <w:rPr>
          <w:rFonts w:ascii="Times New Roman" w:hAnsi="Times New Roman"/>
        </w:rPr>
        <w:t xml:space="preserve"> rozpoczyna się w momencie wprowadzenia substratu oraz zaszczepienia. </w:t>
      </w:r>
      <w:r>
        <w:rPr>
          <w:rFonts w:ascii="Times New Roman" w:hAnsi="Times New Roman"/>
        </w:rPr>
        <w:t xml:space="preserve"> </w:t>
      </w:r>
      <w:r w:rsidRPr="00C62E2A">
        <w:rPr>
          <w:rFonts w:ascii="Times New Roman" w:hAnsi="Times New Roman"/>
        </w:rPr>
        <w:t>Zmiany zawartości mikroorganizmów wykazują fazowy charakter i są przedstawiane w postaci tzw. krzywej wzrostu, która dla różnych gatunków bakterii ma odpowiednie kształty.</w:t>
      </w:r>
      <w:r>
        <w:rPr>
          <w:rFonts w:ascii="Times New Roman" w:hAnsi="Times New Roman"/>
        </w:rPr>
        <w:t xml:space="preserve"> Typowa krzywa ma kształt sigmoidalny, oraz widoczne fazy wzrostu. </w:t>
      </w:r>
      <w:r w:rsidRPr="00C62E2A">
        <w:rPr>
          <w:rFonts w:ascii="Times New Roman" w:hAnsi="Times New Roman"/>
        </w:rPr>
        <w:t>Przyjmując liczbę komórek jako miarę przyrostu mikroorganizmów, można wyodrębnić pięć faz : fazę zastoju, fazę wzrostu wykładniczego (logarytmicznego), fazę stacjonarną oraz fazę zamierania.</w:t>
      </w:r>
    </w:p>
    <w:p w:rsidR="00ED603C" w:rsidRPr="00C62E2A" w:rsidRDefault="00ED603C" w:rsidP="00ED603C">
      <w:pPr>
        <w:pStyle w:val="BodyTextIndent"/>
        <w:spacing w:line="276" w:lineRule="auto"/>
        <w:rPr>
          <w:sz w:val="22"/>
          <w:szCs w:val="22"/>
        </w:rPr>
      </w:pPr>
      <w:r w:rsidRPr="00C62E2A">
        <w:rPr>
          <w:sz w:val="22"/>
          <w:szCs w:val="22"/>
        </w:rPr>
        <w:t>Faza zastoju, jest to faza która stanowi okres od chwili zaszczepienia do momentu ustalenia maksymalnej szybkości podziałów. Faza ta jest fazą przygotow</w:t>
      </w:r>
      <w:r>
        <w:rPr>
          <w:sz w:val="22"/>
          <w:szCs w:val="22"/>
        </w:rPr>
        <w:t>awczą</w:t>
      </w:r>
      <w:r w:rsidRPr="00C62E2A">
        <w:rPr>
          <w:sz w:val="22"/>
          <w:szCs w:val="22"/>
        </w:rPr>
        <w:t>. Po przeszczepieniu bakterii na nowe po</w:t>
      </w:r>
      <w:r>
        <w:rPr>
          <w:sz w:val="22"/>
          <w:szCs w:val="22"/>
        </w:rPr>
        <w:t>dłoże początkowo nie obserwuje się</w:t>
      </w:r>
      <w:r w:rsidRPr="00C62E2A">
        <w:rPr>
          <w:sz w:val="22"/>
          <w:szCs w:val="22"/>
        </w:rPr>
        <w:t xml:space="preserve"> rozmnażania, lecz wzrost wielkości komórek. Bakterie charakteryzuje mała aktywność metaboliczna, duża odporność, przystosowywanie się do nowych warunków środowiskowych. W fazie zastoju zachodzą procesy adaptacyjne i w efekcie bakterie zwiększają swoje rozmiary. Czas trwania tej fazy zależy od rodzaju inokulum.</w:t>
      </w:r>
    </w:p>
    <w:p w:rsidR="00ED603C" w:rsidRPr="00C62E2A" w:rsidRDefault="00ED603C" w:rsidP="00ED603C">
      <w:pPr>
        <w:pStyle w:val="BodyTextIndent"/>
        <w:spacing w:line="276" w:lineRule="auto"/>
        <w:rPr>
          <w:sz w:val="22"/>
          <w:szCs w:val="22"/>
        </w:rPr>
      </w:pPr>
      <w:r w:rsidRPr="00C62E2A">
        <w:rPr>
          <w:sz w:val="22"/>
          <w:szCs w:val="22"/>
        </w:rPr>
        <w:t>Faza wzrostu wykładniczego (logarytmicznego)</w:t>
      </w:r>
      <w:r>
        <w:rPr>
          <w:sz w:val="22"/>
          <w:szCs w:val="22"/>
        </w:rPr>
        <w:t>.</w:t>
      </w:r>
      <w:r w:rsidRPr="00C62E2A">
        <w:rPr>
          <w:sz w:val="22"/>
          <w:szCs w:val="22"/>
        </w:rPr>
        <w:t xml:space="preserve"> W fazie tej komórki zaczynają się dzielić. W momencie kiedy komórka osiągnie odpowiednia długość następują bakterie wchodzą w  etap podziałów. Jest to największa w danych warunkach częstotliwość podziałów przy stałej i równomiernej syntezie składników komórkowych. Każda komórka dzieli się na dwie. Po określonym czasie wzrostu powstałe komórki znowu dzielą się na dwie itd. Czas, który oddziela od siebie kolejne podziały jest to czas generacji. Zależy on od warunków w których prowadzona jest hodowla i od cech gatunkowych drobnoustroju. W konkretnej hodowli jest on więc stały. Liczba bakterii podwaja się co każdy okres generacji, rośnie więc wykładniczo z upływem czasu. </w:t>
      </w:r>
    </w:p>
    <w:p w:rsidR="00ED603C" w:rsidRPr="00C62E2A" w:rsidRDefault="00ED603C" w:rsidP="00ED603C">
      <w:pPr>
        <w:spacing w:after="0"/>
        <w:jc w:val="both"/>
        <w:rPr>
          <w:rFonts w:ascii="Times New Roman" w:hAnsi="Times New Roman"/>
        </w:rPr>
      </w:pPr>
      <w:r w:rsidRPr="00C62E2A">
        <w:rPr>
          <w:rFonts w:ascii="Times New Roman" w:hAnsi="Times New Roman"/>
        </w:rPr>
        <w:t xml:space="preserve">    Faza stacjonarna charakteryzuje się spadkiem przyrostu liczby bakterii, co spowodowane jest zamieraniem części komórek z powodu wyczerpywania się składników pokarmowych, tlenu i wytwarzania produktów przemiany materii. Zamieranie to jest w pewnej równowadze z dzieleniem się innych komórek.</w:t>
      </w:r>
    </w:p>
    <w:p w:rsidR="00ED603C" w:rsidRPr="00C62E2A" w:rsidRDefault="00ED603C" w:rsidP="00ED603C">
      <w:pPr>
        <w:spacing w:after="0"/>
        <w:jc w:val="both"/>
        <w:rPr>
          <w:rFonts w:ascii="Times New Roman" w:hAnsi="Times New Roman"/>
        </w:rPr>
      </w:pPr>
      <w:r w:rsidRPr="00C62E2A">
        <w:rPr>
          <w:rFonts w:ascii="Times New Roman" w:hAnsi="Times New Roman"/>
        </w:rPr>
        <w:t xml:space="preserve">    Faza zamierania  to faza kiedy pod wpływem czasu liczba komórek zamierających rośnie i dochodzi do spadku ogólnej liczby komórek – hodowla się przerzedza i zamiera.  Faza ta jest ostatnią fazą w rozwoju bakterii</w:t>
      </w:r>
    </w:p>
    <w:p w:rsidR="00ED603C" w:rsidRPr="00C62E2A" w:rsidRDefault="00ED603C" w:rsidP="00ED603C">
      <w:pPr>
        <w:spacing w:after="0"/>
        <w:jc w:val="both"/>
        <w:rPr>
          <w:rFonts w:ascii="Times New Roman" w:hAnsi="Times New Roman"/>
        </w:rPr>
      </w:pPr>
      <w:r w:rsidRPr="00C62E2A">
        <w:rPr>
          <w:rFonts w:ascii="Times New Roman" w:hAnsi="Times New Roman"/>
        </w:rPr>
        <w:t xml:space="preserve">    Celem prowadzonego doświadczenia było oznaczenie liczby żywych komórek bakteryjnych </w:t>
      </w:r>
      <w:r w:rsidRPr="00C62E2A">
        <w:rPr>
          <w:rFonts w:ascii="Times New Roman" w:hAnsi="Times New Roman"/>
          <w:i/>
        </w:rPr>
        <w:t>Escherichia coli</w:t>
      </w:r>
      <w:r w:rsidRPr="00C62E2A">
        <w:rPr>
          <w:rFonts w:ascii="Times New Roman" w:hAnsi="Times New Roman"/>
        </w:rPr>
        <w:t xml:space="preserve">  i </w:t>
      </w:r>
      <w:r w:rsidRPr="00C62E2A">
        <w:rPr>
          <w:rFonts w:ascii="Times New Roman" w:hAnsi="Times New Roman"/>
          <w:i/>
        </w:rPr>
        <w:t xml:space="preserve">Pseudomonas aeruginosa. </w:t>
      </w:r>
      <w:r w:rsidRPr="00C62E2A">
        <w:rPr>
          <w:rFonts w:ascii="Times New Roman" w:hAnsi="Times New Roman"/>
        </w:rPr>
        <w:t>Bakterie te hodowano w hodowli ok</w:t>
      </w:r>
      <w:r>
        <w:rPr>
          <w:rFonts w:ascii="Times New Roman" w:hAnsi="Times New Roman"/>
        </w:rPr>
        <w:t>resowej, w warunkach właściwej temperatury i napowietrzania.. Posiewy wykonano metodą</w:t>
      </w:r>
      <w:r w:rsidRPr="00C62E2A">
        <w:rPr>
          <w:rFonts w:ascii="Times New Roman" w:hAnsi="Times New Roman"/>
        </w:rPr>
        <w:t xml:space="preserve"> powierzchniową, po przygotowaniu rozcieńczeń danego inokulum </w:t>
      </w:r>
      <w:r>
        <w:rPr>
          <w:rFonts w:ascii="Times New Roman" w:hAnsi="Times New Roman"/>
        </w:rPr>
        <w:t xml:space="preserve">w </w:t>
      </w:r>
      <w:r w:rsidRPr="00C62E2A">
        <w:rPr>
          <w:rFonts w:ascii="Times New Roman" w:hAnsi="Times New Roman"/>
        </w:rPr>
        <w:t xml:space="preserve">roztworze soli fizjologicznej. </w:t>
      </w:r>
      <w:r>
        <w:rPr>
          <w:rFonts w:ascii="Times New Roman" w:hAnsi="Times New Roman"/>
        </w:rPr>
        <w:t>Wysiewy wykonano po wyznaczonych czasach hodowli na agar odżywczy.</w:t>
      </w:r>
    </w:p>
    <w:p w:rsidR="00ED603C" w:rsidRDefault="00ED603C" w:rsidP="00DC7C99">
      <w:pPr>
        <w:rPr>
          <w:b/>
        </w:rPr>
      </w:pPr>
    </w:p>
    <w:p w:rsidR="00ED603C" w:rsidRDefault="00ED603C" w:rsidP="00DC7C99">
      <w:pPr>
        <w:rPr>
          <w:b/>
        </w:rPr>
      </w:pPr>
    </w:p>
    <w:p w:rsidR="00DC7C99" w:rsidRPr="00ED603C" w:rsidRDefault="00DC7C99" w:rsidP="00DC7C99">
      <w:pPr>
        <w:numPr>
          <w:ilvl w:val="0"/>
          <w:numId w:val="3"/>
        </w:numPr>
        <w:ind w:left="1068"/>
        <w:rPr>
          <w:b/>
        </w:rPr>
      </w:pPr>
      <w:r w:rsidRPr="00ED603C">
        <w:rPr>
          <w:b/>
        </w:rPr>
        <w:lastRenderedPageBreak/>
        <w:t>Oznaczenie liczby żywych komórek metodą hodowlaną.</w:t>
      </w:r>
    </w:p>
    <w:p w:rsidR="00DC7C99" w:rsidRDefault="00DC7C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0"/>
        <w:gridCol w:w="3071"/>
        <w:gridCol w:w="3074"/>
      </w:tblGrid>
      <w:tr w:rsidR="003D6967" w:rsidRPr="00D060ED" w:rsidTr="00D060ED">
        <w:tc>
          <w:tcPr>
            <w:tcW w:w="3070" w:type="dxa"/>
          </w:tcPr>
          <w:p w:rsidR="003D6967" w:rsidRPr="00D060ED" w:rsidRDefault="005416BF" w:rsidP="00D060ED">
            <w:pPr>
              <w:spacing w:after="0" w:line="240" w:lineRule="auto"/>
              <w:jc w:val="center"/>
            </w:pPr>
            <w:r w:rsidRPr="00D060ED">
              <w:t>czas trwania hodowli</w:t>
            </w:r>
            <w:r w:rsidR="003D6967" w:rsidRPr="00D060ED">
              <w:t xml:space="preserve"> (h)</w:t>
            </w:r>
          </w:p>
        </w:tc>
        <w:tc>
          <w:tcPr>
            <w:tcW w:w="3071" w:type="dxa"/>
          </w:tcPr>
          <w:p w:rsidR="005416BF" w:rsidRPr="00D060ED" w:rsidRDefault="003D6967" w:rsidP="00D060ED">
            <w:pPr>
              <w:spacing w:after="0" w:line="240" w:lineRule="auto"/>
              <w:jc w:val="center"/>
            </w:pPr>
            <w:r w:rsidRPr="00D060ED">
              <w:t xml:space="preserve">log liczby kolonii </w:t>
            </w:r>
          </w:p>
          <w:p w:rsidR="003D6967" w:rsidRPr="00D060ED" w:rsidRDefault="003D6967" w:rsidP="00D060ED">
            <w:pPr>
              <w:spacing w:after="0" w:line="240" w:lineRule="auto"/>
              <w:jc w:val="center"/>
            </w:pPr>
            <w:r w:rsidRPr="00D060ED">
              <w:rPr>
                <w:i/>
              </w:rPr>
              <w:t>Pseudomonas aeruginosa</w:t>
            </w:r>
          </w:p>
        </w:tc>
        <w:tc>
          <w:tcPr>
            <w:tcW w:w="3074" w:type="dxa"/>
          </w:tcPr>
          <w:p w:rsidR="005416BF" w:rsidRPr="00D060ED" w:rsidRDefault="003D6967" w:rsidP="00D060ED">
            <w:pPr>
              <w:spacing w:after="0" w:line="240" w:lineRule="auto"/>
              <w:jc w:val="center"/>
            </w:pPr>
            <w:r w:rsidRPr="00D060ED">
              <w:t xml:space="preserve">log liczby kolonii </w:t>
            </w:r>
          </w:p>
          <w:p w:rsidR="003D6967" w:rsidRPr="00D060ED" w:rsidRDefault="003D6967" w:rsidP="00D060ED">
            <w:pPr>
              <w:spacing w:after="0" w:line="240" w:lineRule="auto"/>
              <w:jc w:val="center"/>
            </w:pPr>
            <w:r w:rsidRPr="00D060ED">
              <w:rPr>
                <w:i/>
              </w:rPr>
              <w:t>Escherichia coli</w:t>
            </w:r>
          </w:p>
        </w:tc>
      </w:tr>
      <w:tr w:rsidR="003D6967" w:rsidRPr="00D060ED" w:rsidTr="00D060ED">
        <w:tc>
          <w:tcPr>
            <w:tcW w:w="3070" w:type="dxa"/>
          </w:tcPr>
          <w:p w:rsidR="003D6967" w:rsidRPr="00D060ED" w:rsidRDefault="003D6967" w:rsidP="00D060ED">
            <w:pPr>
              <w:spacing w:after="0" w:line="240" w:lineRule="auto"/>
              <w:jc w:val="center"/>
            </w:pPr>
            <w:r w:rsidRPr="00D060ED">
              <w:t>0</w:t>
            </w:r>
          </w:p>
        </w:tc>
        <w:tc>
          <w:tcPr>
            <w:tcW w:w="3071" w:type="dxa"/>
          </w:tcPr>
          <w:p w:rsidR="003D6967" w:rsidRPr="00D060ED" w:rsidRDefault="003D6967" w:rsidP="00D060ED">
            <w:pPr>
              <w:spacing w:after="0" w:line="240" w:lineRule="auto"/>
              <w:jc w:val="center"/>
            </w:pPr>
            <w:r w:rsidRPr="00D060ED">
              <w:t>2,8808</w:t>
            </w:r>
          </w:p>
        </w:tc>
        <w:tc>
          <w:tcPr>
            <w:tcW w:w="3074" w:type="dxa"/>
          </w:tcPr>
          <w:p w:rsidR="003D6967" w:rsidRPr="00D060ED" w:rsidRDefault="003D6967" w:rsidP="00D060ED">
            <w:pPr>
              <w:spacing w:after="0" w:line="240" w:lineRule="auto"/>
              <w:jc w:val="center"/>
            </w:pPr>
            <w:r w:rsidRPr="00D060ED">
              <w:t>2,9777</w:t>
            </w:r>
          </w:p>
        </w:tc>
      </w:tr>
      <w:tr w:rsidR="003D6967" w:rsidRPr="00D060ED" w:rsidTr="00D060ED">
        <w:tc>
          <w:tcPr>
            <w:tcW w:w="3070" w:type="dxa"/>
          </w:tcPr>
          <w:p w:rsidR="003D6967" w:rsidRPr="00D060ED" w:rsidRDefault="003D6967" w:rsidP="00D060ED">
            <w:pPr>
              <w:spacing w:after="0" w:line="240" w:lineRule="auto"/>
              <w:jc w:val="center"/>
            </w:pPr>
            <w:r w:rsidRPr="00D060ED">
              <w:t>2</w:t>
            </w:r>
          </w:p>
        </w:tc>
        <w:tc>
          <w:tcPr>
            <w:tcW w:w="3071" w:type="dxa"/>
          </w:tcPr>
          <w:p w:rsidR="003D6967" w:rsidRPr="00D060ED" w:rsidRDefault="003D6967" w:rsidP="00D060ED">
            <w:pPr>
              <w:spacing w:after="0" w:line="240" w:lineRule="auto"/>
              <w:jc w:val="center"/>
            </w:pPr>
            <w:r w:rsidRPr="00D060ED">
              <w:t>2,8990</w:t>
            </w:r>
          </w:p>
        </w:tc>
        <w:tc>
          <w:tcPr>
            <w:tcW w:w="3074" w:type="dxa"/>
          </w:tcPr>
          <w:p w:rsidR="003D6967" w:rsidRPr="00D060ED" w:rsidRDefault="003D6967" w:rsidP="00D060ED">
            <w:pPr>
              <w:spacing w:after="0" w:line="240" w:lineRule="auto"/>
              <w:jc w:val="center"/>
            </w:pPr>
            <w:r w:rsidRPr="00D060ED">
              <w:t>3,7240</w:t>
            </w:r>
          </w:p>
        </w:tc>
      </w:tr>
      <w:tr w:rsidR="003D6967" w:rsidRPr="00D060ED" w:rsidTr="00D060ED">
        <w:tc>
          <w:tcPr>
            <w:tcW w:w="3070" w:type="dxa"/>
          </w:tcPr>
          <w:p w:rsidR="003D6967" w:rsidRPr="00D060ED" w:rsidRDefault="003D6967" w:rsidP="00D060ED">
            <w:pPr>
              <w:spacing w:after="0" w:line="240" w:lineRule="auto"/>
              <w:jc w:val="center"/>
            </w:pPr>
            <w:r w:rsidRPr="00D060ED">
              <w:t>4</w:t>
            </w:r>
          </w:p>
        </w:tc>
        <w:tc>
          <w:tcPr>
            <w:tcW w:w="3071" w:type="dxa"/>
          </w:tcPr>
          <w:p w:rsidR="003D6967" w:rsidRPr="00D060ED" w:rsidRDefault="003D6967" w:rsidP="00D060ED">
            <w:pPr>
              <w:spacing w:after="0" w:line="240" w:lineRule="auto"/>
              <w:jc w:val="center"/>
            </w:pPr>
            <w:r w:rsidRPr="00D060ED">
              <w:t>4,1461</w:t>
            </w:r>
          </w:p>
        </w:tc>
        <w:tc>
          <w:tcPr>
            <w:tcW w:w="3074" w:type="dxa"/>
          </w:tcPr>
          <w:p w:rsidR="003D6967" w:rsidRPr="00D060ED" w:rsidRDefault="003D6967" w:rsidP="00D060ED">
            <w:pPr>
              <w:spacing w:after="0" w:line="240" w:lineRule="auto"/>
              <w:jc w:val="center"/>
            </w:pPr>
            <w:r w:rsidRPr="00D060ED">
              <w:t>5,8200</w:t>
            </w:r>
          </w:p>
        </w:tc>
      </w:tr>
      <w:tr w:rsidR="003D6967" w:rsidRPr="00D060ED" w:rsidTr="00D060ED">
        <w:tc>
          <w:tcPr>
            <w:tcW w:w="3070" w:type="dxa"/>
          </w:tcPr>
          <w:p w:rsidR="003D6967" w:rsidRPr="00D060ED" w:rsidRDefault="003D6967" w:rsidP="00D060ED">
            <w:pPr>
              <w:spacing w:after="0" w:line="240" w:lineRule="auto"/>
              <w:jc w:val="center"/>
            </w:pPr>
            <w:r w:rsidRPr="00D060ED">
              <w:t>6</w:t>
            </w:r>
          </w:p>
        </w:tc>
        <w:tc>
          <w:tcPr>
            <w:tcW w:w="3071" w:type="dxa"/>
          </w:tcPr>
          <w:p w:rsidR="003D6967" w:rsidRPr="00D060ED" w:rsidRDefault="003D6967" w:rsidP="00D060ED">
            <w:pPr>
              <w:spacing w:after="0" w:line="240" w:lineRule="auto"/>
              <w:jc w:val="center"/>
            </w:pPr>
            <w:r w:rsidRPr="00D060ED">
              <w:t>6,3222</w:t>
            </w:r>
          </w:p>
        </w:tc>
        <w:tc>
          <w:tcPr>
            <w:tcW w:w="3074" w:type="dxa"/>
          </w:tcPr>
          <w:p w:rsidR="003D6967" w:rsidRPr="00D060ED" w:rsidRDefault="003D6967" w:rsidP="00D060ED">
            <w:pPr>
              <w:spacing w:after="0" w:line="240" w:lineRule="auto"/>
              <w:jc w:val="center"/>
            </w:pPr>
            <w:r w:rsidRPr="00D060ED">
              <w:t>6,2944</w:t>
            </w:r>
          </w:p>
        </w:tc>
      </w:tr>
      <w:tr w:rsidR="003D6967" w:rsidRPr="00D060ED" w:rsidTr="00D060ED">
        <w:tc>
          <w:tcPr>
            <w:tcW w:w="3070" w:type="dxa"/>
          </w:tcPr>
          <w:p w:rsidR="003D6967" w:rsidRPr="00D060ED" w:rsidRDefault="003D6967" w:rsidP="00D060ED">
            <w:pPr>
              <w:spacing w:after="0" w:line="240" w:lineRule="auto"/>
              <w:jc w:val="center"/>
            </w:pPr>
            <w:r w:rsidRPr="00D060ED">
              <w:t>8</w:t>
            </w:r>
          </w:p>
        </w:tc>
        <w:tc>
          <w:tcPr>
            <w:tcW w:w="3071" w:type="dxa"/>
          </w:tcPr>
          <w:p w:rsidR="003D6967" w:rsidRPr="00D060ED" w:rsidRDefault="003D6967" w:rsidP="00D060ED">
            <w:pPr>
              <w:spacing w:after="0" w:line="240" w:lineRule="auto"/>
              <w:jc w:val="center"/>
            </w:pPr>
            <w:r w:rsidRPr="00D060ED">
              <w:t>7,0043</w:t>
            </w:r>
          </w:p>
        </w:tc>
        <w:tc>
          <w:tcPr>
            <w:tcW w:w="3074" w:type="dxa"/>
          </w:tcPr>
          <w:p w:rsidR="003D6967" w:rsidRPr="00D060ED" w:rsidRDefault="005416BF" w:rsidP="00D060ED">
            <w:pPr>
              <w:spacing w:after="0" w:line="240" w:lineRule="auto"/>
              <w:jc w:val="center"/>
            </w:pPr>
            <w:r w:rsidRPr="00D060ED">
              <w:t>7,8921</w:t>
            </w:r>
          </w:p>
        </w:tc>
      </w:tr>
      <w:tr w:rsidR="003D6967" w:rsidRPr="00D060ED" w:rsidTr="00D060ED">
        <w:tc>
          <w:tcPr>
            <w:tcW w:w="3070" w:type="dxa"/>
          </w:tcPr>
          <w:p w:rsidR="003D6967" w:rsidRPr="00D060ED" w:rsidRDefault="003D6967" w:rsidP="00D060ED">
            <w:pPr>
              <w:spacing w:after="0" w:line="240" w:lineRule="auto"/>
              <w:jc w:val="center"/>
            </w:pPr>
            <w:r w:rsidRPr="00D060ED">
              <w:t>10</w:t>
            </w:r>
          </w:p>
        </w:tc>
        <w:tc>
          <w:tcPr>
            <w:tcW w:w="3071" w:type="dxa"/>
          </w:tcPr>
          <w:p w:rsidR="003D6967" w:rsidRPr="00D060ED" w:rsidRDefault="003D6967" w:rsidP="00D060ED">
            <w:pPr>
              <w:spacing w:after="0" w:line="240" w:lineRule="auto"/>
              <w:jc w:val="center"/>
            </w:pPr>
            <w:r w:rsidRPr="00D060ED">
              <w:t>8,4150</w:t>
            </w:r>
          </w:p>
        </w:tc>
        <w:tc>
          <w:tcPr>
            <w:tcW w:w="3074" w:type="dxa"/>
          </w:tcPr>
          <w:p w:rsidR="003D6967" w:rsidRPr="00D060ED" w:rsidRDefault="005416BF" w:rsidP="00D060ED">
            <w:pPr>
              <w:spacing w:after="0" w:line="240" w:lineRule="auto"/>
              <w:jc w:val="center"/>
            </w:pPr>
            <w:r w:rsidRPr="00D060ED">
              <w:t>7,5315</w:t>
            </w:r>
          </w:p>
        </w:tc>
      </w:tr>
      <w:tr w:rsidR="003D6967" w:rsidRPr="00D060ED" w:rsidTr="00D060ED">
        <w:tc>
          <w:tcPr>
            <w:tcW w:w="3070" w:type="dxa"/>
            <w:tcBorders>
              <w:right w:val="single" w:sz="4" w:space="0" w:color="auto"/>
            </w:tcBorders>
          </w:tcPr>
          <w:p w:rsidR="003D6967" w:rsidRPr="00D060ED" w:rsidRDefault="003D6967" w:rsidP="00D060ED">
            <w:pPr>
              <w:spacing w:after="0" w:line="240" w:lineRule="auto"/>
              <w:jc w:val="center"/>
            </w:pPr>
            <w:r w:rsidRPr="00D060ED">
              <w:t>24</w:t>
            </w:r>
          </w:p>
        </w:tc>
        <w:tc>
          <w:tcPr>
            <w:tcW w:w="3071" w:type="dxa"/>
            <w:tcBorders>
              <w:left w:val="single" w:sz="4" w:space="0" w:color="auto"/>
              <w:bottom w:val="single" w:sz="4" w:space="0" w:color="auto"/>
            </w:tcBorders>
          </w:tcPr>
          <w:p w:rsidR="003D6967" w:rsidRPr="00D060ED" w:rsidRDefault="003D6967" w:rsidP="00D060ED">
            <w:pPr>
              <w:spacing w:after="0" w:line="240" w:lineRule="auto"/>
              <w:jc w:val="center"/>
            </w:pPr>
            <w:r w:rsidRPr="00D060ED">
              <w:t>7,6243</w:t>
            </w:r>
          </w:p>
        </w:tc>
        <w:tc>
          <w:tcPr>
            <w:tcW w:w="3074" w:type="dxa"/>
            <w:tcBorders>
              <w:bottom w:val="single" w:sz="4" w:space="0" w:color="auto"/>
            </w:tcBorders>
          </w:tcPr>
          <w:p w:rsidR="003D6967" w:rsidRPr="00D060ED" w:rsidRDefault="005416BF" w:rsidP="00D060ED">
            <w:pPr>
              <w:spacing w:after="0" w:line="240" w:lineRule="auto"/>
              <w:jc w:val="center"/>
            </w:pPr>
            <w:r w:rsidRPr="00D060ED">
              <w:t>7,9248</w:t>
            </w:r>
          </w:p>
        </w:tc>
      </w:tr>
      <w:tr w:rsidR="003D6967" w:rsidRPr="00D060ED" w:rsidTr="00D060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32"/>
        </w:trPr>
        <w:tc>
          <w:tcPr>
            <w:tcW w:w="3070" w:type="dxa"/>
          </w:tcPr>
          <w:p w:rsidR="003D6967" w:rsidRPr="00D060ED" w:rsidRDefault="003D6967" w:rsidP="00D060ED">
            <w:pPr>
              <w:spacing w:after="0" w:line="240" w:lineRule="auto"/>
              <w:jc w:val="center"/>
            </w:pPr>
            <w:r w:rsidRPr="00D060ED">
              <w:t>48</w:t>
            </w:r>
          </w:p>
        </w:tc>
        <w:tc>
          <w:tcPr>
            <w:tcW w:w="3071" w:type="dxa"/>
          </w:tcPr>
          <w:p w:rsidR="003D6967" w:rsidRPr="00D060ED" w:rsidRDefault="003D6967" w:rsidP="00D060ED">
            <w:pPr>
              <w:spacing w:after="0" w:line="240" w:lineRule="auto"/>
              <w:jc w:val="center"/>
            </w:pPr>
            <w:r w:rsidRPr="00D060ED">
              <w:t>7,2330</w:t>
            </w:r>
          </w:p>
        </w:tc>
        <w:tc>
          <w:tcPr>
            <w:tcW w:w="3074" w:type="dxa"/>
          </w:tcPr>
          <w:p w:rsidR="003D6967" w:rsidRPr="00D060ED" w:rsidRDefault="005416BF" w:rsidP="00D060ED">
            <w:pPr>
              <w:spacing w:after="0" w:line="240" w:lineRule="auto"/>
              <w:jc w:val="center"/>
            </w:pPr>
            <w:r w:rsidRPr="00D060ED">
              <w:t>7,3032</w:t>
            </w:r>
          </w:p>
        </w:tc>
      </w:tr>
    </w:tbl>
    <w:p w:rsidR="008F3C92" w:rsidRDefault="00160870">
      <w:r>
        <w:br w:type="textWrapping" w:clear="all"/>
      </w:r>
    </w:p>
    <w:p w:rsidR="00DC7C99" w:rsidRDefault="00DC7C99"/>
    <w:p w:rsidR="005416BF" w:rsidRDefault="00424490">
      <w:pPr>
        <w:rPr>
          <w:noProof/>
          <w:lang w:eastAsia="pl-PL"/>
        </w:rPr>
      </w:pPr>
      <w:r>
        <w:rPr>
          <w:noProof/>
          <w:lang w:eastAsia="pl-PL"/>
        </w:rPr>
        <w:drawing>
          <wp:inline distT="0" distB="0" distL="0" distR="0">
            <wp:extent cx="6207760" cy="4069715"/>
            <wp:effectExtent l="0" t="0" r="0" b="0"/>
            <wp:docPr id="3" name="Wykres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C7C99" w:rsidRDefault="00DC7C99">
      <w:pPr>
        <w:rPr>
          <w:noProof/>
          <w:lang w:eastAsia="pl-PL"/>
        </w:rPr>
      </w:pPr>
    </w:p>
    <w:p w:rsidR="00DC7C99" w:rsidRDefault="00DC7C99">
      <w:pPr>
        <w:rPr>
          <w:noProof/>
          <w:lang w:eastAsia="pl-PL"/>
        </w:rPr>
      </w:pPr>
    </w:p>
    <w:p w:rsidR="00DC7C99" w:rsidRDefault="00DC7C99">
      <w:pPr>
        <w:rPr>
          <w:noProof/>
          <w:lang w:eastAsia="pl-PL"/>
        </w:rPr>
      </w:pPr>
    </w:p>
    <w:p w:rsidR="00DC7C99" w:rsidRDefault="00DC7C99">
      <w:pPr>
        <w:rPr>
          <w:noProof/>
          <w:lang w:eastAsia="pl-PL"/>
        </w:rPr>
      </w:pPr>
    </w:p>
    <w:p w:rsidR="005416BF" w:rsidRPr="00ED603C" w:rsidRDefault="005416BF" w:rsidP="00DC7C99">
      <w:pPr>
        <w:numPr>
          <w:ilvl w:val="0"/>
          <w:numId w:val="3"/>
        </w:numPr>
        <w:rPr>
          <w:b/>
        </w:rPr>
      </w:pPr>
      <w:r w:rsidRPr="00ED603C">
        <w:rPr>
          <w:b/>
        </w:rPr>
        <w:lastRenderedPageBreak/>
        <w:t>Gęstość optyczna OD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0"/>
        <w:gridCol w:w="3071"/>
        <w:gridCol w:w="3071"/>
      </w:tblGrid>
      <w:tr w:rsidR="005416BF" w:rsidRPr="00D060ED" w:rsidTr="00D060ED">
        <w:tc>
          <w:tcPr>
            <w:tcW w:w="3070" w:type="dxa"/>
          </w:tcPr>
          <w:p w:rsidR="005416BF" w:rsidRPr="00D060ED" w:rsidRDefault="005416BF" w:rsidP="00D060ED">
            <w:pPr>
              <w:spacing w:after="0" w:line="240" w:lineRule="auto"/>
              <w:jc w:val="center"/>
            </w:pPr>
            <w:r w:rsidRPr="00D060ED">
              <w:t>Czas trwania hodowli (h)</w:t>
            </w:r>
          </w:p>
        </w:tc>
        <w:tc>
          <w:tcPr>
            <w:tcW w:w="3071" w:type="dxa"/>
          </w:tcPr>
          <w:p w:rsidR="005416BF" w:rsidRPr="00D060ED" w:rsidRDefault="008F2D8B" w:rsidP="00D060ED">
            <w:pPr>
              <w:spacing w:after="0" w:line="240" w:lineRule="auto"/>
              <w:jc w:val="center"/>
            </w:pPr>
            <w:r w:rsidRPr="00D060ED">
              <w:t xml:space="preserve">Wartość OD przy długości fali 600 nm dla </w:t>
            </w:r>
            <w:r w:rsidRPr="00D060ED">
              <w:rPr>
                <w:i/>
              </w:rPr>
              <w:t xml:space="preserve">Ps. </w:t>
            </w:r>
            <w:r w:rsidR="00ED2DB9" w:rsidRPr="00D060ED">
              <w:rPr>
                <w:i/>
              </w:rPr>
              <w:t>A</w:t>
            </w:r>
            <w:r w:rsidRPr="00D060ED">
              <w:rPr>
                <w:i/>
              </w:rPr>
              <w:t>eruginosa</w:t>
            </w:r>
          </w:p>
        </w:tc>
        <w:tc>
          <w:tcPr>
            <w:tcW w:w="3071" w:type="dxa"/>
          </w:tcPr>
          <w:p w:rsidR="005416BF" w:rsidRPr="00D060ED" w:rsidRDefault="008F2D8B" w:rsidP="00D060ED">
            <w:pPr>
              <w:spacing w:after="0" w:line="240" w:lineRule="auto"/>
              <w:jc w:val="center"/>
            </w:pPr>
            <w:r w:rsidRPr="00D060ED">
              <w:t xml:space="preserve">Wartość OD przy długości fali 600 nm dla </w:t>
            </w:r>
            <w:r w:rsidRPr="00D060ED">
              <w:rPr>
                <w:i/>
              </w:rPr>
              <w:t>E. coli</w:t>
            </w:r>
          </w:p>
        </w:tc>
      </w:tr>
      <w:tr w:rsidR="005416BF" w:rsidRPr="00D060ED" w:rsidTr="00D060ED">
        <w:tc>
          <w:tcPr>
            <w:tcW w:w="3070" w:type="dxa"/>
          </w:tcPr>
          <w:p w:rsidR="005416BF" w:rsidRPr="00D060ED" w:rsidRDefault="008F2D8B" w:rsidP="00D060ED">
            <w:pPr>
              <w:spacing w:after="0" w:line="240" w:lineRule="auto"/>
              <w:jc w:val="center"/>
            </w:pPr>
            <w:r w:rsidRPr="00D060ED">
              <w:t>0</w:t>
            </w:r>
          </w:p>
        </w:tc>
        <w:tc>
          <w:tcPr>
            <w:tcW w:w="3071" w:type="dxa"/>
          </w:tcPr>
          <w:p w:rsidR="005416BF" w:rsidRPr="00D060ED" w:rsidRDefault="008F2D8B" w:rsidP="00D060ED">
            <w:pPr>
              <w:spacing w:after="0" w:line="240" w:lineRule="auto"/>
              <w:jc w:val="center"/>
            </w:pPr>
            <w:r w:rsidRPr="00D060ED">
              <w:t>0</w:t>
            </w:r>
          </w:p>
        </w:tc>
        <w:tc>
          <w:tcPr>
            <w:tcW w:w="3071" w:type="dxa"/>
          </w:tcPr>
          <w:p w:rsidR="005416BF" w:rsidRPr="00D060ED" w:rsidRDefault="008F2D8B" w:rsidP="00D060ED">
            <w:pPr>
              <w:spacing w:after="0" w:line="240" w:lineRule="auto"/>
              <w:jc w:val="center"/>
            </w:pPr>
            <w:r w:rsidRPr="00D060ED">
              <w:t>0</w:t>
            </w:r>
          </w:p>
        </w:tc>
      </w:tr>
      <w:tr w:rsidR="005416BF" w:rsidRPr="00D060ED" w:rsidTr="00D060ED">
        <w:tc>
          <w:tcPr>
            <w:tcW w:w="3070" w:type="dxa"/>
          </w:tcPr>
          <w:p w:rsidR="005416BF" w:rsidRPr="00D060ED" w:rsidRDefault="008F2D8B" w:rsidP="00D060ED">
            <w:pPr>
              <w:spacing w:after="0" w:line="240" w:lineRule="auto"/>
              <w:jc w:val="center"/>
            </w:pPr>
            <w:r w:rsidRPr="00D060ED">
              <w:t>2</w:t>
            </w:r>
          </w:p>
        </w:tc>
        <w:tc>
          <w:tcPr>
            <w:tcW w:w="3071" w:type="dxa"/>
          </w:tcPr>
          <w:p w:rsidR="005416BF" w:rsidRPr="00D060ED" w:rsidRDefault="008F2D8B" w:rsidP="00D060ED">
            <w:pPr>
              <w:spacing w:after="0" w:line="240" w:lineRule="auto"/>
              <w:jc w:val="center"/>
            </w:pPr>
            <w:r w:rsidRPr="00D060ED">
              <w:t>0,002</w:t>
            </w:r>
          </w:p>
        </w:tc>
        <w:tc>
          <w:tcPr>
            <w:tcW w:w="3071" w:type="dxa"/>
          </w:tcPr>
          <w:p w:rsidR="005416BF" w:rsidRPr="00D060ED" w:rsidRDefault="008F2D8B" w:rsidP="00D060ED">
            <w:pPr>
              <w:spacing w:after="0" w:line="240" w:lineRule="auto"/>
              <w:jc w:val="center"/>
            </w:pPr>
            <w:r w:rsidRPr="00D060ED">
              <w:t>0</w:t>
            </w:r>
          </w:p>
        </w:tc>
      </w:tr>
      <w:tr w:rsidR="005416BF" w:rsidRPr="00D060ED" w:rsidTr="00D060ED">
        <w:tc>
          <w:tcPr>
            <w:tcW w:w="3070" w:type="dxa"/>
          </w:tcPr>
          <w:p w:rsidR="005416BF" w:rsidRPr="00D060ED" w:rsidRDefault="008F2D8B" w:rsidP="00D060ED">
            <w:pPr>
              <w:spacing w:after="0" w:line="240" w:lineRule="auto"/>
              <w:jc w:val="center"/>
            </w:pPr>
            <w:r w:rsidRPr="00D060ED">
              <w:t>4</w:t>
            </w:r>
          </w:p>
        </w:tc>
        <w:tc>
          <w:tcPr>
            <w:tcW w:w="3071" w:type="dxa"/>
          </w:tcPr>
          <w:p w:rsidR="005416BF" w:rsidRPr="00D060ED" w:rsidRDefault="008F2D8B" w:rsidP="00D060ED">
            <w:pPr>
              <w:spacing w:after="0" w:line="240" w:lineRule="auto"/>
              <w:jc w:val="center"/>
            </w:pPr>
            <w:r w:rsidRPr="00D060ED">
              <w:t>0,017</w:t>
            </w:r>
          </w:p>
        </w:tc>
        <w:tc>
          <w:tcPr>
            <w:tcW w:w="3071" w:type="dxa"/>
          </w:tcPr>
          <w:p w:rsidR="005416BF" w:rsidRPr="00D060ED" w:rsidRDefault="008F2D8B" w:rsidP="00D060ED">
            <w:pPr>
              <w:spacing w:after="0" w:line="240" w:lineRule="auto"/>
              <w:jc w:val="center"/>
            </w:pPr>
            <w:r w:rsidRPr="00D060ED">
              <w:t>0</w:t>
            </w:r>
          </w:p>
        </w:tc>
      </w:tr>
      <w:tr w:rsidR="005416BF" w:rsidRPr="00D060ED" w:rsidTr="00D060ED">
        <w:tc>
          <w:tcPr>
            <w:tcW w:w="3070" w:type="dxa"/>
          </w:tcPr>
          <w:p w:rsidR="005416BF" w:rsidRPr="00D060ED" w:rsidRDefault="008F2D8B" w:rsidP="00D060ED">
            <w:pPr>
              <w:spacing w:after="0" w:line="240" w:lineRule="auto"/>
              <w:jc w:val="center"/>
            </w:pPr>
            <w:r w:rsidRPr="00D060ED">
              <w:t>6</w:t>
            </w:r>
          </w:p>
        </w:tc>
        <w:tc>
          <w:tcPr>
            <w:tcW w:w="3071" w:type="dxa"/>
          </w:tcPr>
          <w:p w:rsidR="005416BF" w:rsidRPr="00D060ED" w:rsidRDefault="008F2D8B" w:rsidP="00D060ED">
            <w:pPr>
              <w:spacing w:after="0" w:line="240" w:lineRule="auto"/>
              <w:jc w:val="center"/>
            </w:pPr>
            <w:r w:rsidRPr="00D060ED">
              <w:t>0,323</w:t>
            </w:r>
          </w:p>
        </w:tc>
        <w:tc>
          <w:tcPr>
            <w:tcW w:w="3071" w:type="dxa"/>
          </w:tcPr>
          <w:p w:rsidR="005416BF" w:rsidRPr="00D060ED" w:rsidRDefault="008F2D8B" w:rsidP="00D060ED">
            <w:pPr>
              <w:spacing w:after="0" w:line="240" w:lineRule="auto"/>
              <w:jc w:val="center"/>
            </w:pPr>
            <w:r w:rsidRPr="00D060ED">
              <w:t>0,004</w:t>
            </w:r>
          </w:p>
        </w:tc>
      </w:tr>
      <w:tr w:rsidR="005416BF" w:rsidRPr="00D060ED" w:rsidTr="00D060ED">
        <w:tc>
          <w:tcPr>
            <w:tcW w:w="3070" w:type="dxa"/>
          </w:tcPr>
          <w:p w:rsidR="005416BF" w:rsidRPr="00D060ED" w:rsidRDefault="008F2D8B" w:rsidP="00D060ED">
            <w:pPr>
              <w:spacing w:after="0" w:line="240" w:lineRule="auto"/>
              <w:jc w:val="center"/>
            </w:pPr>
            <w:r w:rsidRPr="00D060ED">
              <w:t>8</w:t>
            </w:r>
          </w:p>
        </w:tc>
        <w:tc>
          <w:tcPr>
            <w:tcW w:w="3071" w:type="dxa"/>
          </w:tcPr>
          <w:p w:rsidR="005416BF" w:rsidRPr="00D060ED" w:rsidRDefault="008F2D8B" w:rsidP="00D060ED">
            <w:pPr>
              <w:spacing w:after="0" w:line="240" w:lineRule="auto"/>
              <w:jc w:val="center"/>
            </w:pPr>
            <w:r w:rsidRPr="00D060ED">
              <w:t>0,730</w:t>
            </w:r>
          </w:p>
        </w:tc>
        <w:tc>
          <w:tcPr>
            <w:tcW w:w="3071" w:type="dxa"/>
          </w:tcPr>
          <w:p w:rsidR="005416BF" w:rsidRPr="00D060ED" w:rsidRDefault="008F2D8B" w:rsidP="00D060ED">
            <w:pPr>
              <w:spacing w:after="0" w:line="240" w:lineRule="auto"/>
              <w:jc w:val="center"/>
            </w:pPr>
            <w:r w:rsidRPr="00D060ED">
              <w:t>0,153</w:t>
            </w:r>
          </w:p>
        </w:tc>
      </w:tr>
      <w:tr w:rsidR="005416BF" w:rsidRPr="00D060ED" w:rsidTr="00D060ED">
        <w:tc>
          <w:tcPr>
            <w:tcW w:w="3070" w:type="dxa"/>
          </w:tcPr>
          <w:p w:rsidR="005416BF" w:rsidRPr="00D060ED" w:rsidRDefault="008F2D8B" w:rsidP="00D060ED">
            <w:pPr>
              <w:spacing w:after="0" w:line="240" w:lineRule="auto"/>
              <w:jc w:val="center"/>
            </w:pPr>
            <w:r w:rsidRPr="00D060ED">
              <w:t>10</w:t>
            </w:r>
          </w:p>
        </w:tc>
        <w:tc>
          <w:tcPr>
            <w:tcW w:w="3071" w:type="dxa"/>
          </w:tcPr>
          <w:p w:rsidR="005416BF" w:rsidRPr="00D060ED" w:rsidRDefault="008F2D8B" w:rsidP="00D060ED">
            <w:pPr>
              <w:spacing w:after="0" w:line="240" w:lineRule="auto"/>
              <w:jc w:val="center"/>
            </w:pPr>
            <w:r w:rsidRPr="00D060ED">
              <w:t>1,754</w:t>
            </w:r>
          </w:p>
        </w:tc>
        <w:tc>
          <w:tcPr>
            <w:tcW w:w="3071" w:type="dxa"/>
          </w:tcPr>
          <w:p w:rsidR="005416BF" w:rsidRPr="00D060ED" w:rsidRDefault="008F2D8B" w:rsidP="00D060ED">
            <w:pPr>
              <w:spacing w:after="0" w:line="240" w:lineRule="auto"/>
              <w:jc w:val="center"/>
            </w:pPr>
            <w:r w:rsidRPr="00D060ED">
              <w:t>0,950</w:t>
            </w:r>
          </w:p>
        </w:tc>
      </w:tr>
    </w:tbl>
    <w:p w:rsidR="005416BF" w:rsidRDefault="005416BF"/>
    <w:p w:rsidR="00ED603C" w:rsidRDefault="00ED603C"/>
    <w:p w:rsidR="00ED603C" w:rsidRDefault="00ED603C"/>
    <w:p w:rsidR="00ED603C" w:rsidRDefault="00ED603C"/>
    <w:p w:rsidR="008F2D8B" w:rsidRDefault="00424490">
      <w:r>
        <w:rPr>
          <w:noProof/>
          <w:lang w:eastAsia="pl-PL"/>
        </w:rPr>
        <w:drawing>
          <wp:inline distT="0" distB="0" distL="0" distR="0">
            <wp:extent cx="6445885" cy="4172585"/>
            <wp:effectExtent l="0" t="0" r="0" b="0"/>
            <wp:docPr id="1" name="Obiek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D603C" w:rsidRDefault="00ED603C"/>
    <w:p w:rsidR="00ED603C" w:rsidRDefault="00ED603C"/>
    <w:p w:rsidR="00ED603C" w:rsidRDefault="00ED603C"/>
    <w:p w:rsidR="00ED603C" w:rsidRPr="00ED603C" w:rsidRDefault="00ED603C">
      <w:pPr>
        <w:rPr>
          <w:b/>
        </w:rPr>
      </w:pPr>
    </w:p>
    <w:p w:rsidR="008F2D8B" w:rsidRPr="00ED603C" w:rsidRDefault="008F2D8B" w:rsidP="00ED603C">
      <w:pPr>
        <w:numPr>
          <w:ilvl w:val="0"/>
          <w:numId w:val="3"/>
        </w:numPr>
        <w:rPr>
          <w:b/>
        </w:rPr>
      </w:pPr>
      <w:r w:rsidRPr="00ED603C">
        <w:rPr>
          <w:b/>
        </w:rPr>
        <w:t>Oznaczenie biomasy w hodowli bakterii</w:t>
      </w:r>
    </w:p>
    <w:p w:rsidR="008F2D8B" w:rsidRDefault="008F2D8B">
      <w:r>
        <w:lastRenderedPageBreak/>
        <w:t>X=(a-b)/40</w:t>
      </w:r>
    </w:p>
    <w:p w:rsidR="008F2D8B" w:rsidRDefault="008F2D8B" w:rsidP="008F2D8B">
      <w:pPr>
        <w:pStyle w:val="ListParagraph"/>
        <w:numPr>
          <w:ilvl w:val="0"/>
          <w:numId w:val="1"/>
        </w:numPr>
      </w:pPr>
      <w:r>
        <w:t>Masa naczynka z zawiesiną (mg)</w:t>
      </w:r>
    </w:p>
    <w:p w:rsidR="008F2D8B" w:rsidRDefault="008F2D8B" w:rsidP="008F2D8B">
      <w:pPr>
        <w:pStyle w:val="ListParagraph"/>
        <w:numPr>
          <w:ilvl w:val="0"/>
          <w:numId w:val="1"/>
        </w:numPr>
      </w:pPr>
      <w:r>
        <w:t>Masa pustego naczynka (mg)</w:t>
      </w:r>
    </w:p>
    <w:p w:rsidR="008F2D8B" w:rsidRDefault="008F2D8B" w:rsidP="008F2D8B">
      <w:pPr>
        <w:pStyle w:val="ListParagraph"/>
      </w:pPr>
    </w:p>
    <w:p w:rsidR="008F2D8B" w:rsidRDefault="008F2D8B" w:rsidP="008F2D8B">
      <w:pPr>
        <w:pStyle w:val="ListParagraph"/>
      </w:pPr>
    </w:p>
    <w:tbl>
      <w:tblPr>
        <w:tblW w:w="445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62"/>
        <w:gridCol w:w="1472"/>
        <w:gridCol w:w="1220"/>
      </w:tblGrid>
      <w:tr w:rsidR="00605A45" w:rsidRPr="00D060ED" w:rsidTr="00D060ED">
        <w:trPr>
          <w:trHeight w:val="288"/>
        </w:trPr>
        <w:tc>
          <w:tcPr>
            <w:tcW w:w="1762" w:type="dxa"/>
            <w:tcBorders>
              <w:top w:val="single" w:sz="4" w:space="0" w:color="auto"/>
            </w:tcBorders>
          </w:tcPr>
          <w:p w:rsidR="00605A45" w:rsidRPr="00D060ED" w:rsidRDefault="00605A45" w:rsidP="00D060ED">
            <w:pPr>
              <w:pStyle w:val="ListParagraph"/>
              <w:spacing w:after="0" w:line="240" w:lineRule="auto"/>
              <w:ind w:left="0"/>
              <w:jc w:val="center"/>
            </w:pPr>
            <w:r w:rsidRPr="00D060ED">
              <w:t>Czas trwania hodowli (h)</w:t>
            </w:r>
          </w:p>
        </w:tc>
        <w:tc>
          <w:tcPr>
            <w:tcW w:w="1472" w:type="dxa"/>
            <w:tcBorders>
              <w:top w:val="single" w:sz="4" w:space="0" w:color="auto"/>
              <w:left w:val="single" w:sz="4" w:space="0" w:color="auto"/>
            </w:tcBorders>
          </w:tcPr>
          <w:p w:rsidR="00605A45" w:rsidRPr="00D060ED" w:rsidRDefault="00605A45" w:rsidP="00D060ED">
            <w:pPr>
              <w:pStyle w:val="ListParagraph"/>
              <w:spacing w:after="0" w:line="240" w:lineRule="auto"/>
              <w:ind w:left="0"/>
              <w:jc w:val="center"/>
            </w:pPr>
            <w:r w:rsidRPr="00D060ED">
              <w:t>Biomasa (mg) Pseudomonas aeruginosa</w:t>
            </w:r>
          </w:p>
        </w:tc>
        <w:tc>
          <w:tcPr>
            <w:tcW w:w="1220" w:type="dxa"/>
            <w:tcBorders>
              <w:top w:val="single" w:sz="4" w:space="0" w:color="auto"/>
              <w:left w:val="single" w:sz="4" w:space="0" w:color="auto"/>
            </w:tcBorders>
          </w:tcPr>
          <w:p w:rsidR="00605A45" w:rsidRPr="00D060ED" w:rsidRDefault="00605A45" w:rsidP="00D060ED">
            <w:pPr>
              <w:pStyle w:val="ListParagraph"/>
              <w:spacing w:after="0" w:line="240" w:lineRule="auto"/>
              <w:ind w:left="0"/>
              <w:jc w:val="center"/>
            </w:pPr>
            <w:r w:rsidRPr="00D060ED">
              <w:t xml:space="preserve">Biomasa (mg) </w:t>
            </w:r>
            <w:r w:rsidRPr="00D060ED">
              <w:br/>
            </w:r>
            <w:r w:rsidRPr="00D060ED">
              <w:rPr>
                <w:i/>
              </w:rPr>
              <w:t>Escherichia coli</w:t>
            </w:r>
          </w:p>
        </w:tc>
      </w:tr>
      <w:tr w:rsidR="00605A45" w:rsidRPr="00D060ED" w:rsidTr="00D060ED">
        <w:tc>
          <w:tcPr>
            <w:tcW w:w="1762" w:type="dxa"/>
          </w:tcPr>
          <w:p w:rsidR="00605A45" w:rsidRPr="00D060ED" w:rsidRDefault="00605A45" w:rsidP="00D060ED">
            <w:pPr>
              <w:pStyle w:val="ListParagraph"/>
              <w:spacing w:after="0" w:line="240" w:lineRule="auto"/>
              <w:ind w:left="0"/>
              <w:jc w:val="center"/>
            </w:pPr>
            <w:r w:rsidRPr="00D060ED">
              <w:t>2</w:t>
            </w:r>
          </w:p>
        </w:tc>
        <w:tc>
          <w:tcPr>
            <w:tcW w:w="1472" w:type="dxa"/>
            <w:tcBorders>
              <w:left w:val="single" w:sz="4" w:space="0" w:color="auto"/>
            </w:tcBorders>
          </w:tcPr>
          <w:p w:rsidR="00605A45" w:rsidRPr="00B97BF9" w:rsidRDefault="00605A45" w:rsidP="00D060ED">
            <w:pPr>
              <w:spacing w:after="0" w:line="240" w:lineRule="auto"/>
            </w:pPr>
            <w:r w:rsidRPr="00B97BF9">
              <w:t>-</w:t>
            </w:r>
          </w:p>
        </w:tc>
        <w:tc>
          <w:tcPr>
            <w:tcW w:w="1220" w:type="dxa"/>
            <w:tcBorders>
              <w:left w:val="single" w:sz="4" w:space="0" w:color="auto"/>
            </w:tcBorders>
          </w:tcPr>
          <w:p w:rsidR="00605A45" w:rsidRPr="00B97BF9" w:rsidRDefault="00605A45" w:rsidP="00D060ED">
            <w:pPr>
              <w:spacing w:after="0" w:line="240" w:lineRule="auto"/>
            </w:pPr>
            <w:r w:rsidRPr="00B97BF9">
              <w:t>-</w:t>
            </w:r>
          </w:p>
        </w:tc>
      </w:tr>
      <w:tr w:rsidR="00605A45" w:rsidRPr="00D060ED" w:rsidTr="00D060ED">
        <w:tc>
          <w:tcPr>
            <w:tcW w:w="1762" w:type="dxa"/>
          </w:tcPr>
          <w:p w:rsidR="00605A45" w:rsidRPr="00D060ED" w:rsidRDefault="00605A45" w:rsidP="00D060ED">
            <w:pPr>
              <w:pStyle w:val="ListParagraph"/>
              <w:spacing w:after="0" w:line="240" w:lineRule="auto"/>
              <w:ind w:left="0"/>
              <w:jc w:val="center"/>
            </w:pPr>
            <w:r w:rsidRPr="00D060ED">
              <w:t>4</w:t>
            </w:r>
          </w:p>
        </w:tc>
        <w:tc>
          <w:tcPr>
            <w:tcW w:w="1472" w:type="dxa"/>
            <w:tcBorders>
              <w:left w:val="single" w:sz="4" w:space="0" w:color="auto"/>
            </w:tcBorders>
          </w:tcPr>
          <w:p w:rsidR="00605A45" w:rsidRPr="00B97BF9" w:rsidRDefault="00605A45" w:rsidP="00D060ED">
            <w:pPr>
              <w:spacing w:after="0" w:line="240" w:lineRule="auto"/>
            </w:pPr>
            <w:r w:rsidRPr="00B97BF9">
              <w:t>0</w:t>
            </w:r>
          </w:p>
        </w:tc>
        <w:tc>
          <w:tcPr>
            <w:tcW w:w="1220" w:type="dxa"/>
            <w:tcBorders>
              <w:left w:val="single" w:sz="4" w:space="0" w:color="auto"/>
            </w:tcBorders>
          </w:tcPr>
          <w:p w:rsidR="00605A45" w:rsidRPr="00B97BF9" w:rsidRDefault="00605A45" w:rsidP="00D060ED">
            <w:pPr>
              <w:spacing w:after="0" w:line="240" w:lineRule="auto"/>
            </w:pPr>
            <w:r w:rsidRPr="00B97BF9">
              <w:t>-</w:t>
            </w:r>
          </w:p>
        </w:tc>
      </w:tr>
      <w:tr w:rsidR="00605A45" w:rsidRPr="00D060ED" w:rsidTr="00D060ED">
        <w:tc>
          <w:tcPr>
            <w:tcW w:w="1762" w:type="dxa"/>
          </w:tcPr>
          <w:p w:rsidR="00605A45" w:rsidRPr="00D060ED" w:rsidRDefault="00605A45" w:rsidP="00D060ED">
            <w:pPr>
              <w:pStyle w:val="ListParagraph"/>
              <w:spacing w:after="0" w:line="240" w:lineRule="auto"/>
              <w:ind w:left="0"/>
              <w:jc w:val="center"/>
            </w:pPr>
            <w:r w:rsidRPr="00D060ED">
              <w:t>6</w:t>
            </w:r>
          </w:p>
        </w:tc>
        <w:tc>
          <w:tcPr>
            <w:tcW w:w="1472" w:type="dxa"/>
            <w:tcBorders>
              <w:left w:val="single" w:sz="4" w:space="0" w:color="auto"/>
            </w:tcBorders>
          </w:tcPr>
          <w:p w:rsidR="00605A45" w:rsidRPr="00B97BF9" w:rsidRDefault="00605A45" w:rsidP="00D060ED">
            <w:pPr>
              <w:spacing w:after="0" w:line="240" w:lineRule="auto"/>
            </w:pPr>
            <w:r w:rsidRPr="00B97BF9">
              <w:t>0,005</w:t>
            </w:r>
          </w:p>
        </w:tc>
        <w:tc>
          <w:tcPr>
            <w:tcW w:w="1220" w:type="dxa"/>
            <w:tcBorders>
              <w:left w:val="single" w:sz="4" w:space="0" w:color="auto"/>
            </w:tcBorders>
          </w:tcPr>
          <w:p w:rsidR="00605A45" w:rsidRPr="00B97BF9" w:rsidRDefault="00605A45" w:rsidP="00D060ED">
            <w:pPr>
              <w:spacing w:after="0" w:line="240" w:lineRule="auto"/>
            </w:pPr>
            <w:r w:rsidRPr="00B97BF9">
              <w:t>-</w:t>
            </w:r>
          </w:p>
        </w:tc>
      </w:tr>
      <w:tr w:rsidR="00605A45" w:rsidRPr="00D060ED" w:rsidTr="00D060ED">
        <w:tc>
          <w:tcPr>
            <w:tcW w:w="1762" w:type="dxa"/>
          </w:tcPr>
          <w:p w:rsidR="00605A45" w:rsidRPr="00D060ED" w:rsidRDefault="00605A45" w:rsidP="00D060ED">
            <w:pPr>
              <w:pStyle w:val="ListParagraph"/>
              <w:spacing w:after="0" w:line="240" w:lineRule="auto"/>
              <w:ind w:left="0"/>
              <w:jc w:val="center"/>
            </w:pPr>
            <w:r w:rsidRPr="00D060ED">
              <w:t>8</w:t>
            </w:r>
          </w:p>
        </w:tc>
        <w:tc>
          <w:tcPr>
            <w:tcW w:w="1472" w:type="dxa"/>
            <w:tcBorders>
              <w:left w:val="single" w:sz="4" w:space="0" w:color="auto"/>
            </w:tcBorders>
          </w:tcPr>
          <w:p w:rsidR="00605A45" w:rsidRPr="00B97BF9" w:rsidRDefault="00605A45" w:rsidP="00D060ED">
            <w:pPr>
              <w:spacing w:after="0" w:line="240" w:lineRule="auto"/>
            </w:pPr>
            <w:r w:rsidRPr="00B97BF9">
              <w:t>0,011</w:t>
            </w:r>
          </w:p>
        </w:tc>
        <w:tc>
          <w:tcPr>
            <w:tcW w:w="1220" w:type="dxa"/>
            <w:tcBorders>
              <w:left w:val="single" w:sz="4" w:space="0" w:color="auto"/>
            </w:tcBorders>
          </w:tcPr>
          <w:p w:rsidR="00605A45" w:rsidRPr="00B97BF9" w:rsidRDefault="00605A45" w:rsidP="00D060ED">
            <w:pPr>
              <w:spacing w:after="0" w:line="240" w:lineRule="auto"/>
            </w:pPr>
            <w:r w:rsidRPr="00B97BF9">
              <w:t>0,006</w:t>
            </w:r>
          </w:p>
        </w:tc>
      </w:tr>
      <w:tr w:rsidR="00605A45" w:rsidRPr="00D060ED" w:rsidTr="00D060ED">
        <w:tc>
          <w:tcPr>
            <w:tcW w:w="1762" w:type="dxa"/>
          </w:tcPr>
          <w:p w:rsidR="00605A45" w:rsidRPr="00D060ED" w:rsidRDefault="00605A45" w:rsidP="00D060ED">
            <w:pPr>
              <w:pStyle w:val="ListParagraph"/>
              <w:spacing w:after="0" w:line="240" w:lineRule="auto"/>
              <w:ind w:left="0"/>
              <w:jc w:val="center"/>
            </w:pPr>
            <w:r w:rsidRPr="00D060ED">
              <w:t>10</w:t>
            </w:r>
          </w:p>
        </w:tc>
        <w:tc>
          <w:tcPr>
            <w:tcW w:w="1472" w:type="dxa"/>
            <w:tcBorders>
              <w:left w:val="single" w:sz="4" w:space="0" w:color="auto"/>
            </w:tcBorders>
          </w:tcPr>
          <w:p w:rsidR="00605A45" w:rsidRPr="00B97BF9" w:rsidRDefault="00605A45" w:rsidP="00D060ED">
            <w:pPr>
              <w:spacing w:after="0" w:line="240" w:lineRule="auto"/>
            </w:pPr>
            <w:r w:rsidRPr="00B97BF9">
              <w:t>0,010</w:t>
            </w:r>
          </w:p>
        </w:tc>
        <w:tc>
          <w:tcPr>
            <w:tcW w:w="1220" w:type="dxa"/>
            <w:tcBorders>
              <w:left w:val="single" w:sz="4" w:space="0" w:color="auto"/>
            </w:tcBorders>
          </w:tcPr>
          <w:p w:rsidR="00605A45" w:rsidRPr="00B97BF9" w:rsidRDefault="00605A45" w:rsidP="00D060ED">
            <w:pPr>
              <w:spacing w:after="0" w:line="240" w:lineRule="auto"/>
            </w:pPr>
            <w:r w:rsidRPr="00B97BF9">
              <w:t>0,010</w:t>
            </w:r>
          </w:p>
        </w:tc>
      </w:tr>
      <w:tr w:rsidR="00605A45" w:rsidRPr="00D060ED" w:rsidTr="00D060ED">
        <w:tc>
          <w:tcPr>
            <w:tcW w:w="1762" w:type="dxa"/>
          </w:tcPr>
          <w:p w:rsidR="00605A45" w:rsidRPr="00D060ED" w:rsidRDefault="00605A45" w:rsidP="00D060ED">
            <w:pPr>
              <w:pStyle w:val="ListParagraph"/>
              <w:spacing w:after="0" w:line="240" w:lineRule="auto"/>
              <w:ind w:left="0"/>
              <w:jc w:val="center"/>
            </w:pPr>
            <w:r w:rsidRPr="00D060ED">
              <w:t>24</w:t>
            </w:r>
          </w:p>
        </w:tc>
        <w:tc>
          <w:tcPr>
            <w:tcW w:w="1472" w:type="dxa"/>
            <w:tcBorders>
              <w:left w:val="single" w:sz="4" w:space="0" w:color="auto"/>
            </w:tcBorders>
          </w:tcPr>
          <w:p w:rsidR="00605A45" w:rsidRPr="00B97BF9" w:rsidRDefault="00605A45" w:rsidP="00D060ED">
            <w:pPr>
              <w:spacing w:after="0" w:line="240" w:lineRule="auto"/>
            </w:pPr>
            <w:r w:rsidRPr="00B97BF9">
              <w:t>0,35</w:t>
            </w:r>
          </w:p>
        </w:tc>
        <w:tc>
          <w:tcPr>
            <w:tcW w:w="1220" w:type="dxa"/>
            <w:tcBorders>
              <w:left w:val="single" w:sz="4" w:space="0" w:color="auto"/>
            </w:tcBorders>
          </w:tcPr>
          <w:p w:rsidR="00605A45" w:rsidRPr="00B97BF9" w:rsidRDefault="00605A45" w:rsidP="00D060ED">
            <w:pPr>
              <w:spacing w:after="0" w:line="240" w:lineRule="auto"/>
            </w:pPr>
            <w:r w:rsidRPr="00B97BF9">
              <w:t>0,04</w:t>
            </w:r>
          </w:p>
        </w:tc>
      </w:tr>
      <w:tr w:rsidR="00605A45" w:rsidRPr="00D060ED" w:rsidTr="00D060ED">
        <w:tc>
          <w:tcPr>
            <w:tcW w:w="1762" w:type="dxa"/>
          </w:tcPr>
          <w:p w:rsidR="00605A45" w:rsidRPr="00D060ED" w:rsidRDefault="00605A45" w:rsidP="00D060ED">
            <w:pPr>
              <w:pStyle w:val="ListParagraph"/>
              <w:spacing w:after="0" w:line="240" w:lineRule="auto"/>
              <w:ind w:left="0"/>
              <w:jc w:val="center"/>
            </w:pPr>
            <w:r w:rsidRPr="00D060ED">
              <w:t>48</w:t>
            </w:r>
          </w:p>
        </w:tc>
        <w:tc>
          <w:tcPr>
            <w:tcW w:w="1472" w:type="dxa"/>
            <w:tcBorders>
              <w:left w:val="single" w:sz="4" w:space="0" w:color="auto"/>
            </w:tcBorders>
          </w:tcPr>
          <w:p w:rsidR="00605A45" w:rsidRPr="00B97BF9" w:rsidRDefault="00605A45" w:rsidP="00D060ED">
            <w:pPr>
              <w:spacing w:after="0" w:line="240" w:lineRule="auto"/>
            </w:pPr>
            <w:r w:rsidRPr="00B97BF9">
              <w:t>0,029</w:t>
            </w:r>
          </w:p>
        </w:tc>
        <w:tc>
          <w:tcPr>
            <w:tcW w:w="1220" w:type="dxa"/>
            <w:tcBorders>
              <w:left w:val="single" w:sz="4" w:space="0" w:color="auto"/>
            </w:tcBorders>
          </w:tcPr>
          <w:p w:rsidR="00605A45" w:rsidRPr="00B97BF9" w:rsidRDefault="00605A45" w:rsidP="00D060ED">
            <w:pPr>
              <w:spacing w:after="0" w:line="240" w:lineRule="auto"/>
            </w:pPr>
            <w:r w:rsidRPr="00B97BF9">
              <w:t>0,63</w:t>
            </w:r>
          </w:p>
        </w:tc>
      </w:tr>
    </w:tbl>
    <w:p w:rsidR="008F2D8B" w:rsidRDefault="008F2D8B" w:rsidP="008F2D8B">
      <w:pPr>
        <w:pStyle w:val="ListParagraph"/>
      </w:pPr>
    </w:p>
    <w:p w:rsidR="00160870" w:rsidRDefault="00160870" w:rsidP="008F2D8B">
      <w:pPr>
        <w:pStyle w:val="ListParagraph"/>
      </w:pPr>
    </w:p>
    <w:p w:rsidR="00160870" w:rsidRDefault="00424490" w:rsidP="008F2D8B">
      <w:pPr>
        <w:pStyle w:val="ListParagraph"/>
      </w:pPr>
      <w:r>
        <w:rPr>
          <w:noProof/>
          <w:lang w:eastAsia="pl-PL"/>
        </w:rPr>
        <w:drawing>
          <wp:inline distT="0" distB="0" distL="0" distR="0">
            <wp:extent cx="5525135" cy="3728720"/>
            <wp:effectExtent l="0" t="0" r="0" b="0"/>
            <wp:docPr id="2" name="Wykres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60870" w:rsidRPr="00ED603C" w:rsidRDefault="00160870" w:rsidP="00ED603C">
      <w:pPr>
        <w:numPr>
          <w:ilvl w:val="0"/>
          <w:numId w:val="3"/>
        </w:numPr>
        <w:spacing w:after="0" w:line="240" w:lineRule="auto"/>
        <w:rPr>
          <w:b/>
        </w:rPr>
      </w:pPr>
      <w:r w:rsidRPr="00ED603C">
        <w:rPr>
          <w:b/>
        </w:rPr>
        <w:t>Specyficzna szybkość wzrostu- µ:</w:t>
      </w:r>
    </w:p>
    <w:p w:rsidR="00160870" w:rsidRDefault="00160870" w:rsidP="00160870">
      <w:pPr>
        <w:ind w:left="360"/>
      </w:pPr>
    </w:p>
    <w:p w:rsidR="00160870" w:rsidRDefault="00160870" w:rsidP="00160870">
      <w:pPr>
        <w:ind w:left="708"/>
      </w:pPr>
      <w:r>
        <w:t>- Obliczyć µ hodowli, biorąc pod uwagę ilości biomasy bakteryjnej X:</w:t>
      </w:r>
    </w:p>
    <w:p w:rsidR="00160870" w:rsidRDefault="00160870" w:rsidP="00160870">
      <w:pPr>
        <w:ind w:left="708"/>
        <w:rPr>
          <w:lang w:val="es-ES"/>
        </w:rPr>
      </w:pPr>
      <w:r w:rsidRPr="00D34150">
        <w:rPr>
          <w:lang w:val="es-ES"/>
        </w:rPr>
        <w:t xml:space="preserve">µ = 2,3 </w:t>
      </w:r>
      <w:r w:rsidRPr="00D34150">
        <w:rPr>
          <w:sz w:val="18"/>
          <w:szCs w:val="18"/>
          <w:vertAlign w:val="superscript"/>
          <w:lang w:val="es-ES"/>
        </w:rPr>
        <w:t xml:space="preserve">x </w:t>
      </w:r>
      <w:r w:rsidRPr="00D34150">
        <w:rPr>
          <w:sz w:val="18"/>
          <w:szCs w:val="18"/>
          <w:lang w:val="es-ES"/>
        </w:rPr>
        <w:t xml:space="preserve"> </w:t>
      </w:r>
      <w:r w:rsidRPr="00D34150">
        <w:rPr>
          <w:lang w:val="es-ES"/>
        </w:rPr>
        <w:t>(logX</w:t>
      </w:r>
      <w:r>
        <w:rPr>
          <w:vertAlign w:val="subscript"/>
          <w:lang w:val="es-ES"/>
        </w:rPr>
        <w:t>n</w:t>
      </w:r>
      <w:r w:rsidRPr="00D34150">
        <w:rPr>
          <w:lang w:val="es-ES"/>
        </w:rPr>
        <w:t>– logX</w:t>
      </w:r>
      <w:r w:rsidRPr="00D34150">
        <w:rPr>
          <w:vertAlign w:val="subscript"/>
          <w:lang w:val="es-ES"/>
        </w:rPr>
        <w:t>0</w:t>
      </w:r>
      <w:r w:rsidRPr="00D34150">
        <w:rPr>
          <w:lang w:val="es-ES"/>
        </w:rPr>
        <w:t xml:space="preserve">) / </w:t>
      </w:r>
      <w:r>
        <w:t>Δ</w:t>
      </w:r>
      <w:r w:rsidRPr="00D34150">
        <w:rPr>
          <w:lang w:val="es-ES"/>
        </w:rPr>
        <w:t>t</w:t>
      </w:r>
    </w:p>
    <w:p w:rsidR="00160870" w:rsidRDefault="00160870" w:rsidP="00160870">
      <w:pPr>
        <w:ind w:left="1680" w:hanging="240"/>
      </w:pPr>
      <w:r w:rsidRPr="00D34150">
        <w:t>µ- specyficzna szybkość wzrostu czyli ilość masy bakterii wytworzona w ciągu 1h</w:t>
      </w:r>
    </w:p>
    <w:p w:rsidR="00160870" w:rsidRDefault="00160870" w:rsidP="00160870">
      <w:pPr>
        <w:ind w:left="708" w:firstLine="708"/>
      </w:pPr>
      <w:r w:rsidRPr="00D34150">
        <w:lastRenderedPageBreak/>
        <w:t>X</w:t>
      </w:r>
      <w:r w:rsidRPr="00D34150">
        <w:rPr>
          <w:vertAlign w:val="subscript"/>
        </w:rPr>
        <w:t>n</w:t>
      </w:r>
      <w:r w:rsidRPr="00D34150">
        <w:t xml:space="preserve">– masa komórek bakteryjnych w mg/ml hodowli </w:t>
      </w:r>
      <w:r>
        <w:t>po czasie t</w:t>
      </w:r>
      <w:r>
        <w:rPr>
          <w:vertAlign w:val="subscript"/>
        </w:rPr>
        <w:t>n</w:t>
      </w:r>
    </w:p>
    <w:p w:rsidR="00160870" w:rsidRDefault="00160870" w:rsidP="00160870">
      <w:pPr>
        <w:ind w:left="708" w:firstLine="708"/>
        <w:rPr>
          <w:vertAlign w:val="subscript"/>
        </w:rPr>
      </w:pPr>
      <w:r w:rsidRPr="00D34150">
        <w:t>X</w:t>
      </w:r>
      <w:r w:rsidRPr="00D34150">
        <w:rPr>
          <w:vertAlign w:val="subscript"/>
        </w:rPr>
        <w:t>0</w:t>
      </w:r>
      <w:r w:rsidRPr="00D34150">
        <w:t xml:space="preserve">– masa komórek bakteryjnych w mg/ml hodowli </w:t>
      </w:r>
      <w:r>
        <w:t>po czasie t</w:t>
      </w:r>
      <w:r>
        <w:rPr>
          <w:vertAlign w:val="subscript"/>
        </w:rPr>
        <w:t>0</w:t>
      </w:r>
    </w:p>
    <w:p w:rsidR="00160870" w:rsidRPr="00153FB1" w:rsidRDefault="00160870" w:rsidP="00160870">
      <w:pPr>
        <w:ind w:left="708" w:firstLine="708"/>
      </w:pPr>
      <w:r>
        <w:t>Δ</w:t>
      </w:r>
      <w:r w:rsidRPr="00D34150">
        <w:rPr>
          <w:lang w:val="es-ES"/>
        </w:rPr>
        <w:t>t</w:t>
      </w:r>
      <w:r>
        <w:rPr>
          <w:lang w:val="es-ES"/>
        </w:rPr>
        <w:t xml:space="preserve"> = t</w:t>
      </w:r>
      <w:r>
        <w:rPr>
          <w:vertAlign w:val="subscript"/>
          <w:lang w:val="es-ES"/>
        </w:rPr>
        <w:t>n</w:t>
      </w:r>
      <w:r>
        <w:rPr>
          <w:lang w:val="es-ES"/>
        </w:rPr>
        <w:t xml:space="preserve"> – t</w:t>
      </w:r>
      <w:r>
        <w:rPr>
          <w:vertAlign w:val="subscript"/>
          <w:lang w:val="es-ES"/>
        </w:rPr>
        <w:t>0</w:t>
      </w:r>
    </w:p>
    <w:p w:rsidR="00160870" w:rsidRPr="00DC7C99" w:rsidRDefault="00160870" w:rsidP="00160870">
      <w:pPr>
        <w:ind w:left="708"/>
        <w:rPr>
          <w:i/>
        </w:rPr>
      </w:pPr>
      <w:r w:rsidRPr="00DC7C99">
        <w:rPr>
          <w:i/>
        </w:rPr>
        <w:t>Pseudomonas aeruginosa</w:t>
      </w:r>
    </w:p>
    <w:p w:rsidR="00160870" w:rsidRPr="00DC7C99" w:rsidRDefault="00160870" w:rsidP="00160870">
      <w:pPr>
        <w:ind w:left="708"/>
      </w:pPr>
      <w:r w:rsidRPr="00DC7C99">
        <w:t>µ=2,3</w:t>
      </w:r>
      <w:r w:rsidR="00E8675C" w:rsidRPr="00DC7C99">
        <w:t>*(6,322-2,8808)/6=1,3192</w:t>
      </w:r>
    </w:p>
    <w:p w:rsidR="00E8675C" w:rsidRPr="00E8675C" w:rsidRDefault="00E8675C" w:rsidP="00160870">
      <w:pPr>
        <w:ind w:left="708"/>
        <w:rPr>
          <w:i/>
          <w:lang w:val="en-US"/>
        </w:rPr>
      </w:pPr>
      <w:r w:rsidRPr="00E8675C">
        <w:rPr>
          <w:i/>
          <w:lang w:val="en-US"/>
        </w:rPr>
        <w:t>Escherichia coli</w:t>
      </w:r>
    </w:p>
    <w:p w:rsidR="00E8675C" w:rsidRDefault="00E8675C" w:rsidP="00160870">
      <w:pPr>
        <w:ind w:left="708"/>
        <w:rPr>
          <w:lang w:val="en-US"/>
        </w:rPr>
      </w:pPr>
      <w:r w:rsidRPr="00E8675C">
        <w:rPr>
          <w:lang w:val="en-US"/>
        </w:rPr>
        <w:t>µ</w:t>
      </w:r>
      <w:r>
        <w:rPr>
          <w:lang w:val="en-US"/>
        </w:rPr>
        <w:t>=2,3*(5,82-2,9777)/4=1,6343</w:t>
      </w:r>
    </w:p>
    <w:p w:rsidR="00E8675C" w:rsidRPr="00ED603C" w:rsidRDefault="00E8675C" w:rsidP="00ED603C">
      <w:pPr>
        <w:numPr>
          <w:ilvl w:val="0"/>
          <w:numId w:val="3"/>
        </w:numPr>
        <w:spacing w:after="0" w:line="240" w:lineRule="auto"/>
        <w:rPr>
          <w:b/>
        </w:rPr>
      </w:pPr>
      <w:r w:rsidRPr="00ED603C">
        <w:rPr>
          <w:b/>
        </w:rPr>
        <w:t>Czas podwojenia biomasy T</w:t>
      </w:r>
      <w:r w:rsidRPr="00ED603C">
        <w:rPr>
          <w:b/>
          <w:vertAlign w:val="subscript"/>
        </w:rPr>
        <w:t>d</w:t>
      </w:r>
      <w:r w:rsidRPr="00ED603C">
        <w:rPr>
          <w:b/>
        </w:rPr>
        <w:t>:</w:t>
      </w:r>
    </w:p>
    <w:p w:rsidR="00E8675C" w:rsidRPr="00153FB1" w:rsidRDefault="00E8675C" w:rsidP="00E8675C">
      <w:pPr>
        <w:ind w:left="708"/>
      </w:pPr>
    </w:p>
    <w:p w:rsidR="00E8675C" w:rsidRDefault="00E8675C" w:rsidP="00E8675C">
      <w:pPr>
        <w:ind w:left="708"/>
        <w:rPr>
          <w:lang w:val="es-ES"/>
        </w:rPr>
      </w:pPr>
      <w:r>
        <w:rPr>
          <w:lang w:val="es-ES"/>
        </w:rPr>
        <w:t>T</w:t>
      </w:r>
      <w:r>
        <w:rPr>
          <w:vertAlign w:val="subscript"/>
          <w:lang w:val="es-ES"/>
        </w:rPr>
        <w:t>d</w:t>
      </w:r>
      <w:r>
        <w:rPr>
          <w:lang w:val="es-ES"/>
        </w:rPr>
        <w:t xml:space="preserve"> = ln2 / </w:t>
      </w:r>
      <w:r w:rsidRPr="00D34150">
        <w:rPr>
          <w:lang w:val="es-ES"/>
        </w:rPr>
        <w:t>µ</w:t>
      </w:r>
    </w:p>
    <w:p w:rsidR="00E8675C" w:rsidRPr="00E8675C" w:rsidRDefault="00E8675C" w:rsidP="00E8675C">
      <w:pPr>
        <w:ind w:left="708"/>
        <w:rPr>
          <w:i/>
          <w:lang w:val="en-US"/>
        </w:rPr>
      </w:pPr>
      <w:r w:rsidRPr="00E8675C">
        <w:rPr>
          <w:i/>
          <w:lang w:val="en-US"/>
        </w:rPr>
        <w:t>Pseudomonas aeruginosa</w:t>
      </w:r>
    </w:p>
    <w:p w:rsidR="00E8675C" w:rsidRDefault="00E8675C" w:rsidP="00E8675C">
      <w:pPr>
        <w:ind w:left="708"/>
        <w:rPr>
          <w:lang w:val="es-ES"/>
        </w:rPr>
      </w:pPr>
      <w:r>
        <w:rPr>
          <w:lang w:val="es-ES"/>
        </w:rPr>
        <w:t>T</w:t>
      </w:r>
      <w:r>
        <w:rPr>
          <w:vertAlign w:val="subscript"/>
          <w:lang w:val="es-ES"/>
        </w:rPr>
        <w:t xml:space="preserve">d </w:t>
      </w:r>
      <w:r>
        <w:rPr>
          <w:lang w:val="es-ES"/>
        </w:rPr>
        <w:t>=0,69314/1,3192=0,5254</w:t>
      </w:r>
    </w:p>
    <w:p w:rsidR="00E8675C" w:rsidRPr="00E8675C" w:rsidRDefault="00E8675C" w:rsidP="00E8675C">
      <w:pPr>
        <w:ind w:left="708"/>
        <w:rPr>
          <w:i/>
          <w:lang w:val="en-US"/>
        </w:rPr>
      </w:pPr>
      <w:r w:rsidRPr="00E8675C">
        <w:rPr>
          <w:i/>
          <w:lang w:val="en-US"/>
        </w:rPr>
        <w:t>Escherichia coli</w:t>
      </w:r>
    </w:p>
    <w:p w:rsidR="00E8675C" w:rsidRDefault="00E8675C" w:rsidP="00E8675C">
      <w:pPr>
        <w:ind w:left="708"/>
        <w:rPr>
          <w:lang w:val="es-ES"/>
        </w:rPr>
      </w:pPr>
      <w:r>
        <w:rPr>
          <w:lang w:val="es-ES"/>
        </w:rPr>
        <w:t>T</w:t>
      </w:r>
      <w:r>
        <w:rPr>
          <w:vertAlign w:val="subscript"/>
          <w:lang w:val="es-ES"/>
        </w:rPr>
        <w:t>d</w:t>
      </w:r>
      <w:r>
        <w:rPr>
          <w:lang w:val="es-ES"/>
        </w:rPr>
        <w:t xml:space="preserve"> =0,69314/1,6343=0,4241</w:t>
      </w:r>
    </w:p>
    <w:p w:rsidR="00E8675C" w:rsidRPr="00ED603C" w:rsidRDefault="00E8675C" w:rsidP="00ED603C">
      <w:pPr>
        <w:numPr>
          <w:ilvl w:val="0"/>
          <w:numId w:val="3"/>
        </w:numPr>
        <w:spacing w:after="0" w:line="240" w:lineRule="auto"/>
        <w:rPr>
          <w:b/>
        </w:rPr>
      </w:pPr>
      <w:r w:rsidRPr="00ED603C">
        <w:rPr>
          <w:b/>
        </w:rPr>
        <w:t>Czas generacji T</w:t>
      </w:r>
      <w:r w:rsidRPr="00ED603C">
        <w:rPr>
          <w:b/>
          <w:vertAlign w:val="subscript"/>
        </w:rPr>
        <w:t>g</w:t>
      </w:r>
      <w:r w:rsidRPr="00ED603C">
        <w:rPr>
          <w:b/>
        </w:rPr>
        <w:t>:</w:t>
      </w:r>
    </w:p>
    <w:p w:rsidR="00ED603C" w:rsidRDefault="00ED603C" w:rsidP="00E8675C">
      <w:pPr>
        <w:ind w:left="708"/>
      </w:pPr>
    </w:p>
    <w:p w:rsidR="00E8675C" w:rsidRDefault="00E8675C" w:rsidP="00E8675C">
      <w:pPr>
        <w:ind w:left="708"/>
      </w:pPr>
      <w:r>
        <w:t>Tg = log2 (t</w:t>
      </w:r>
      <w:r>
        <w:rPr>
          <w:vertAlign w:val="subscript"/>
        </w:rPr>
        <w:t>x</w:t>
      </w:r>
      <w:r>
        <w:t xml:space="preserve"> – t</w:t>
      </w:r>
      <w:r>
        <w:rPr>
          <w:vertAlign w:val="subscript"/>
        </w:rPr>
        <w:t>0</w:t>
      </w:r>
      <w:r>
        <w:t>) / (logN</w:t>
      </w:r>
      <w:r>
        <w:rPr>
          <w:vertAlign w:val="subscript"/>
        </w:rPr>
        <w:t>x</w:t>
      </w:r>
      <w:r>
        <w:t xml:space="preserve"> – logN</w:t>
      </w:r>
      <w:r>
        <w:rPr>
          <w:vertAlign w:val="subscript"/>
        </w:rPr>
        <w:t>0</w:t>
      </w:r>
      <w:r>
        <w:t>)</w:t>
      </w:r>
    </w:p>
    <w:p w:rsidR="00E8675C" w:rsidRDefault="00E8675C" w:rsidP="00E8675C">
      <w:pPr>
        <w:ind w:left="1800" w:hanging="360"/>
      </w:pPr>
      <w:r>
        <w:t>Tg – czas generacji, czyli czas między dwoma podziałami komórek podczas fazy logarytmicznej wzrostu</w:t>
      </w:r>
    </w:p>
    <w:p w:rsidR="00E8675C" w:rsidRDefault="00E8675C" w:rsidP="00E8675C">
      <w:pPr>
        <w:ind w:left="1800" w:hanging="360"/>
      </w:pPr>
      <w:r>
        <w:t>t</w:t>
      </w:r>
      <w:r>
        <w:rPr>
          <w:vertAlign w:val="subscript"/>
        </w:rPr>
        <w:t>x</w:t>
      </w:r>
      <w:r>
        <w:t xml:space="preserve"> – czas trwanie fazy logarytmicznej wyznaczony z wykresu</w:t>
      </w:r>
    </w:p>
    <w:p w:rsidR="00E8675C" w:rsidRDefault="00E8675C" w:rsidP="00E8675C">
      <w:pPr>
        <w:ind w:left="1800" w:hanging="360"/>
      </w:pPr>
      <w:r>
        <w:t>N</w:t>
      </w:r>
      <w:r>
        <w:rPr>
          <w:vertAlign w:val="subscript"/>
        </w:rPr>
        <w:t xml:space="preserve">x </w:t>
      </w:r>
      <w:r>
        <w:t>– liczba bakterii w czasie x</w:t>
      </w:r>
    </w:p>
    <w:p w:rsidR="00E8675C" w:rsidRPr="00E8675C" w:rsidRDefault="00E8675C" w:rsidP="00E8675C">
      <w:pPr>
        <w:ind w:left="708"/>
        <w:rPr>
          <w:i/>
          <w:lang w:val="en-US"/>
        </w:rPr>
      </w:pPr>
      <w:r w:rsidRPr="00E8675C">
        <w:rPr>
          <w:i/>
          <w:lang w:val="en-US"/>
        </w:rPr>
        <w:t>Pseudomonas aeruginosa</w:t>
      </w:r>
    </w:p>
    <w:p w:rsidR="00E8675C" w:rsidRPr="0082312E" w:rsidRDefault="00E8675C" w:rsidP="00E8675C">
      <w:pPr>
        <w:ind w:left="708"/>
        <w:rPr>
          <w:lang w:val="en-US"/>
        </w:rPr>
      </w:pPr>
      <w:r w:rsidRPr="0082312E">
        <w:rPr>
          <w:lang w:val="en-US"/>
        </w:rPr>
        <w:t>Tg =(0,3010*6)/(6,322-2,8808)=0,5248</w:t>
      </w:r>
    </w:p>
    <w:p w:rsidR="0082312E" w:rsidRPr="00E8675C" w:rsidRDefault="0082312E" w:rsidP="0082312E">
      <w:pPr>
        <w:ind w:left="708"/>
        <w:rPr>
          <w:i/>
          <w:lang w:val="en-US"/>
        </w:rPr>
      </w:pPr>
      <w:r w:rsidRPr="00E8675C">
        <w:rPr>
          <w:i/>
          <w:lang w:val="en-US"/>
        </w:rPr>
        <w:t>Escherichia coli</w:t>
      </w:r>
    </w:p>
    <w:p w:rsidR="0082312E" w:rsidRPr="0082312E" w:rsidRDefault="0082312E" w:rsidP="0082312E">
      <w:pPr>
        <w:ind w:left="708"/>
        <w:rPr>
          <w:lang w:val="en-US"/>
        </w:rPr>
      </w:pPr>
      <w:r w:rsidRPr="0082312E">
        <w:rPr>
          <w:lang w:val="en-US"/>
        </w:rPr>
        <w:t>Tg =(</w:t>
      </w:r>
      <w:r>
        <w:rPr>
          <w:lang w:val="en-US"/>
        </w:rPr>
        <w:t>0,3010*4</w:t>
      </w:r>
      <w:r w:rsidRPr="0082312E">
        <w:rPr>
          <w:lang w:val="en-US"/>
        </w:rPr>
        <w:t>)/(</w:t>
      </w:r>
      <w:r>
        <w:rPr>
          <w:lang w:val="en-US"/>
        </w:rPr>
        <w:t>5,82-2,9777</w:t>
      </w:r>
      <w:r w:rsidRPr="0082312E">
        <w:rPr>
          <w:lang w:val="en-US"/>
        </w:rPr>
        <w:t>)</w:t>
      </w:r>
      <w:r>
        <w:rPr>
          <w:lang w:val="en-US"/>
        </w:rPr>
        <w:t>=0,4236</w:t>
      </w:r>
    </w:p>
    <w:p w:rsidR="0082312E" w:rsidRPr="00ED603C" w:rsidRDefault="0082312E" w:rsidP="00ED603C">
      <w:pPr>
        <w:numPr>
          <w:ilvl w:val="0"/>
          <w:numId w:val="3"/>
        </w:numPr>
        <w:spacing w:after="0" w:line="240" w:lineRule="auto"/>
        <w:rPr>
          <w:b/>
        </w:rPr>
      </w:pPr>
      <w:r w:rsidRPr="00ED603C">
        <w:rPr>
          <w:b/>
        </w:rPr>
        <w:t>Liczba pokoleń n:</w:t>
      </w:r>
    </w:p>
    <w:p w:rsidR="0082312E" w:rsidRDefault="0082312E" w:rsidP="0082312E">
      <w:pPr>
        <w:ind w:left="360"/>
      </w:pPr>
    </w:p>
    <w:p w:rsidR="0082312E" w:rsidRDefault="0082312E" w:rsidP="0082312E">
      <w:pPr>
        <w:ind w:left="1416"/>
      </w:pPr>
      <w:r>
        <w:t>n = (logN</w:t>
      </w:r>
      <w:r>
        <w:rPr>
          <w:vertAlign w:val="subscript"/>
        </w:rPr>
        <w:t>x</w:t>
      </w:r>
      <w:r>
        <w:t xml:space="preserve"> – logN</w:t>
      </w:r>
      <w:r>
        <w:rPr>
          <w:vertAlign w:val="subscript"/>
        </w:rPr>
        <w:t>o</w:t>
      </w:r>
      <w:r>
        <w:t>) / log2</w:t>
      </w:r>
    </w:p>
    <w:p w:rsidR="0082312E" w:rsidRDefault="0082312E" w:rsidP="0082312E">
      <w:pPr>
        <w:ind w:left="1416"/>
      </w:pPr>
      <w:r>
        <w:t>n – liczba pokoleń podczas fazy logarytmicznej</w:t>
      </w:r>
    </w:p>
    <w:p w:rsidR="0082312E" w:rsidRPr="00ED603C" w:rsidRDefault="0082312E" w:rsidP="0082312E">
      <w:pPr>
        <w:ind w:left="1416"/>
        <w:rPr>
          <w:i/>
          <w:lang w:val="en-US"/>
        </w:rPr>
      </w:pPr>
      <w:r w:rsidRPr="00ED603C">
        <w:rPr>
          <w:i/>
          <w:lang w:val="en-US"/>
        </w:rPr>
        <w:lastRenderedPageBreak/>
        <w:t>Pseudomonas aeruginosa</w:t>
      </w:r>
    </w:p>
    <w:p w:rsidR="0082312E" w:rsidRPr="00DC7C99" w:rsidRDefault="0082312E" w:rsidP="0082312E">
      <w:pPr>
        <w:ind w:left="1416"/>
        <w:rPr>
          <w:lang w:val="en-US"/>
        </w:rPr>
      </w:pPr>
      <w:r w:rsidRPr="00DC7C99">
        <w:rPr>
          <w:lang w:val="en-US"/>
        </w:rPr>
        <w:t>n=(6,322-2,8808)/0,3010=11,43</w:t>
      </w:r>
    </w:p>
    <w:p w:rsidR="0082312E" w:rsidRPr="00ED603C" w:rsidRDefault="0082312E" w:rsidP="0082312E">
      <w:pPr>
        <w:ind w:left="1416"/>
        <w:rPr>
          <w:i/>
          <w:lang w:val="en-US"/>
        </w:rPr>
      </w:pPr>
      <w:r w:rsidRPr="00ED603C">
        <w:rPr>
          <w:i/>
          <w:lang w:val="en-US"/>
        </w:rPr>
        <w:t>Escherichia coli</w:t>
      </w:r>
    </w:p>
    <w:p w:rsidR="0082312E" w:rsidRPr="00DC7C99" w:rsidRDefault="0082312E" w:rsidP="0082312E">
      <w:pPr>
        <w:ind w:left="1416"/>
        <w:rPr>
          <w:lang w:val="en-US"/>
        </w:rPr>
      </w:pPr>
      <w:r w:rsidRPr="00DC7C99">
        <w:rPr>
          <w:lang w:val="en-US"/>
        </w:rPr>
        <w:t>n=(5,82-2,9777)/0,3010=9,4428</w:t>
      </w:r>
    </w:p>
    <w:p w:rsidR="00ED603C" w:rsidRDefault="00ED603C" w:rsidP="00ED603C">
      <w:pPr>
        <w:rPr>
          <w:lang w:val="en-US"/>
        </w:rPr>
      </w:pPr>
      <w:r>
        <w:rPr>
          <w:lang w:val="en-US"/>
        </w:rPr>
        <w:t>Wnioski:</w:t>
      </w:r>
    </w:p>
    <w:p w:rsidR="00ED603C" w:rsidRDefault="00ED603C" w:rsidP="00ED603C">
      <w:pPr>
        <w:rPr>
          <w:lang w:val="en-US"/>
        </w:rPr>
      </w:pPr>
    </w:p>
    <w:p w:rsidR="00ED603C" w:rsidRPr="00DC7C99" w:rsidRDefault="00ED603C" w:rsidP="00ED603C">
      <w:pPr>
        <w:rPr>
          <w:lang w:val="en-US"/>
        </w:rPr>
      </w:pPr>
    </w:p>
    <w:p w:rsidR="0082312E" w:rsidRPr="00DC7C99" w:rsidRDefault="0082312E" w:rsidP="0082312E">
      <w:pPr>
        <w:jc w:val="both"/>
        <w:rPr>
          <w:color w:val="FF9900"/>
          <w:lang w:val="en-US"/>
        </w:rPr>
      </w:pPr>
    </w:p>
    <w:p w:rsidR="00E8675C" w:rsidRPr="00DC7C99" w:rsidRDefault="00E8675C" w:rsidP="00160870">
      <w:pPr>
        <w:ind w:left="708"/>
        <w:rPr>
          <w:lang w:val="en-US"/>
        </w:rPr>
      </w:pPr>
    </w:p>
    <w:p w:rsidR="00160870" w:rsidRPr="00DC7C99" w:rsidRDefault="00160870" w:rsidP="00160870">
      <w:pPr>
        <w:rPr>
          <w:lang w:val="en-US"/>
        </w:rPr>
      </w:pPr>
    </w:p>
    <w:p w:rsidR="00160870" w:rsidRPr="00DC7C99" w:rsidRDefault="00160870" w:rsidP="008F2D8B">
      <w:pPr>
        <w:pStyle w:val="ListParagraph"/>
        <w:rPr>
          <w:lang w:val="en-US"/>
        </w:rPr>
      </w:pPr>
    </w:p>
    <w:sectPr w:rsidR="00160870" w:rsidRPr="00DC7C99" w:rsidSect="008F3C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67C16"/>
    <w:multiLevelType w:val="hybridMultilevel"/>
    <w:tmpl w:val="41CE099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2C5C0971"/>
    <w:multiLevelType w:val="hybridMultilevel"/>
    <w:tmpl w:val="CA1064BA"/>
    <w:lvl w:ilvl="0" w:tplc="EBCC933C">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F35648A"/>
    <w:multiLevelType w:val="hybridMultilevel"/>
    <w:tmpl w:val="5D18B5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08"/>
  <w:hyphenationZone w:val="425"/>
  <w:characterSpacingControl w:val="doNotCompress"/>
  <w:compat/>
  <w:rsids>
    <w:rsidRoot w:val="003D6967"/>
    <w:rsid w:val="00066915"/>
    <w:rsid w:val="00160870"/>
    <w:rsid w:val="002C6EBA"/>
    <w:rsid w:val="00371EC5"/>
    <w:rsid w:val="003D6967"/>
    <w:rsid w:val="00424490"/>
    <w:rsid w:val="005416BF"/>
    <w:rsid w:val="00605A45"/>
    <w:rsid w:val="00796154"/>
    <w:rsid w:val="0082208F"/>
    <w:rsid w:val="0082312E"/>
    <w:rsid w:val="008F2D8B"/>
    <w:rsid w:val="008F3C92"/>
    <w:rsid w:val="009C7F18"/>
    <w:rsid w:val="00D060ED"/>
    <w:rsid w:val="00DC7C99"/>
    <w:rsid w:val="00E16A10"/>
    <w:rsid w:val="00E7443B"/>
    <w:rsid w:val="00E8675C"/>
    <w:rsid w:val="00ED2DB9"/>
    <w:rsid w:val="00ED603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C9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69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F2D8B"/>
    <w:pPr>
      <w:ind w:left="720"/>
      <w:contextualSpacing/>
    </w:pPr>
  </w:style>
  <w:style w:type="paragraph" w:styleId="BalloonText">
    <w:name w:val="Balloon Text"/>
    <w:basedOn w:val="Normal"/>
    <w:link w:val="BalloonTextChar"/>
    <w:uiPriority w:val="99"/>
    <w:semiHidden/>
    <w:unhideWhenUsed/>
    <w:rsid w:val="00605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A45"/>
    <w:rPr>
      <w:rFonts w:ascii="Tahoma" w:hAnsi="Tahoma" w:cs="Tahoma"/>
      <w:sz w:val="16"/>
      <w:szCs w:val="16"/>
    </w:rPr>
  </w:style>
  <w:style w:type="character" w:styleId="CommentReference">
    <w:name w:val="annotation reference"/>
    <w:basedOn w:val="DefaultParagraphFont"/>
    <w:uiPriority w:val="99"/>
    <w:semiHidden/>
    <w:unhideWhenUsed/>
    <w:rsid w:val="00DC7C99"/>
    <w:rPr>
      <w:sz w:val="16"/>
      <w:szCs w:val="16"/>
    </w:rPr>
  </w:style>
  <w:style w:type="paragraph" w:styleId="CommentText">
    <w:name w:val="annotation text"/>
    <w:basedOn w:val="Normal"/>
    <w:link w:val="CommentTextChar"/>
    <w:uiPriority w:val="99"/>
    <w:semiHidden/>
    <w:unhideWhenUsed/>
    <w:rsid w:val="00DC7C99"/>
    <w:rPr>
      <w:sz w:val="20"/>
      <w:szCs w:val="20"/>
    </w:rPr>
  </w:style>
  <w:style w:type="character" w:customStyle="1" w:styleId="CommentTextChar">
    <w:name w:val="Comment Text Char"/>
    <w:basedOn w:val="DefaultParagraphFont"/>
    <w:link w:val="CommentText"/>
    <w:uiPriority w:val="99"/>
    <w:semiHidden/>
    <w:rsid w:val="00DC7C99"/>
    <w:rPr>
      <w:lang w:eastAsia="en-US"/>
    </w:rPr>
  </w:style>
  <w:style w:type="paragraph" w:styleId="CommentSubject">
    <w:name w:val="annotation subject"/>
    <w:basedOn w:val="CommentText"/>
    <w:next w:val="CommentText"/>
    <w:link w:val="CommentSubjectChar"/>
    <w:uiPriority w:val="99"/>
    <w:semiHidden/>
    <w:unhideWhenUsed/>
    <w:rsid w:val="00DC7C99"/>
    <w:rPr>
      <w:b/>
      <w:bCs/>
    </w:rPr>
  </w:style>
  <w:style w:type="character" w:customStyle="1" w:styleId="CommentSubjectChar">
    <w:name w:val="Comment Subject Char"/>
    <w:basedOn w:val="CommentTextChar"/>
    <w:link w:val="CommentSubject"/>
    <w:uiPriority w:val="99"/>
    <w:semiHidden/>
    <w:rsid w:val="00DC7C99"/>
    <w:rPr>
      <w:b/>
      <w:bCs/>
    </w:rPr>
  </w:style>
  <w:style w:type="paragraph" w:styleId="BodyTextIndent">
    <w:name w:val="Body Text Indent"/>
    <w:basedOn w:val="Normal"/>
    <w:link w:val="BodyTextIndentChar"/>
    <w:unhideWhenUsed/>
    <w:rsid w:val="00ED603C"/>
    <w:pPr>
      <w:spacing w:after="0" w:line="240" w:lineRule="auto"/>
      <w:ind w:firstLine="360"/>
      <w:jc w:val="both"/>
    </w:pPr>
    <w:rPr>
      <w:rFonts w:ascii="Times New Roman" w:eastAsia="Times New Roman" w:hAnsi="Times New Roman"/>
      <w:sz w:val="24"/>
      <w:szCs w:val="24"/>
      <w:lang w:eastAsia="pl-PL"/>
    </w:rPr>
  </w:style>
  <w:style w:type="character" w:customStyle="1" w:styleId="BodyTextIndentChar">
    <w:name w:val="Body Text Indent Char"/>
    <w:basedOn w:val="DefaultParagraphFont"/>
    <w:link w:val="BodyTextIndent"/>
    <w:rsid w:val="00ED603C"/>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3340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yta\Downloads\Krzywa%20wzrostu%20+%20tabelka.xls"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3.xml.rels><?xml version="1.0" encoding="UTF-8" standalone="yes"?>
<Relationships xmlns="http://schemas.openxmlformats.org/package/2006/relationships"><Relationship Id="rId1" Type="http://schemas.openxmlformats.org/officeDocument/2006/relationships/oleObject" Target="file:///C:\Users\Edyta\Downloads\Krzywa%20wzrostu%20+%20tabelk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300" b="0" i="0" u="none" strike="noStrike" baseline="30000">
                <a:solidFill>
                  <a:srgbClr val="000000"/>
                </a:solidFill>
                <a:latin typeface="Arial"/>
                <a:ea typeface="Arial"/>
                <a:cs typeface="Arial"/>
              </a:defRPr>
            </a:pPr>
            <a:r>
              <a:rPr lang="pl-PL"/>
              <a:t>Krzywa wzrostu</a:t>
            </a:r>
          </a:p>
        </c:rich>
      </c:tx>
      <c:layout>
        <c:manualLayout>
          <c:xMode val="edge"/>
          <c:yMode val="edge"/>
          <c:x val="0.40860300865887234"/>
          <c:y val="3.4482811402226601E-2"/>
        </c:manualLayout>
      </c:layout>
      <c:spPr>
        <a:noFill/>
        <a:ln w="25400">
          <a:noFill/>
        </a:ln>
      </c:spPr>
    </c:title>
    <c:plotArea>
      <c:layout>
        <c:manualLayout>
          <c:layoutTarget val="inner"/>
          <c:xMode val="edge"/>
          <c:yMode val="edge"/>
          <c:x val="0.15053795055853217"/>
          <c:y val="0.22257087359618927"/>
          <c:w val="0.54623770631238722"/>
          <c:h val="0.57053378865502036"/>
        </c:manualLayout>
      </c:layout>
      <c:lineChart>
        <c:grouping val="standard"/>
        <c:ser>
          <c:idx val="0"/>
          <c:order val="0"/>
          <c:tx>
            <c:strRef>
              <c:f>Arkusz1!$B$1</c:f>
              <c:strCache>
                <c:ptCount val="1"/>
                <c:pt idx="0">
                  <c:v>Pseudomonas aeruginosa</c:v>
                </c:pt>
              </c:strCache>
            </c:strRef>
          </c:tx>
          <c:spPr>
            <a:ln w="38100">
              <a:solidFill>
                <a:srgbClr val="004586"/>
              </a:solidFill>
              <a:prstDash val="solid"/>
            </a:ln>
          </c:spPr>
          <c:marker>
            <c:symbol val="square"/>
            <c:size val="7"/>
            <c:spPr>
              <a:solidFill>
                <a:srgbClr val="004586"/>
              </a:solidFill>
              <a:ln>
                <a:solidFill>
                  <a:srgbClr val="004586"/>
                </a:solidFill>
                <a:prstDash val="solid"/>
              </a:ln>
            </c:spPr>
          </c:marker>
          <c:cat>
            <c:numRef>
              <c:f>Arkusz1!$A$2:$A$9</c:f>
              <c:numCache>
                <c:formatCode>General</c:formatCode>
                <c:ptCount val="8"/>
                <c:pt idx="0">
                  <c:v>0</c:v>
                </c:pt>
                <c:pt idx="1">
                  <c:v>2</c:v>
                </c:pt>
                <c:pt idx="2">
                  <c:v>4</c:v>
                </c:pt>
                <c:pt idx="3">
                  <c:v>6</c:v>
                </c:pt>
                <c:pt idx="4">
                  <c:v>8</c:v>
                </c:pt>
                <c:pt idx="5">
                  <c:v>16</c:v>
                </c:pt>
                <c:pt idx="6">
                  <c:v>24</c:v>
                </c:pt>
                <c:pt idx="7">
                  <c:v>48</c:v>
                </c:pt>
              </c:numCache>
            </c:numRef>
          </c:cat>
          <c:val>
            <c:numRef>
              <c:f>Arkusz1!$B$2:$B$9</c:f>
              <c:numCache>
                <c:formatCode>0.0000</c:formatCode>
                <c:ptCount val="8"/>
                <c:pt idx="0">
                  <c:v>2.8807999999999998</c:v>
                </c:pt>
                <c:pt idx="1">
                  <c:v>3.8989999999999987</c:v>
                </c:pt>
                <c:pt idx="2">
                  <c:v>4.1460999999999997</c:v>
                </c:pt>
                <c:pt idx="3">
                  <c:v>6.3222000000000005</c:v>
                </c:pt>
                <c:pt idx="4">
                  <c:v>7.0042999999999997</c:v>
                </c:pt>
                <c:pt idx="5">
                  <c:v>8.4150000000000027</c:v>
                </c:pt>
                <c:pt idx="6">
                  <c:v>7.6242999999999945</c:v>
                </c:pt>
                <c:pt idx="7">
                  <c:v>7.2329999999999997</c:v>
                </c:pt>
              </c:numCache>
            </c:numRef>
          </c:val>
          <c:smooth val="1"/>
        </c:ser>
        <c:ser>
          <c:idx val="1"/>
          <c:order val="1"/>
          <c:tx>
            <c:strRef>
              <c:f>Arkusz1!$C$1</c:f>
              <c:strCache>
                <c:ptCount val="1"/>
                <c:pt idx="0">
                  <c:v>E.coli</c:v>
                </c:pt>
              </c:strCache>
            </c:strRef>
          </c:tx>
          <c:spPr>
            <a:ln w="38100">
              <a:solidFill>
                <a:srgbClr val="FF420E"/>
              </a:solidFill>
              <a:prstDash val="solid"/>
            </a:ln>
          </c:spPr>
          <c:marker>
            <c:symbol val="diamond"/>
            <c:size val="7"/>
            <c:spPr>
              <a:solidFill>
                <a:srgbClr val="FF420E"/>
              </a:solidFill>
              <a:ln>
                <a:solidFill>
                  <a:srgbClr val="FF420E"/>
                </a:solidFill>
                <a:prstDash val="solid"/>
              </a:ln>
            </c:spPr>
          </c:marker>
          <c:cat>
            <c:numRef>
              <c:f>Arkusz1!$A$2:$A$9</c:f>
              <c:numCache>
                <c:formatCode>General</c:formatCode>
                <c:ptCount val="8"/>
                <c:pt idx="0">
                  <c:v>0</c:v>
                </c:pt>
                <c:pt idx="1">
                  <c:v>2</c:v>
                </c:pt>
                <c:pt idx="2">
                  <c:v>4</c:v>
                </c:pt>
                <c:pt idx="3">
                  <c:v>6</c:v>
                </c:pt>
                <c:pt idx="4">
                  <c:v>8</c:v>
                </c:pt>
                <c:pt idx="5">
                  <c:v>16</c:v>
                </c:pt>
                <c:pt idx="6">
                  <c:v>24</c:v>
                </c:pt>
                <c:pt idx="7">
                  <c:v>48</c:v>
                </c:pt>
              </c:numCache>
            </c:numRef>
          </c:cat>
          <c:val>
            <c:numRef>
              <c:f>Arkusz1!$C$2:$C$9</c:f>
              <c:numCache>
                <c:formatCode>0.0000</c:formatCode>
                <c:ptCount val="8"/>
                <c:pt idx="0">
                  <c:v>2.9774000000000003</c:v>
                </c:pt>
                <c:pt idx="1">
                  <c:v>3.7242999999999999</c:v>
                </c:pt>
                <c:pt idx="2">
                  <c:v>5.8199999999999985</c:v>
                </c:pt>
                <c:pt idx="3">
                  <c:v>6.2943999999999996</c:v>
                </c:pt>
                <c:pt idx="4">
                  <c:v>7.8921999999999946</c:v>
                </c:pt>
                <c:pt idx="5">
                  <c:v>7.5315000000000003</c:v>
                </c:pt>
                <c:pt idx="6">
                  <c:v>7.9247999999999985</c:v>
                </c:pt>
                <c:pt idx="7">
                  <c:v>7.3041999999999945</c:v>
                </c:pt>
              </c:numCache>
            </c:numRef>
          </c:val>
          <c:smooth val="1"/>
        </c:ser>
        <c:marker val="1"/>
        <c:axId val="83579648"/>
        <c:axId val="83581952"/>
      </c:lineChart>
      <c:catAx>
        <c:axId val="83579648"/>
        <c:scaling>
          <c:orientation val="minMax"/>
        </c:scaling>
        <c:axPos val="b"/>
        <c:majorGridlines>
          <c:spPr>
            <a:ln w="3175">
              <a:solidFill>
                <a:srgbClr val="B3B3B3"/>
              </a:solidFill>
              <a:prstDash val="solid"/>
            </a:ln>
          </c:spPr>
        </c:majorGridlines>
        <c:title>
          <c:tx>
            <c:rich>
              <a:bodyPr/>
              <a:lstStyle/>
              <a:p>
                <a:pPr>
                  <a:defRPr sz="900" b="0" i="0" u="none" strike="noStrike" baseline="30000">
                    <a:solidFill>
                      <a:srgbClr val="000000"/>
                    </a:solidFill>
                    <a:latin typeface="Arial"/>
                    <a:ea typeface="Arial"/>
                    <a:cs typeface="Arial"/>
                  </a:defRPr>
                </a:pPr>
                <a:r>
                  <a:rPr lang="pl-PL"/>
                  <a:t>Czas hodowli</a:t>
                </a:r>
              </a:p>
            </c:rich>
          </c:tx>
          <c:layout>
            <c:manualLayout>
              <c:xMode val="edge"/>
              <c:yMode val="edge"/>
              <c:x val="0.37419433424549381"/>
              <c:y val="0.87774429023849587"/>
            </c:manualLayout>
          </c:layout>
          <c:spPr>
            <a:noFill/>
            <a:ln w="25400">
              <a:noFill/>
            </a:ln>
          </c:spPr>
        </c:title>
        <c:numFmt formatCode="General" sourceLinked="1"/>
        <c:tickLblPos val="low"/>
        <c:spPr>
          <a:ln w="3175">
            <a:solidFill>
              <a:srgbClr val="B3B3B3"/>
            </a:solidFill>
            <a:prstDash val="solid"/>
          </a:ln>
        </c:spPr>
        <c:txPr>
          <a:bodyPr rot="0" vert="horz"/>
          <a:lstStyle/>
          <a:p>
            <a:pPr>
              <a:defRPr sz="800" b="0" i="0" u="none" strike="noStrike" baseline="30000">
                <a:solidFill>
                  <a:srgbClr val="000000"/>
                </a:solidFill>
                <a:latin typeface="Arial"/>
                <a:ea typeface="Arial"/>
                <a:cs typeface="Arial"/>
              </a:defRPr>
            </a:pPr>
            <a:endParaRPr lang="pl-PL"/>
          </a:p>
        </c:txPr>
        <c:crossAx val="83581952"/>
        <c:crosses val="autoZero"/>
        <c:auto val="1"/>
        <c:lblAlgn val="ctr"/>
        <c:lblOffset val="100"/>
        <c:tickLblSkip val="1"/>
        <c:tickMarkSkip val="1"/>
      </c:catAx>
      <c:valAx>
        <c:axId val="83581952"/>
        <c:scaling>
          <c:orientation val="minMax"/>
        </c:scaling>
        <c:axPos val="l"/>
        <c:majorGridlines>
          <c:spPr>
            <a:ln w="3175">
              <a:solidFill>
                <a:srgbClr val="B3B3B3"/>
              </a:solidFill>
              <a:prstDash val="solid"/>
            </a:ln>
          </c:spPr>
        </c:majorGridlines>
        <c:title>
          <c:tx>
            <c:rich>
              <a:bodyPr/>
              <a:lstStyle/>
              <a:p>
                <a:pPr>
                  <a:defRPr sz="900" b="0" i="0" u="none" strike="noStrike" baseline="30000">
                    <a:solidFill>
                      <a:srgbClr val="000000"/>
                    </a:solidFill>
                    <a:latin typeface="Arial"/>
                    <a:ea typeface="Arial"/>
                    <a:cs typeface="Arial"/>
                  </a:defRPr>
                </a:pPr>
                <a:r>
                  <a:rPr lang="pl-PL"/>
                  <a:t>LogN</a:t>
                </a:r>
              </a:p>
            </c:rich>
          </c:tx>
          <c:layout>
            <c:manualLayout>
              <c:xMode val="edge"/>
              <c:yMode val="edge"/>
              <c:x val="3.440867441337879E-2"/>
              <c:y val="0.47648975755803896"/>
            </c:manualLayout>
          </c:layout>
          <c:spPr>
            <a:noFill/>
            <a:ln w="25400">
              <a:noFill/>
            </a:ln>
          </c:spPr>
        </c:title>
        <c:numFmt formatCode="0.0000" sourceLinked="1"/>
        <c:tickLblPos val="low"/>
        <c:spPr>
          <a:ln w="3175">
            <a:solidFill>
              <a:srgbClr val="B3B3B3"/>
            </a:solidFill>
            <a:prstDash val="solid"/>
          </a:ln>
        </c:spPr>
        <c:txPr>
          <a:bodyPr rot="0" vert="horz"/>
          <a:lstStyle/>
          <a:p>
            <a:pPr>
              <a:defRPr sz="800" b="0" i="0" u="none" strike="noStrike" baseline="30000">
                <a:solidFill>
                  <a:srgbClr val="000000"/>
                </a:solidFill>
                <a:latin typeface="Arial"/>
                <a:ea typeface="Arial"/>
                <a:cs typeface="Arial"/>
              </a:defRPr>
            </a:pPr>
            <a:endParaRPr lang="pl-PL"/>
          </a:p>
        </c:txPr>
        <c:crossAx val="83579648"/>
        <c:crosses val="autoZero"/>
        <c:crossBetween val="between"/>
      </c:valAx>
      <c:spPr>
        <a:noFill/>
        <a:ln w="3175">
          <a:solidFill>
            <a:srgbClr val="B3B3B3"/>
          </a:solidFill>
          <a:prstDash val="solid"/>
        </a:ln>
      </c:spPr>
    </c:plotArea>
    <c:legend>
      <c:legendPos val="r"/>
      <c:layout>
        <c:manualLayout>
          <c:xMode val="edge"/>
          <c:yMode val="edge"/>
          <c:x val="0.72043162053011811"/>
          <c:y val="0.44827654822894486"/>
          <c:w val="0.26451668455284988"/>
          <c:h val="0.12225724042607602"/>
        </c:manualLayout>
      </c:layout>
      <c:spPr>
        <a:noFill/>
        <a:ln w="25400">
          <a:noFill/>
        </a:ln>
      </c:spPr>
      <c:txPr>
        <a:bodyPr/>
        <a:lstStyle/>
        <a:p>
          <a:pPr>
            <a:defRPr sz="735" b="0" i="0" u="none" strike="noStrike" baseline="30000">
              <a:solidFill>
                <a:srgbClr val="000000"/>
              </a:solidFill>
              <a:latin typeface="Arial"/>
              <a:ea typeface="Arial"/>
              <a:cs typeface="Arial"/>
            </a:defRPr>
          </a:pPr>
          <a:endParaRPr lang="pl-PL"/>
        </a:p>
      </c:txPr>
    </c:legend>
    <c:dispBlanksAs val="gap"/>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pl-PL"/>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524" b="1" i="1" u="none" strike="noStrike" baseline="0">
                <a:solidFill>
                  <a:srgbClr val="000000"/>
                </a:solidFill>
                <a:latin typeface="Arial"/>
                <a:ea typeface="Arial"/>
                <a:cs typeface="Arial"/>
              </a:defRPr>
            </a:pPr>
            <a:r>
              <a:rPr lang="pl-PL"/>
              <a:t>Pseudomonas aeruginosa i Escherichia coli</a:t>
            </a:r>
          </a:p>
        </c:rich>
      </c:tx>
      <c:layout>
        <c:manualLayout>
          <c:xMode val="edge"/>
          <c:yMode val="edge"/>
          <c:x val="0.1744548031496064"/>
          <c:y val="2.005714574272555E-2"/>
        </c:manualLayout>
      </c:layout>
      <c:spPr>
        <a:noFill/>
        <a:ln w="25390">
          <a:noFill/>
        </a:ln>
      </c:spPr>
    </c:title>
    <c:plotArea>
      <c:layout>
        <c:manualLayout>
          <c:layoutTarget val="inner"/>
          <c:xMode val="edge"/>
          <c:yMode val="edge"/>
          <c:x val="0.12149532710280374"/>
          <c:y val="0.14613180515759325"/>
          <c:w val="0.6526479750778823"/>
          <c:h val="0.71346704871060118"/>
        </c:manualLayout>
      </c:layout>
      <c:lineChart>
        <c:grouping val="standard"/>
        <c:ser>
          <c:idx val="0"/>
          <c:order val="0"/>
          <c:tx>
            <c:v>Escherichia coli</c:v>
          </c:tx>
          <c:spPr>
            <a:ln w="25390">
              <a:solidFill>
                <a:srgbClr val="000000"/>
              </a:solidFill>
              <a:prstDash val="solid"/>
            </a:ln>
          </c:spPr>
          <c:marker>
            <c:symbol val="diamond"/>
            <c:size val="4"/>
            <c:spPr>
              <a:solidFill>
                <a:srgbClr val="000080"/>
              </a:solidFill>
              <a:ln>
                <a:solidFill>
                  <a:srgbClr val="FF0000"/>
                </a:solidFill>
                <a:prstDash val="solid"/>
              </a:ln>
              <a:effectLst>
                <a:outerShdw dist="35921" dir="2700000" algn="br">
                  <a:srgbClr val="000000"/>
                </a:outerShdw>
              </a:effectLst>
            </c:spPr>
          </c:marker>
          <c:dLbls>
            <c:spPr>
              <a:noFill/>
              <a:ln w="25390">
                <a:noFill/>
              </a:ln>
            </c:spPr>
            <c:txPr>
              <a:bodyPr/>
              <a:lstStyle/>
              <a:p>
                <a:pPr>
                  <a:defRPr sz="1200" b="0" i="0" u="none" strike="noStrike" baseline="0">
                    <a:solidFill>
                      <a:srgbClr val="000000"/>
                    </a:solidFill>
                    <a:latin typeface="Arial"/>
                    <a:ea typeface="Arial"/>
                    <a:cs typeface="Arial"/>
                  </a:defRPr>
                </a:pPr>
                <a:endParaRPr lang="pl-PL"/>
              </a:p>
            </c:txPr>
            <c:showVal val="1"/>
          </c:dLbls>
          <c:cat>
            <c:numRef>
              <c:f>Arkusz3!$A$4:$A$10</c:f>
              <c:numCache>
                <c:formatCode>General</c:formatCode>
                <c:ptCount val="7"/>
                <c:pt idx="0">
                  <c:v>0</c:v>
                </c:pt>
                <c:pt idx="1">
                  <c:v>2</c:v>
                </c:pt>
                <c:pt idx="2">
                  <c:v>4</c:v>
                </c:pt>
                <c:pt idx="3">
                  <c:v>6</c:v>
                </c:pt>
                <c:pt idx="5">
                  <c:v>8</c:v>
                </c:pt>
                <c:pt idx="6">
                  <c:v>10</c:v>
                </c:pt>
              </c:numCache>
            </c:numRef>
          </c:cat>
          <c:val>
            <c:numRef>
              <c:f>Arkusz3!$B$4:$B$10</c:f>
              <c:numCache>
                <c:formatCode>General</c:formatCode>
                <c:ptCount val="7"/>
                <c:pt idx="0">
                  <c:v>0</c:v>
                </c:pt>
                <c:pt idx="1">
                  <c:v>2.0000000000000018E-3</c:v>
                </c:pt>
                <c:pt idx="2">
                  <c:v>1.7000000000000001E-2</c:v>
                </c:pt>
                <c:pt idx="3">
                  <c:v>0.32300000000000023</c:v>
                </c:pt>
                <c:pt idx="4">
                  <c:v>0.30100000000000027</c:v>
                </c:pt>
                <c:pt idx="5">
                  <c:v>0.73000000000000043</c:v>
                </c:pt>
                <c:pt idx="6">
                  <c:v>1.754</c:v>
                </c:pt>
              </c:numCache>
            </c:numRef>
          </c:val>
        </c:ser>
        <c:ser>
          <c:idx val="1"/>
          <c:order val="1"/>
          <c:tx>
            <c:v>Pseudomonas aeruginosa</c:v>
          </c:tx>
          <c:spPr>
            <a:ln w="25390">
              <a:solidFill>
                <a:srgbClr val="FF0000"/>
              </a:solidFill>
              <a:prstDash val="solid"/>
            </a:ln>
          </c:spPr>
          <c:marker>
            <c:symbol val="square"/>
            <c:size val="4"/>
            <c:spPr>
              <a:solidFill>
                <a:srgbClr val="0000FF"/>
              </a:solidFill>
              <a:ln>
                <a:solidFill>
                  <a:srgbClr val="0000FF"/>
                </a:solidFill>
                <a:prstDash val="solid"/>
              </a:ln>
              <a:effectLst>
                <a:outerShdw dist="35921" dir="2700000" algn="br">
                  <a:srgbClr val="000000"/>
                </a:outerShdw>
              </a:effectLst>
            </c:spPr>
          </c:marker>
          <c:dLbls>
            <c:spPr>
              <a:noFill/>
              <a:ln w="25390">
                <a:noFill/>
              </a:ln>
            </c:spPr>
            <c:txPr>
              <a:bodyPr/>
              <a:lstStyle/>
              <a:p>
                <a:pPr>
                  <a:defRPr sz="1200" b="0" i="0" u="none" strike="noStrike" baseline="0">
                    <a:solidFill>
                      <a:srgbClr val="000000"/>
                    </a:solidFill>
                    <a:latin typeface="Arial"/>
                    <a:ea typeface="Arial"/>
                    <a:cs typeface="Arial"/>
                  </a:defRPr>
                </a:pPr>
                <a:endParaRPr lang="pl-PL"/>
              </a:p>
            </c:txPr>
            <c:showVal val="1"/>
          </c:dLbls>
          <c:cat>
            <c:numRef>
              <c:f>Arkusz3!$A$4:$A$10</c:f>
              <c:numCache>
                <c:formatCode>General</c:formatCode>
                <c:ptCount val="7"/>
                <c:pt idx="0">
                  <c:v>0</c:v>
                </c:pt>
                <c:pt idx="1">
                  <c:v>2</c:v>
                </c:pt>
                <c:pt idx="2">
                  <c:v>4</c:v>
                </c:pt>
                <c:pt idx="3">
                  <c:v>6</c:v>
                </c:pt>
                <c:pt idx="5">
                  <c:v>8</c:v>
                </c:pt>
                <c:pt idx="6">
                  <c:v>10</c:v>
                </c:pt>
              </c:numCache>
            </c:numRef>
          </c:cat>
          <c:val>
            <c:numRef>
              <c:f>Arkusz3!$C$4:$C$10</c:f>
              <c:numCache>
                <c:formatCode>General</c:formatCode>
                <c:ptCount val="7"/>
                <c:pt idx="0">
                  <c:v>0</c:v>
                </c:pt>
                <c:pt idx="1">
                  <c:v>0</c:v>
                </c:pt>
                <c:pt idx="2">
                  <c:v>0</c:v>
                </c:pt>
                <c:pt idx="3">
                  <c:v>0</c:v>
                </c:pt>
                <c:pt idx="4">
                  <c:v>2.0000000000000018E-3</c:v>
                </c:pt>
                <c:pt idx="5">
                  <c:v>0.15300000000000011</c:v>
                </c:pt>
                <c:pt idx="6">
                  <c:v>0.9500000000000004</c:v>
                </c:pt>
              </c:numCache>
            </c:numRef>
          </c:val>
        </c:ser>
        <c:dLbls>
          <c:showVal val="1"/>
        </c:dLbls>
        <c:marker val="1"/>
        <c:axId val="83612416"/>
        <c:axId val="83614336"/>
      </c:lineChart>
      <c:catAx>
        <c:axId val="83612416"/>
        <c:scaling>
          <c:orientation val="minMax"/>
        </c:scaling>
        <c:axPos val="b"/>
        <c:majorGridlines>
          <c:spPr>
            <a:ln w="3174">
              <a:solidFill>
                <a:srgbClr val="000000"/>
              </a:solidFill>
              <a:prstDash val="solid"/>
            </a:ln>
          </c:spPr>
        </c:majorGridlines>
        <c:minorGridlines>
          <c:spPr>
            <a:ln w="3174">
              <a:solidFill>
                <a:srgbClr val="000000"/>
              </a:solidFill>
              <a:prstDash val="solid"/>
            </a:ln>
          </c:spPr>
        </c:minorGridlines>
        <c:title>
          <c:tx>
            <c:rich>
              <a:bodyPr/>
              <a:lstStyle/>
              <a:p>
                <a:pPr>
                  <a:defRPr sz="1200" b="1" i="0" u="none" strike="noStrike" baseline="0">
                    <a:solidFill>
                      <a:srgbClr val="000000"/>
                    </a:solidFill>
                    <a:latin typeface="Arial"/>
                    <a:ea typeface="Arial"/>
                    <a:cs typeface="Arial"/>
                  </a:defRPr>
                </a:pPr>
                <a:r>
                  <a:rPr lang="pl-PL"/>
                  <a:t>Czas hodowli [h]</a:t>
                </a:r>
              </a:p>
            </c:rich>
          </c:tx>
          <c:layout>
            <c:manualLayout>
              <c:xMode val="edge"/>
              <c:yMode val="edge"/>
              <c:x val="0.34267905511811025"/>
              <c:y val="0.91690530505266188"/>
            </c:manualLayout>
          </c:layout>
          <c:spPr>
            <a:noFill/>
            <a:ln w="25390">
              <a:noFill/>
            </a:ln>
          </c:spPr>
        </c:title>
        <c:numFmt formatCode="General" sourceLinked="1"/>
        <c:tickLblPos val="nextTo"/>
        <c:spPr>
          <a:ln w="3174">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pl-PL"/>
          </a:p>
        </c:txPr>
        <c:crossAx val="83614336"/>
        <c:crosses val="autoZero"/>
        <c:auto val="1"/>
        <c:lblAlgn val="ctr"/>
        <c:lblOffset val="100"/>
        <c:tickLblSkip val="1"/>
        <c:tickMarkSkip val="1"/>
      </c:catAx>
      <c:valAx>
        <c:axId val="83614336"/>
        <c:scaling>
          <c:orientation val="minMax"/>
        </c:scaling>
        <c:axPos val="l"/>
        <c:title>
          <c:tx>
            <c:rich>
              <a:bodyPr/>
              <a:lstStyle/>
              <a:p>
                <a:pPr>
                  <a:defRPr sz="1200" b="1" i="0" u="none" strike="noStrike" baseline="0">
                    <a:solidFill>
                      <a:srgbClr val="000000"/>
                    </a:solidFill>
                    <a:latin typeface="Arial"/>
                    <a:ea typeface="Arial"/>
                    <a:cs typeface="Arial"/>
                  </a:defRPr>
                </a:pPr>
                <a:r>
                  <a:rPr lang="pl-PL"/>
                  <a:t>Wartości OD</a:t>
                </a:r>
              </a:p>
            </c:rich>
          </c:tx>
          <c:layout>
            <c:manualLayout>
              <c:xMode val="edge"/>
              <c:yMode val="edge"/>
              <c:x val="1.7133858267716556E-2"/>
              <c:y val="0.35816618840935716"/>
            </c:manualLayout>
          </c:layout>
          <c:spPr>
            <a:noFill/>
            <a:ln w="25390">
              <a:noFill/>
            </a:ln>
          </c:spPr>
        </c:title>
        <c:numFmt formatCode="General" sourceLinked="1"/>
        <c:tickLblPos val="nextTo"/>
        <c:spPr>
          <a:ln w="3174">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pl-PL"/>
          </a:p>
        </c:txPr>
        <c:crossAx val="83612416"/>
        <c:crosses val="autoZero"/>
        <c:crossBetween val="between"/>
      </c:valAx>
      <c:spPr>
        <a:solidFill>
          <a:srgbClr val="CC99FF"/>
        </a:solidFill>
        <a:ln w="12695">
          <a:solidFill>
            <a:srgbClr val="808080"/>
          </a:solidFill>
          <a:prstDash val="solid"/>
        </a:ln>
      </c:spPr>
    </c:plotArea>
    <c:legend>
      <c:legendPos val="r"/>
      <c:layout>
        <c:manualLayout>
          <c:xMode val="edge"/>
          <c:yMode val="edge"/>
          <c:x val="0.7897195275590555"/>
          <c:y val="0.43266475363742785"/>
          <c:w val="0.20560755905511807"/>
          <c:h val="0.30945576720463902"/>
        </c:manualLayout>
      </c:layout>
      <c:spPr>
        <a:solidFill>
          <a:srgbClr val="FFFFFF"/>
        </a:solidFill>
        <a:ln w="3174">
          <a:solidFill>
            <a:srgbClr val="000000"/>
          </a:solidFill>
          <a:prstDash val="solid"/>
        </a:ln>
      </c:spPr>
      <c:txPr>
        <a:bodyPr/>
        <a:lstStyle/>
        <a:p>
          <a:pPr>
            <a:defRPr sz="1055" b="0" i="0" u="none" strike="noStrike" baseline="0">
              <a:solidFill>
                <a:srgbClr val="000000"/>
              </a:solidFill>
              <a:latin typeface="Arial"/>
              <a:ea typeface="Arial"/>
              <a:cs typeface="Arial"/>
            </a:defRPr>
          </a:pPr>
          <a:endParaRPr lang="pl-PL"/>
        </a:p>
      </c:txPr>
    </c:legend>
    <c:plotVisOnly val="1"/>
    <c:dispBlanksAs val="gap"/>
  </c:chart>
  <c:spPr>
    <a:solidFill>
      <a:srgbClr val="FFFFFF"/>
    </a:solidFill>
    <a:ln w="3174">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pl-PL"/>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300" b="0" i="0" u="none" strike="noStrike" baseline="30000">
                <a:solidFill>
                  <a:srgbClr val="000000"/>
                </a:solidFill>
                <a:latin typeface="Arial"/>
                <a:ea typeface="Arial"/>
                <a:cs typeface="Arial"/>
              </a:defRPr>
            </a:pPr>
            <a:r>
              <a:rPr lang="pl-PL"/>
              <a:t>Krzywa zmiany biomasy</a:t>
            </a:r>
          </a:p>
        </c:rich>
      </c:tx>
      <c:layout>
        <c:manualLayout>
          <c:xMode val="edge"/>
          <c:yMode val="edge"/>
          <c:x val="0.40860300865887234"/>
          <c:y val="3.4482811402226587E-2"/>
        </c:manualLayout>
      </c:layout>
      <c:spPr>
        <a:noFill/>
        <a:ln w="25400">
          <a:noFill/>
        </a:ln>
      </c:spPr>
    </c:title>
    <c:plotArea>
      <c:layout>
        <c:manualLayout>
          <c:layoutTarget val="inner"/>
          <c:xMode val="edge"/>
          <c:yMode val="edge"/>
          <c:x val="0.15053795055853217"/>
          <c:y val="0.22257087359618927"/>
          <c:w val="0.54623770631238722"/>
          <c:h val="0.57053378865502036"/>
        </c:manualLayout>
      </c:layout>
      <c:lineChart>
        <c:grouping val="standard"/>
        <c:ser>
          <c:idx val="0"/>
          <c:order val="0"/>
          <c:tx>
            <c:strRef>
              <c:f>Arkusz1!$B$1</c:f>
              <c:strCache>
                <c:ptCount val="1"/>
                <c:pt idx="0">
                  <c:v>Pseudomonas aeruginosa</c:v>
                </c:pt>
              </c:strCache>
            </c:strRef>
          </c:tx>
          <c:spPr>
            <a:ln w="38100">
              <a:solidFill>
                <a:srgbClr val="004586"/>
              </a:solidFill>
              <a:prstDash val="solid"/>
            </a:ln>
          </c:spPr>
          <c:marker>
            <c:symbol val="square"/>
            <c:size val="7"/>
            <c:spPr>
              <a:solidFill>
                <a:srgbClr val="004586"/>
              </a:solidFill>
              <a:ln>
                <a:solidFill>
                  <a:srgbClr val="004586"/>
                </a:solidFill>
                <a:prstDash val="solid"/>
              </a:ln>
            </c:spPr>
          </c:marker>
          <c:cat>
            <c:numRef>
              <c:f>Arkusz1!$A$2:$A$9</c:f>
              <c:numCache>
                <c:formatCode>General</c:formatCode>
                <c:ptCount val="8"/>
                <c:pt idx="0">
                  <c:v>0</c:v>
                </c:pt>
                <c:pt idx="1">
                  <c:v>2</c:v>
                </c:pt>
                <c:pt idx="2">
                  <c:v>4</c:v>
                </c:pt>
                <c:pt idx="3">
                  <c:v>6</c:v>
                </c:pt>
                <c:pt idx="4">
                  <c:v>8</c:v>
                </c:pt>
                <c:pt idx="5">
                  <c:v>16</c:v>
                </c:pt>
                <c:pt idx="6">
                  <c:v>24</c:v>
                </c:pt>
                <c:pt idx="7">
                  <c:v>48</c:v>
                </c:pt>
              </c:numCache>
            </c:numRef>
          </c:cat>
          <c:val>
            <c:numRef>
              <c:f>Arkusz1!$B$2:$B$9</c:f>
              <c:numCache>
                <c:formatCode>General</c:formatCode>
                <c:ptCount val="8"/>
                <c:pt idx="1">
                  <c:v>0</c:v>
                </c:pt>
                <c:pt idx="2">
                  <c:v>5.0000000000000053E-3</c:v>
                </c:pt>
                <c:pt idx="3">
                  <c:v>1.0999999999999998E-2</c:v>
                </c:pt>
                <c:pt idx="4">
                  <c:v>1.0000000000000005E-2</c:v>
                </c:pt>
                <c:pt idx="5">
                  <c:v>0.35000000000000031</c:v>
                </c:pt>
                <c:pt idx="6">
                  <c:v>2.9000000000000001E-2</c:v>
                </c:pt>
              </c:numCache>
            </c:numRef>
          </c:val>
          <c:smooth val="1"/>
        </c:ser>
        <c:ser>
          <c:idx val="1"/>
          <c:order val="1"/>
          <c:tx>
            <c:strRef>
              <c:f>Arkusz1!$C$1</c:f>
              <c:strCache>
                <c:ptCount val="1"/>
                <c:pt idx="0">
                  <c:v>E.coli</c:v>
                </c:pt>
              </c:strCache>
            </c:strRef>
          </c:tx>
          <c:spPr>
            <a:ln w="38100">
              <a:solidFill>
                <a:srgbClr val="FF420E"/>
              </a:solidFill>
              <a:prstDash val="solid"/>
            </a:ln>
          </c:spPr>
          <c:marker>
            <c:symbol val="diamond"/>
            <c:size val="7"/>
            <c:spPr>
              <a:solidFill>
                <a:srgbClr val="FF420E"/>
              </a:solidFill>
              <a:ln>
                <a:solidFill>
                  <a:srgbClr val="FF420E"/>
                </a:solidFill>
                <a:prstDash val="solid"/>
              </a:ln>
            </c:spPr>
          </c:marker>
          <c:cat>
            <c:numRef>
              <c:f>Arkusz1!$A$2:$A$9</c:f>
              <c:numCache>
                <c:formatCode>General</c:formatCode>
                <c:ptCount val="8"/>
                <c:pt idx="0">
                  <c:v>0</c:v>
                </c:pt>
                <c:pt idx="1">
                  <c:v>2</c:v>
                </c:pt>
                <c:pt idx="2">
                  <c:v>4</c:v>
                </c:pt>
                <c:pt idx="3">
                  <c:v>6</c:v>
                </c:pt>
                <c:pt idx="4">
                  <c:v>8</c:v>
                </c:pt>
                <c:pt idx="5">
                  <c:v>16</c:v>
                </c:pt>
                <c:pt idx="6">
                  <c:v>24</c:v>
                </c:pt>
                <c:pt idx="7">
                  <c:v>48</c:v>
                </c:pt>
              </c:numCache>
            </c:numRef>
          </c:cat>
          <c:val>
            <c:numRef>
              <c:f>Arkusz1!$C$2:$C$9</c:f>
              <c:numCache>
                <c:formatCode>General</c:formatCode>
                <c:ptCount val="8"/>
                <c:pt idx="3">
                  <c:v>6.0000000000000062E-3</c:v>
                </c:pt>
                <c:pt idx="4">
                  <c:v>1.0000000000000005E-2</c:v>
                </c:pt>
                <c:pt idx="5">
                  <c:v>4.0000000000000022E-2</c:v>
                </c:pt>
                <c:pt idx="6">
                  <c:v>0.63000000000000078</c:v>
                </c:pt>
              </c:numCache>
            </c:numRef>
          </c:val>
          <c:smooth val="1"/>
        </c:ser>
        <c:marker val="1"/>
        <c:axId val="73493504"/>
        <c:axId val="85915136"/>
      </c:lineChart>
      <c:catAx>
        <c:axId val="73493504"/>
        <c:scaling>
          <c:orientation val="minMax"/>
        </c:scaling>
        <c:axPos val="b"/>
        <c:majorGridlines>
          <c:spPr>
            <a:ln w="3175">
              <a:solidFill>
                <a:srgbClr val="B3B3B3"/>
              </a:solidFill>
              <a:prstDash val="solid"/>
            </a:ln>
          </c:spPr>
        </c:majorGridlines>
        <c:title>
          <c:tx>
            <c:rich>
              <a:bodyPr/>
              <a:lstStyle/>
              <a:p>
                <a:pPr>
                  <a:defRPr sz="900" b="0" i="0" u="none" strike="noStrike" baseline="30000">
                    <a:solidFill>
                      <a:srgbClr val="000000"/>
                    </a:solidFill>
                    <a:latin typeface="Arial"/>
                    <a:ea typeface="Arial"/>
                    <a:cs typeface="Arial"/>
                  </a:defRPr>
                </a:pPr>
                <a:r>
                  <a:rPr lang="pl-PL"/>
                  <a:t>Czas hodowli</a:t>
                </a:r>
              </a:p>
            </c:rich>
          </c:tx>
          <c:layout>
            <c:manualLayout>
              <c:xMode val="edge"/>
              <c:yMode val="edge"/>
              <c:x val="0.37419433424549381"/>
              <c:y val="0.87774429023849587"/>
            </c:manualLayout>
          </c:layout>
          <c:spPr>
            <a:noFill/>
            <a:ln w="25400">
              <a:noFill/>
            </a:ln>
          </c:spPr>
        </c:title>
        <c:numFmt formatCode="General" sourceLinked="1"/>
        <c:tickLblPos val="low"/>
        <c:spPr>
          <a:ln w="3175">
            <a:solidFill>
              <a:srgbClr val="B3B3B3"/>
            </a:solidFill>
            <a:prstDash val="solid"/>
          </a:ln>
        </c:spPr>
        <c:txPr>
          <a:bodyPr rot="0" vert="horz"/>
          <a:lstStyle/>
          <a:p>
            <a:pPr>
              <a:defRPr sz="800" b="0" i="0" u="none" strike="noStrike" baseline="30000">
                <a:solidFill>
                  <a:srgbClr val="000000"/>
                </a:solidFill>
                <a:latin typeface="Arial"/>
                <a:ea typeface="Arial"/>
                <a:cs typeface="Arial"/>
              </a:defRPr>
            </a:pPr>
            <a:endParaRPr lang="pl-PL"/>
          </a:p>
        </c:txPr>
        <c:crossAx val="85915136"/>
        <c:crosses val="autoZero"/>
        <c:auto val="1"/>
        <c:lblAlgn val="ctr"/>
        <c:lblOffset val="100"/>
        <c:tickLblSkip val="1"/>
        <c:tickMarkSkip val="1"/>
      </c:catAx>
      <c:valAx>
        <c:axId val="85915136"/>
        <c:scaling>
          <c:orientation val="minMax"/>
        </c:scaling>
        <c:axPos val="l"/>
        <c:majorGridlines>
          <c:spPr>
            <a:ln w="3175">
              <a:solidFill>
                <a:srgbClr val="B3B3B3"/>
              </a:solidFill>
              <a:prstDash val="solid"/>
            </a:ln>
          </c:spPr>
        </c:majorGridlines>
        <c:title>
          <c:tx>
            <c:rich>
              <a:bodyPr/>
              <a:lstStyle/>
              <a:p>
                <a:pPr>
                  <a:defRPr sz="900" b="0" i="0" u="none" strike="noStrike" baseline="30000">
                    <a:solidFill>
                      <a:srgbClr val="000000"/>
                    </a:solidFill>
                    <a:latin typeface="Arial"/>
                    <a:ea typeface="Arial"/>
                    <a:cs typeface="Arial"/>
                  </a:defRPr>
                </a:pPr>
                <a:r>
                  <a:rPr lang="pl-PL"/>
                  <a:t>biomasa (mg)</a:t>
                </a:r>
              </a:p>
            </c:rich>
          </c:tx>
          <c:layout>
            <c:manualLayout>
              <c:xMode val="edge"/>
              <c:yMode val="edge"/>
              <c:x val="3.440867441337879E-2"/>
              <c:y val="0.47648975755803896"/>
            </c:manualLayout>
          </c:layout>
          <c:spPr>
            <a:noFill/>
            <a:ln w="25400">
              <a:noFill/>
            </a:ln>
          </c:spPr>
        </c:title>
        <c:numFmt formatCode="General" sourceLinked="1"/>
        <c:tickLblPos val="low"/>
        <c:spPr>
          <a:ln w="3175">
            <a:solidFill>
              <a:srgbClr val="B3B3B3"/>
            </a:solidFill>
            <a:prstDash val="solid"/>
          </a:ln>
        </c:spPr>
        <c:txPr>
          <a:bodyPr rot="0" vert="horz"/>
          <a:lstStyle/>
          <a:p>
            <a:pPr>
              <a:defRPr sz="800" b="0" i="0" u="none" strike="noStrike" baseline="30000">
                <a:solidFill>
                  <a:srgbClr val="000000"/>
                </a:solidFill>
                <a:latin typeface="Arial"/>
                <a:ea typeface="Arial"/>
                <a:cs typeface="Arial"/>
              </a:defRPr>
            </a:pPr>
            <a:endParaRPr lang="pl-PL"/>
          </a:p>
        </c:txPr>
        <c:crossAx val="73493504"/>
        <c:crosses val="autoZero"/>
        <c:crossBetween val="between"/>
      </c:valAx>
      <c:spPr>
        <a:noFill/>
        <a:ln w="3175">
          <a:solidFill>
            <a:srgbClr val="B3B3B3"/>
          </a:solidFill>
          <a:prstDash val="solid"/>
        </a:ln>
      </c:spPr>
    </c:plotArea>
    <c:legend>
      <c:legendPos val="r"/>
      <c:layout>
        <c:manualLayout>
          <c:xMode val="edge"/>
          <c:yMode val="edge"/>
          <c:x val="0.72043162053011811"/>
          <c:y val="0.44827654822894458"/>
          <c:w val="0.26451668455284988"/>
          <c:h val="0.12225724042607602"/>
        </c:manualLayout>
      </c:layout>
      <c:spPr>
        <a:noFill/>
        <a:ln w="25400">
          <a:noFill/>
        </a:ln>
      </c:spPr>
      <c:txPr>
        <a:bodyPr/>
        <a:lstStyle/>
        <a:p>
          <a:pPr>
            <a:defRPr sz="735" b="0" i="0" u="none" strike="noStrike" baseline="30000">
              <a:solidFill>
                <a:srgbClr val="000000"/>
              </a:solidFill>
              <a:latin typeface="Arial"/>
              <a:ea typeface="Arial"/>
              <a:cs typeface="Arial"/>
            </a:defRPr>
          </a:pPr>
          <a:endParaRPr lang="pl-PL"/>
        </a:p>
      </c:txPr>
    </c:legend>
    <c:dispBlanksAs val="gap"/>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719</Words>
  <Characters>4317</Characters>
  <Application>Microsoft Office Word</Application>
  <DocSecurity>0</DocSecurity>
  <Lines>35</Lines>
  <Paragraphs>10</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Edyta</dc:creator>
  <cp:lastModifiedBy>q</cp:lastModifiedBy>
  <cp:revision>2</cp:revision>
  <dcterms:created xsi:type="dcterms:W3CDTF">2010-01-05T19:11:00Z</dcterms:created>
  <dcterms:modified xsi:type="dcterms:W3CDTF">2010-01-05T19:11:00Z</dcterms:modified>
</cp:coreProperties>
</file>