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Vince Paredes is a Chief Data Architect who’s spent his career helping complex education data actually make sense—and work together. With over 20 years in data standards and more than a decade contributing to SIF, he’s been deeply involved in shaping how education systems share and use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He’s led major initiatives, including the development of a national education data model and ontology using semantic web technologies like OWL and RDF. With a background that spans software development, statistics, and research into how people learn, Vince brings both technical depth and real-world perspective to building systems that drive better outcomes.</w:t>
      </w:r>
    </w:p>
    <w:p w:rsidR="00000000" w:rsidDel="00000000" w:rsidP="00000000" w:rsidRDefault="00000000" w:rsidRPr="00000000" w14:paraId="00000004">
      <w:pPr>
        <w:rPr>
          <w:rFonts w:ascii="Trebuchet MS" w:cs="Trebuchet MS" w:eastAsia="Trebuchet MS" w:hAnsi="Trebuchet MS"/>
          <w:b w:val="1"/>
          <w:bCs w:val="1"/>
          <w:color w:val="174e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rebuchet MS" w:cs="Trebuchet MS" w:eastAsia="Trebuchet MS" w:hAnsi="Trebuchet MS"/>
          <w:b w:val="1"/>
          <w:bCs w:val="1"/>
          <w:color w:val="174e8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rebuchet MS" w:cs="Trebuchet MS" w:eastAsia="Trebuchet MS" w:hAnsi="Trebuchet MS"/>
          <w:b w:val="1"/>
          <w:bCs w:val="1"/>
          <w:color w:val="174e86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color w:val="174e86"/>
          <w:rtl w:val="0"/>
        </w:rPr>
        <w:t xml:space="preserve">Vince Paredes</w:t>
      </w:r>
    </w:p>
    <w:p w:rsidR="00000000" w:rsidDel="00000000" w:rsidP="00000000" w:rsidRDefault="00000000" w:rsidRPr="00000000" w14:paraId="00000007">
      <w:pPr>
        <w:rPr>
          <w:rFonts w:ascii="Trebuchet MS" w:cs="Trebuchet MS" w:eastAsia="Trebuchet MS" w:hAnsi="Trebuchet MS"/>
          <w:b w:val="1"/>
          <w:bCs w:val="1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Chief Architect</w:t>
      </w:r>
    </w:p>
    <w:p w:rsidR="00000000" w:rsidDel="00000000" w:rsidP="00000000" w:rsidRDefault="00000000" w:rsidRPr="00000000" w14:paraId="00000008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Bardic Systems Inc.</w:t>
      </w:r>
    </w:p>
    <w:p w:rsidR="00000000" w:rsidDel="00000000" w:rsidP="00000000" w:rsidRDefault="00000000" w:rsidRPr="00000000" w14:paraId="00000009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M (512) 785-7116</w:t>
      </w:r>
    </w:p>
    <w:p w:rsidR="00000000" w:rsidDel="00000000" w:rsidP="00000000" w:rsidRDefault="00000000" w:rsidRPr="00000000" w14:paraId="0000000A">
      <w:pPr>
        <w:rPr>
          <w:rFonts w:ascii="Trebuchet MS" w:cs="Trebuchet MS" w:eastAsia="Trebuchet MS" w:hAnsi="Trebuchet MS"/>
          <w:sz w:val="20"/>
          <w:szCs w:val="20"/>
        </w:rPr>
      </w:pPr>
      <w:r w:rsidDel="00000000" w:rsidR="00000000" w:rsidRPr="00000000">
        <w:rPr>
          <w:rFonts w:ascii="Trebuchet MS" w:cs="Trebuchet MS" w:eastAsia="Trebuchet MS" w:hAnsi="Trebuchet MS"/>
          <w:sz w:val="20"/>
          <w:szCs w:val="20"/>
          <w:rtl w:val="0"/>
        </w:rPr>
        <w:t xml:space="preserve">vince@bardicsystems.com</w:t>
      </w:r>
    </w:p>
    <w:p w:rsidR="00000000" w:rsidDel="00000000" w:rsidP="00000000" w:rsidRDefault="00000000" w:rsidRPr="00000000" w14:paraId="0000000B">
      <w:pPr>
        <w:rPr>
          <w:rFonts w:ascii="Trebuchet MS" w:cs="Trebuchet MS" w:eastAsia="Trebuchet MS" w:hAnsi="Trebuchet MS"/>
          <w:sz w:val="18"/>
          <w:szCs w:val="18"/>
        </w:rPr>
      </w:pPr>
      <w:r w:rsidDel="00000000" w:rsidR="00000000" w:rsidRPr="00000000">
        <w:rPr>
          <w:rFonts w:ascii="Trebuchet MS" w:cs="Trebuchet MS" w:eastAsia="Trebuchet MS" w:hAnsi="Trebuchet MS"/>
          <w:sz w:val="18"/>
          <w:szCs w:val="18"/>
          <w:rtl w:val="0"/>
        </w:rPr>
        <w:t xml:space="preserve">www.bardicsystems.com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4843463" cy="48434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463" cy="4843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