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sz w:val="24"/>
          <w:szCs w:val="24"/>
        </w:rPr>
        <w:t xml:space="preserve">PONTIFÍCIA UNIVERSIDADE CATÓLICA DE MINAS GERAIS</w:t>
      </w:r>
    </w:p>
    <w:p>
      <w:pPr>
        <w:spacing w:after="0" w:line="360"/>
        <w:jc w:val="center"/>
      </w:pPr>
      <w:r>
        <w:rPr>
          <w:rFonts w:ascii="Times New Roman" w:cs="Times New Roman" w:eastAsia="Times New Roman" w:hAnsi="Times New Roman"/>
          <w:sz w:val="24"/>
          <w:szCs w:val="24"/>
        </w:rPr>
        <w:t xml:space="preserve">Programa de Pós-Graduação em Ciências da Religião</w:t>
      </w:r>
    </w:p>
    <w:p>
      <w:pPr>
        <w:spacing w:after="0" w:line="360"/>
        <w:jc w:val="center"/>
      </w:pPr>
      <w:r>
        <w:rPr>
          <w:rFonts w:ascii="Times New Roman" w:cs="Times New Roman" w:eastAsia="Times New Roman" w:hAnsi="Times New Roman"/>
          <w:sz w:val="24"/>
          <w:szCs w:val="24"/>
        </w:rPr>
        <w:t xml:space="preserve">Instituto de Filosofia e Teologia Dom João Resende Costa</w:t>
      </w:r>
    </w:p>
    <w:p>
      <w:pPr>
        <w:spacing w:after="2400" w:line="360"/>
        <w:jc w:val="center"/>
      </w:pPr>
      <w:r>
        <w:rPr>
          <w:rFonts w:ascii="Times New Roman" w:cs="Times New Roman" w:eastAsia="Times New Roman" w:hAnsi="Times New Roman"/>
          <w:sz w:val="24"/>
          <w:szCs w:val="24"/>
        </w:rPr>
        <w:t xml:space="preserve">Campus Coração Eucarístico — Belo Horizonte/MG</w:t>
      </w:r>
    </w:p>
    <w:p>
      <w:pPr>
        <w:spacing w:after="1600"/>
      </w:pPr>
      <w:r>
        <w:t xml:space="preserve"/>
      </w:r>
    </w:p>
    <w:p>
      <w:pPr>
        <w:spacing w:after="2400" w:line="360"/>
        <w:jc w:val="center"/>
      </w:pPr>
      <w:r>
        <w:rPr>
          <w:rFonts w:ascii="Times New Roman" w:cs="Times New Roman" w:eastAsia="Times New Roman" w:hAnsi="Times New Roman"/>
          <w:b/>
          <w:bCs/>
          <w:sz w:val="24"/>
          <w:szCs w:val="24"/>
        </w:rPr>
        <w:t xml:space="preserve">EDUARDO DE SOUZA</w:t>
      </w:r>
    </w:p>
    <w:p>
      <w:pPr>
        <w:spacing w:after="800"/>
      </w:pPr>
      <w:r>
        <w:t xml:space="preserve"/>
      </w:r>
    </w:p>
    <w:p>
      <w:pPr>
        <w:spacing w:after="200" w:before="200"/>
        <w:jc w:val="center"/>
      </w:pPr>
      <w:r>
        <w:rPr>
          <w:rFonts w:ascii="Times New Roman" w:cs="Times New Roman" w:eastAsia="Times New Roman" w:hAnsi="Times New Roman"/>
          <w:b/>
          <w:bCs/>
          <w:sz w:val="24"/>
          <w:szCs w:val="24"/>
        </w:rPr>
        <w:t xml:space="preserve">PRÁTICAS MUSICAIS DE TRADIÇÃO CRISTÃ</w:t>
      </w:r>
    </w:p>
    <w:p>
      <w:pPr>
        <w:spacing w:after="200" w:before="200"/>
        <w:jc w:val="center"/>
      </w:pPr>
      <w:r>
        <w:rPr>
          <w:rFonts w:ascii="Times New Roman" w:cs="Times New Roman" w:eastAsia="Times New Roman" w:hAnsi="Times New Roman"/>
          <w:b/>
          <w:bCs/>
          <w:sz w:val="24"/>
          <w:szCs w:val="24"/>
        </w:rPr>
        <w:t xml:space="preserve">EM CONTEXTOS NÃO-ECLESIAIS:</w:t>
      </w:r>
    </w:p>
    <w:p>
      <w:pPr>
        <w:spacing w:after="200" w:before="200"/>
        <w:jc w:val="center"/>
      </w:pPr>
      <w:r>
        <w:rPr>
          <w:rFonts w:ascii="Times New Roman" w:cs="Times New Roman" w:eastAsia="Times New Roman" w:hAnsi="Times New Roman"/>
          <w:b/>
          <w:bCs/>
          <w:sz w:val="24"/>
          <w:szCs w:val="24"/>
        </w:rPr>
        <w:t xml:space="preserve">GESTÃO, AUTONOMIA E CUIDADO</w:t>
      </w:r>
    </w:p>
    <w:p>
      <w:pPr>
        <w:spacing w:after="200" w:before="200"/>
        <w:jc w:val="center"/>
      </w:pPr>
      <w:r>
        <w:rPr>
          <w:rFonts w:ascii="Times New Roman" w:cs="Times New Roman" w:eastAsia="Times New Roman" w:hAnsi="Times New Roman"/>
          <w:b/>
          <w:bCs/>
          <w:sz w:val="24"/>
          <w:szCs w:val="24"/>
        </w:rPr>
        <w:t xml:space="preserve">EM COLETIVOS BRASILEIROS CONTEMPORÂNEOS</w:t>
      </w:r>
    </w:p>
    <w:p>
      <w:pPr>
        <w:spacing w:after="600"/>
      </w:pPr>
      <w:r>
        <w:t xml:space="preserve"/>
      </w:r>
    </w:p>
    <w:p>
      <w:pPr>
        <w:spacing w:after="0" w:line="360"/>
        <w:jc w:val="center"/>
      </w:pPr>
      <w:r>
        <w:rPr>
          <w:rFonts w:ascii="Times New Roman" w:cs="Times New Roman" w:eastAsia="Times New Roman" w:hAnsi="Times New Roman"/>
          <w:sz w:val="24"/>
          <w:szCs w:val="24"/>
        </w:rPr>
        <w:t xml:space="preserve">Pré-projeto de pesquisa apresentado</w:t>
      </w:r>
    </w:p>
    <w:p>
      <w:pPr>
        <w:spacing w:after="0" w:line="360"/>
        <w:jc w:val="center"/>
      </w:pPr>
      <w:r>
        <w:rPr>
          <w:rFonts w:ascii="Times New Roman" w:cs="Times New Roman" w:eastAsia="Times New Roman" w:hAnsi="Times New Roman"/>
          <w:sz w:val="24"/>
          <w:szCs w:val="24"/>
        </w:rPr>
        <w:t xml:space="preserve">ao Programa de Pós-Graduação em Ciências da Religião</w:t>
      </w:r>
    </w:p>
    <w:p>
      <w:pPr>
        <w:spacing w:after="0" w:line="360"/>
        <w:jc w:val="center"/>
      </w:pPr>
      <w:r>
        <w:rPr>
          <w:rFonts w:ascii="Times New Roman" w:cs="Times New Roman" w:eastAsia="Times New Roman" w:hAnsi="Times New Roman"/>
          <w:sz w:val="24"/>
          <w:szCs w:val="24"/>
        </w:rPr>
        <w:t xml:space="preserve">da Pontifícia Universidade Católica de Minas Gerais</w:t>
      </w:r>
    </w:p>
    <w:p>
      <w:pPr>
        <w:spacing w:after="0" w:line="360"/>
        <w:jc w:val="center"/>
      </w:pPr>
      <w:r>
        <w:rPr>
          <w:rFonts w:ascii="Times New Roman" w:cs="Times New Roman" w:eastAsia="Times New Roman" w:hAnsi="Times New Roman"/>
          <w:sz w:val="24"/>
          <w:szCs w:val="24"/>
        </w:rPr>
        <w:t xml:space="preserve">como requisito parcial para o processo seletivo</w:t>
      </w:r>
    </w:p>
    <w:p>
      <w:pPr>
        <w:spacing w:after="1600" w:line="360"/>
        <w:jc w:val="center"/>
      </w:pPr>
      <w:r>
        <w:rPr>
          <w:rFonts w:ascii="Times New Roman" w:cs="Times New Roman" w:eastAsia="Times New Roman" w:hAnsi="Times New Roman"/>
          <w:sz w:val="24"/>
          <w:szCs w:val="24"/>
        </w:rPr>
        <w:t xml:space="preserve">de ingresso no curso de Doutorado em Ciências da Religião.</w:t>
      </w:r>
    </w:p>
    <w:p>
      <w:pPr>
        <w:spacing w:after="1200"/>
      </w:pPr>
      <w:r>
        <w:t xml:space="preserve"/>
      </w:r>
    </w:p>
    <w:p>
      <w:pPr>
        <w:spacing w:after="0" w:line="360"/>
        <w:jc w:val="center"/>
      </w:pPr>
      <w:r>
        <w:rPr>
          <w:rFonts w:ascii="Times New Roman" w:cs="Times New Roman" w:eastAsia="Times New Roman" w:hAnsi="Times New Roman"/>
          <w:sz w:val="24"/>
          <w:szCs w:val="24"/>
        </w:rPr>
        <w:t xml:space="preserve">Belo Horizonte</w:t>
      </w:r>
    </w:p>
    <w:p>
      <w:pPr>
        <w:spacing w:after="0" w:line="360"/>
        <w:jc w:val="center"/>
      </w:pPr>
      <w:r>
        <w:rPr>
          <w:rFonts w:ascii="Times New Roman" w:cs="Times New Roman" w:eastAsia="Times New Roman" w:hAnsi="Times New Roman"/>
          <w:sz w:val="24"/>
          <w:szCs w:val="24"/>
        </w:rPr>
        <w:t xml:space="preserve">2026</w:t>
      </w:r>
    </w:p>
    <w:p>
      <w:pPr>
        <w:pageBreakBefore/>
      </w:pPr>
      <w:r>
        <w:br/>
        <w:br/>
        <w:t xml:space="preserve"/>
      </w:r>
    </w:p>
    <w:p>
      <w:pPr>
        <w:pStyle w:val="Heading1"/>
        <w:spacing w:after="240" w:before="480"/>
        <w:jc w:val="left"/>
      </w:pPr>
      <w:r>
        <w:rPr>
          <w:rFonts w:ascii="Times New Roman" w:cs="Times New Roman" w:eastAsia="Times New Roman" w:hAnsi="Times New Roman"/>
          <w:b/>
          <w:bCs/>
          <w:sz w:val="24"/>
          <w:szCs w:val="24"/>
        </w:rPr>
        <w:t xml:space="preserve"> SUMÁRIO</w:t>
      </w:r>
    </w:p>
    <w:p>
      <w:pPr>
        <w:spacing w:after="0" w:line="360"/>
        <w:jc w:val="both"/>
      </w:pPr>
      <w:r>
        <w:rPr>
          <w:rFonts w:ascii="Times New Roman" w:cs="Times New Roman" w:eastAsia="Times New Roman" w:hAnsi="Times New Roman"/>
          <w:sz w:val="24"/>
          <w:szCs w:val="24"/>
        </w:rPr>
        <w:t xml:space="preserve">1 APRESENTAÇÃO E DELIMITAÇÃO DO TEMA ............................................................. 3</w:t>
      </w:r>
    </w:p>
    <w:p>
      <w:pPr>
        <w:spacing w:after="0" w:line="360"/>
        <w:jc w:val="both"/>
      </w:pPr>
      <w:r>
        <w:rPr>
          <w:rFonts w:ascii="Times New Roman" w:cs="Times New Roman" w:eastAsia="Times New Roman" w:hAnsi="Times New Roman"/>
          <w:sz w:val="24"/>
          <w:szCs w:val="24"/>
        </w:rPr>
        <w:t xml:space="preserve">2 PROBLEMA DE PESQUISA ............................................................................................ 5</w:t>
      </w:r>
    </w:p>
    <w:p>
      <w:pPr>
        <w:spacing w:after="0" w:line="360"/>
        <w:jc w:val="both"/>
      </w:pPr>
      <w:r>
        <w:rPr>
          <w:rFonts w:ascii="Times New Roman" w:cs="Times New Roman" w:eastAsia="Times New Roman" w:hAnsi="Times New Roman"/>
          <w:sz w:val="24"/>
          <w:szCs w:val="24"/>
        </w:rPr>
        <w:t xml:space="preserve">3 HIPÓTESES DE TRABALHO .......................................................................................... 7</w:t>
      </w:r>
    </w:p>
    <w:p>
      <w:pPr>
        <w:spacing w:after="0" w:line="360"/>
        <w:jc w:val="both"/>
      </w:pPr>
      <w:r>
        <w:rPr>
          <w:rFonts w:ascii="Times New Roman" w:cs="Times New Roman" w:eastAsia="Times New Roman" w:hAnsi="Times New Roman"/>
          <w:sz w:val="24"/>
          <w:szCs w:val="24"/>
        </w:rPr>
        <w:t xml:space="preserve">4 OBJETIVOS ....................................................................................................................... 8</w:t>
      </w:r>
    </w:p>
    <w:p>
      <w:pPr>
        <w:spacing w:after="0" w:line="360"/>
        <w:jc w:val="both"/>
      </w:pPr>
      <w:r>
        <w:rPr>
          <w:rFonts w:ascii="Times New Roman" w:cs="Times New Roman" w:eastAsia="Times New Roman" w:hAnsi="Times New Roman"/>
          <w:sz w:val="24"/>
          <w:szCs w:val="24"/>
        </w:rPr>
        <w:t xml:space="preserve">5 JUSTIFICATIVA ............................................................................................................... 9</w:t>
      </w:r>
    </w:p>
    <w:p>
      <w:pPr>
        <w:spacing w:after="0" w:line="360"/>
        <w:jc w:val="both"/>
      </w:pPr>
      <w:r>
        <w:rPr>
          <w:rFonts w:ascii="Times New Roman" w:cs="Times New Roman" w:eastAsia="Times New Roman" w:hAnsi="Times New Roman"/>
          <w:sz w:val="24"/>
          <w:szCs w:val="24"/>
        </w:rPr>
        <w:t xml:space="preserve">6 FUNDAMENTAÇÃO TEÓRICA PRELIMINAR ............................................................ 11</w:t>
      </w:r>
    </w:p>
    <w:p>
      <w:pPr>
        <w:spacing w:after="0" w:line="360"/>
        <w:jc w:val="both"/>
      </w:pPr>
      <w:r>
        <w:rPr>
          <w:rFonts w:ascii="Times New Roman" w:cs="Times New Roman" w:eastAsia="Times New Roman" w:hAnsi="Times New Roman"/>
          <w:sz w:val="24"/>
          <w:szCs w:val="24"/>
        </w:rPr>
        <w:t xml:space="preserve">7 METODOLOGIA ............................................................................................................. 14</w:t>
      </w:r>
    </w:p>
    <w:p>
      <w:pPr>
        <w:spacing w:after="0" w:line="360"/>
        <w:jc w:val="both"/>
      </w:pPr>
      <w:r>
        <w:rPr>
          <w:rFonts w:ascii="Times New Roman" w:cs="Times New Roman" w:eastAsia="Times New Roman" w:hAnsi="Times New Roman"/>
          <w:sz w:val="24"/>
          <w:szCs w:val="24"/>
        </w:rPr>
        <w:t xml:space="preserve">8 CRONOGRAMA .............................................................................................................. 16</w:t>
      </w:r>
    </w:p>
    <w:p>
      <w:pPr>
        <w:spacing w:after="0" w:line="360"/>
        <w:jc w:val="both"/>
      </w:pPr>
      <w:r>
        <w:rPr>
          <w:rFonts w:ascii="Times New Roman" w:cs="Times New Roman" w:eastAsia="Times New Roman" w:hAnsi="Times New Roman"/>
          <w:sz w:val="24"/>
          <w:szCs w:val="24"/>
        </w:rPr>
        <w:t xml:space="preserve">REFERÊNCIAS .................................................................................................................... 17</w:t>
      </w:r>
    </w:p>
    <w:p>
      <w:pPr>
        <w:pageBreakBefore/>
      </w:pPr>
      <w:r>
        <w:br/>
        <w:br/>
        <w:t xml:space="preserve"/>
      </w:r>
    </w:p>
    <w:p>
      <w:pPr>
        <w:pStyle w:val="Heading1"/>
        <w:spacing w:after="240" w:before="480"/>
        <w:jc w:val="left"/>
      </w:pPr>
      <w:r>
        <w:rPr>
          <w:rFonts w:ascii="Times New Roman" w:cs="Times New Roman" w:eastAsia="Times New Roman" w:hAnsi="Times New Roman"/>
          <w:b/>
          <w:bCs/>
          <w:sz w:val="24"/>
          <w:szCs w:val="24"/>
        </w:rPr>
        <w:t xml:space="preserve">1 APRESENTAÇÃO E DELIMITAÇÃO DO TEMA</w:t>
      </w:r>
    </w:p>
    <w:p>
      <w:pPr>
        <w:spacing w:after="0" w:line="360"/>
        <w:ind w:firstLine="720"/>
        <w:jc w:val="both"/>
      </w:pPr>
      <w:r>
        <w:rPr>
          <w:rFonts w:ascii="Times New Roman" w:cs="Times New Roman" w:eastAsia="Times New Roman" w:hAnsi="Times New Roman"/>
          <w:sz w:val="24"/>
          <w:szCs w:val="24"/>
        </w:rPr>
        <w:t xml:space="preserve">O presente pré-projeto propõe uma investigação de doutorado sobre as práticas musicais de tradição cristã que se desenvolvem, no Brasil contemporâneo, fora das estruturas eclesiais formais — isto é, em coletivos, redes e espaços onde músicos e ouvintes mobilizam repertório musical de raiz cristã (hinos, Salmos, espirituais, cânticos litúrgicos, música sacra) sem mediação institucional de igreja específica, sem submissão a autoridade pastoral denominacional e sem vinculação orgânica a corpo eclesiástico. Esse fenômeno, crescente nas últimas duas décadas em decorrência de mudanças no campo religioso brasileiro, configura objeto sociocultural ainda pouco estudado em sua dimensão de gestão — isto é, em sua dimensão organizacional, econômica, autoral e comunitária.</w:t>
      </w:r>
    </w:p>
    <w:p>
      <w:pPr>
        <w:spacing w:after="0" w:line="360"/>
        <w:ind w:firstLine="720"/>
        <w:jc w:val="both"/>
      </w:pPr>
      <w:r>
        <w:rPr>
          <w:rFonts w:ascii="Times New Roman" w:cs="Times New Roman" w:eastAsia="Times New Roman" w:hAnsi="Times New Roman"/>
          <w:sz w:val="24"/>
          <w:szCs w:val="24"/>
        </w:rPr>
        <w:t xml:space="preserve">A investigação parte da hipótese de que esses coletivos não constituem apenas resíduo ou continuação enfraquecida das práticas musicais eclesiais tradicionais, mas configuram uma forma própria de organização da experiência musical-religiosa, com lógicas administrativas, autorais e comunitárias específicas que merecem descrição e análise sistemáticas. Compreender como esses coletivos se autogerem, como definem repertório, como financiam suas atividades, como resolvem questões de autoridade e como articulam dimensões artísticas e espirituais constitui contribuição relevante tanto para os estudos de religião no Brasil quanto para os debates sobre laicidade, secularização e novas formas de espiritualidade.</w:t>
      </w:r>
    </w:p>
    <w:p>
      <w:pPr>
        <w:spacing w:after="0" w:line="360"/>
        <w:ind w:firstLine="720"/>
        <w:jc w:val="both"/>
      </w:pPr>
      <w:r>
        <w:rPr>
          <w:rFonts w:ascii="Times New Roman" w:cs="Times New Roman" w:eastAsia="Times New Roman" w:hAnsi="Times New Roman"/>
          <w:sz w:val="24"/>
          <w:szCs w:val="24"/>
        </w:rPr>
        <w:t xml:space="preserve">O pesquisador chega a esta proposta a partir de trajetória plural que articula formação técnica e artística. Mestre em Engenharia Elétrica pela Pontifícia Universidade Católica de Minas Gerais (2018), com dissertação intitulada "Projeto Ótimo de uma Antena Patch com Metamaterial", catalogada na Biblioteca da PUC Minas sob CDU 621.396.67, e com artigo correlato publicado nos anais da 21st International Conference on the Computation of Electromagnetic Fields (COMPUMAG 2017), realizada em Daejeon, Coreia do Sul. Licenciado em Educação Artística com habilitação em Música pela Faculdade Mozarteum de São Paulo (FAMOSP, 2024), diploma registrado pela Universidade Cruzeiro do Sul sob nº 263, livro 2-FAMOSP, folha 155, em 21/06/2024. Atualmente, atua como professor concursado da rede municipal de ensino de Contagem/MG, com prática docente continuada em música na educação básica.</w:t>
      </w:r>
    </w:p>
    <w:p>
      <w:pPr>
        <w:spacing w:after="0" w:line="360"/>
        <w:ind w:firstLine="720"/>
        <w:jc w:val="both"/>
      </w:pPr>
      <w:r>
        <w:rPr>
          <w:rFonts w:ascii="Times New Roman" w:cs="Times New Roman" w:eastAsia="Times New Roman" w:hAnsi="Times New Roman"/>
          <w:sz w:val="24"/>
          <w:szCs w:val="24"/>
        </w:rPr>
        <w:t xml:space="preserve">Essa trajetória dupla — engenharia e música, ofício técnico e arte — confere ao pesquisador uma posição peculiar para abordar o objeto proposto. A pesquisa não nasce, portanto, de inserção exclusivamente teórica no campo, mas combina familiaridade prática com a música (incluindo música de tradição cristã) e disposição metodológica para o trabalho de campo e a análise sistemática. A vivência familiar do pesquisador na música — herança recebida do pai Izaias Maciel, músico em atividade, que apresentou-se em escolas durante a infância do autor — fornece base experiencial que precede e sustenta a investigação acadêmica aqui proposta.</w:t>
      </w:r>
    </w:p>
    <w:p>
      <w:pPr>
        <w:pStyle w:val="Heading1"/>
        <w:spacing w:after="240" w:before="480"/>
        <w:jc w:val="left"/>
      </w:pPr>
      <w:r>
        <w:rPr>
          <w:rFonts w:ascii="Times New Roman" w:cs="Times New Roman" w:eastAsia="Times New Roman" w:hAnsi="Times New Roman"/>
          <w:b/>
          <w:bCs/>
          <w:sz w:val="24"/>
          <w:szCs w:val="24"/>
        </w:rPr>
        <w:t xml:space="preserve">2 PROBLEMA DE PESQUISA</w:t>
      </w:r>
    </w:p>
    <w:p>
      <w:pPr>
        <w:spacing w:after="0" w:line="360"/>
        <w:ind w:firstLine="720"/>
        <w:jc w:val="both"/>
      </w:pPr>
      <w:r>
        <w:rPr>
          <w:rFonts w:ascii="Times New Roman" w:cs="Times New Roman" w:eastAsia="Times New Roman" w:hAnsi="Times New Roman"/>
          <w:sz w:val="24"/>
          <w:szCs w:val="24"/>
        </w:rPr>
        <w:t xml:space="preserve">O cenário religioso brasileiro contemporâneo apresenta transformações significativas que vão além do simples crescimento ou declínio de denominações específicas. Dados do Censo demográfico mais recente, somados a pesquisas como as do Datafolha e do Pew Research Center, indicam aumento expressivo das categorias "sem religião", "crente sem igreja" e "religião própria" — categorias que designam sujeitos que mantêm afiliação subjetiva a tradições religiosas, particularmente a cristã, sem participação ativa em comunidade eclesial específica.</w:t>
      </w:r>
    </w:p>
    <w:p>
      <w:pPr>
        <w:spacing w:after="0" w:line="360"/>
        <w:ind w:firstLine="720"/>
        <w:jc w:val="both"/>
      </w:pPr>
      <w:r>
        <w:rPr>
          <w:rFonts w:ascii="Times New Roman" w:cs="Times New Roman" w:eastAsia="Times New Roman" w:hAnsi="Times New Roman"/>
          <w:sz w:val="24"/>
          <w:szCs w:val="24"/>
        </w:rPr>
        <w:t xml:space="preserve">Esses sujeitos, contudo, não abandonam necessariamente as práticas religiosas que herdaram. Em particular, a prática musical de tradição cristã continua a ocorrer entre eles, ainda que reconfigurada: cantam Salmos em encontros familiares, organizam corais comunitários sem patrocínio eclesial, gravam interpretações de hinos em plataformas digitais, mantêm grupos de estudo bíblico-musical em escolas públicas e ONGs, formam coletivos artísticos que mobilizam estética sacra sem afiliação institucional. Esse fenômeno, observável empiricamente em grandes centros urbanos brasileiros, configura o objeto de investigação deste pré-projeto.</w:t>
      </w:r>
    </w:p>
    <w:p>
      <w:pPr>
        <w:spacing w:after="0" w:line="360"/>
        <w:ind w:firstLine="720"/>
        <w:jc w:val="both"/>
      </w:pPr>
      <w:r>
        <w:rPr>
          <w:rFonts w:ascii="Times New Roman" w:cs="Times New Roman" w:eastAsia="Times New Roman" w:hAnsi="Times New Roman"/>
          <w:sz w:val="24"/>
          <w:szCs w:val="24"/>
        </w:rPr>
        <w:t xml:space="preserve">O problema central pode ser formulado nos seguintes termos:</w:t>
      </w:r>
    </w:p>
    <w:p>
      <w:pPr>
        <w:spacing w:after="240" w:before="240" w:line="240"/>
        <w:ind w:left="2400"/>
        <w:jc w:val="both"/>
      </w:pPr>
      <w:r>
        <w:rPr>
          <w:rFonts w:ascii="Times New Roman" w:cs="Times New Roman" w:eastAsia="Times New Roman" w:hAnsi="Times New Roman"/>
          <w:sz w:val="20"/>
          <w:szCs w:val="20"/>
        </w:rPr>
        <w:t xml:space="preserve">Como se organizam, em sua dimensão de gestão, as práticas musicais de tradição cristã que se desenvolvem no Brasil contemporâneo em contextos não-eclesiais — isto é, sem mediação de igreja específica, sem submissão a autoridade pastoral denominacional e sem vinculação orgânica a corpo eclesiástico —, e que tipos de articulação entre autonomia subjetiva, dimensão comunitária e função de cuidado podem ser identificados nesses coletivos?</w:t>
      </w:r>
    </w:p>
    <w:p>
      <w:pPr>
        <w:spacing w:after="0" w:line="360"/>
        <w:ind w:firstLine="720"/>
        <w:jc w:val="both"/>
      </w:pPr>
      <w:r>
        <w:rPr>
          <w:rFonts w:ascii="Times New Roman" w:cs="Times New Roman" w:eastAsia="Times New Roman" w:hAnsi="Times New Roman"/>
          <w:sz w:val="24"/>
          <w:szCs w:val="24"/>
        </w:rPr>
        <w:t xml:space="preserve">Deste problema central derivam questões secundárias: que mecanismos esses coletivos desenvolvem para definição de repertório, dado que não contam com lecionário litúrgico institucional? Como se sustentam economicamente — por trabalho voluntário, doações, plataformas digitais, contratos artísticos? Como resolvem questões de autoridade interpretativa, dado que não há figura pastoral institucional para arbitrar disputas? Que critérios usam para incluir ou excluir participantes? Em que medida essas práticas musicais cumprem, para seus integrantes, função de cuidado análoga à descrita pela tradição musicoterapêutica e pela própria narrativa bíblica de Davi tocando para Saul (1 Samuel 16)?</w:t>
      </w:r>
    </w:p>
    <w:p>
      <w:pPr>
        <w:pStyle w:val="Heading1"/>
        <w:spacing w:after="240" w:before="480"/>
        <w:jc w:val="left"/>
      </w:pPr>
      <w:r>
        <w:rPr>
          <w:rFonts w:ascii="Times New Roman" w:cs="Times New Roman" w:eastAsia="Times New Roman" w:hAnsi="Times New Roman"/>
          <w:b/>
          <w:bCs/>
          <w:sz w:val="24"/>
          <w:szCs w:val="24"/>
        </w:rPr>
        <w:t xml:space="preserve">3 HIPÓTESES DE TRABALHO</w:t>
      </w:r>
    </w:p>
    <w:p>
      <w:pPr>
        <w:spacing w:after="0" w:line="360"/>
        <w:ind w:firstLine="720"/>
        <w:jc w:val="both"/>
      </w:pPr>
      <w:r>
        <w:rPr>
          <w:rFonts w:ascii="Times New Roman" w:cs="Times New Roman" w:eastAsia="Times New Roman" w:hAnsi="Times New Roman"/>
          <w:sz w:val="24"/>
          <w:szCs w:val="24"/>
        </w:rPr>
        <w:t xml:space="preserve">A pesquisa parte de três hipóteses articuladas:</w:t>
      </w:r>
    </w:p>
    <w:p>
      <w:pPr>
        <w:spacing w:after="0" w:line="360"/>
        <w:ind w:firstLine="720"/>
        <w:jc w:val="both"/>
      </w:pPr>
      <w:r>
        <w:rPr>
          <w:rFonts w:ascii="Times New Roman" w:cs="Times New Roman" w:eastAsia="Times New Roman" w:hAnsi="Times New Roman"/>
          <w:sz w:val="24"/>
          <w:szCs w:val="24"/>
        </w:rPr>
        <w:t xml:space="preserve">Hipótese 1 — Os coletivos musicais de tradição cristã em contextos não-eclesiais no Brasil contemporâneo desenvolvem formas próprias de gestão que não derivam diretamente das estruturas eclesiais tradicionais, mas que tampouco se confundem com formas seculares de gestão artística (orquestras profissionais, coletivos artísticos não religiosos). Configuram, portanto, modelo organizacional híbrido, com lógicas próprias a serem descritas.</w:t>
      </w:r>
    </w:p>
    <w:p>
      <w:pPr>
        <w:spacing w:after="0" w:line="360"/>
        <w:ind w:firstLine="720"/>
        <w:jc w:val="both"/>
      </w:pPr>
      <w:r>
        <w:rPr>
          <w:rFonts w:ascii="Times New Roman" w:cs="Times New Roman" w:eastAsia="Times New Roman" w:hAnsi="Times New Roman"/>
          <w:sz w:val="24"/>
          <w:szCs w:val="24"/>
        </w:rPr>
        <w:t xml:space="preserve">Hipótese 2 — Nesses coletivos, a dimensão de cuidado — terapêutica, espiritual, comunitária — opera de modo central e estruturante, e não apenas como efeito colateral da prática musical. A música, nesses contextos, é simultaneamente expressão estética, prática espiritual e instância de cuidado mútuo, e essas três dimensões só podem ser compreendidas em sua articulação, não isoladamente.</w:t>
      </w:r>
    </w:p>
    <w:p>
      <w:pPr>
        <w:spacing w:after="0" w:line="360"/>
        <w:ind w:firstLine="720"/>
        <w:jc w:val="both"/>
      </w:pPr>
      <w:r>
        <w:rPr>
          <w:rFonts w:ascii="Times New Roman" w:cs="Times New Roman" w:eastAsia="Times New Roman" w:hAnsi="Times New Roman"/>
          <w:sz w:val="24"/>
          <w:szCs w:val="24"/>
        </w:rPr>
        <w:t xml:space="preserve">Hipótese 3 — A categoria do "não-pertencimento institucional" não deve ser lida como ausência ou carência, mas como modo positivo de organização da experiência religioso-musical, com seus próprios princípios, suas próprias tensões e seus próprios efeitos sobre os sujeitos envolvidos. O não-pertencimento é, nesse sentido, modalidade ativa de relação com a tradição, e não simples afastamento dela.</w:t>
      </w:r>
    </w:p>
    <w:p>
      <w:pPr>
        <w:pStyle w:val="Heading1"/>
        <w:spacing w:after="240" w:before="480"/>
        <w:jc w:val="left"/>
      </w:pPr>
      <w:r>
        <w:rPr>
          <w:rFonts w:ascii="Times New Roman" w:cs="Times New Roman" w:eastAsia="Times New Roman" w:hAnsi="Times New Roman"/>
          <w:b/>
          <w:bCs/>
          <w:sz w:val="24"/>
          <w:szCs w:val="24"/>
        </w:rPr>
        <w:t xml:space="preserve">4 OBJETIVOS</w:t>
      </w:r>
    </w:p>
    <w:p>
      <w:pPr>
        <w:pStyle w:val="Heading2"/>
        <w:spacing w:after="200" w:before="360"/>
        <w:jc w:val="left"/>
      </w:pPr>
      <w:r>
        <w:rPr>
          <w:rFonts w:ascii="Times New Roman" w:cs="Times New Roman" w:eastAsia="Times New Roman" w:hAnsi="Times New Roman"/>
          <w:b/>
          <w:bCs/>
          <w:sz w:val="24"/>
          <w:szCs w:val="24"/>
        </w:rPr>
        <w:t xml:space="preserve">4.1 Objetivo geral</w:t>
      </w:r>
    </w:p>
    <w:p>
      <w:pPr>
        <w:spacing w:after="0" w:line="360"/>
        <w:ind w:firstLine="720"/>
        <w:jc w:val="both"/>
      </w:pPr>
      <w:r>
        <w:rPr>
          <w:rFonts w:ascii="Times New Roman" w:cs="Times New Roman" w:eastAsia="Times New Roman" w:hAnsi="Times New Roman"/>
          <w:sz w:val="24"/>
          <w:szCs w:val="24"/>
        </w:rPr>
        <w:t xml:space="preserve">Investigar, sob perspectiva interdisciplinar das Ciências da Religião, as práticas musicais de tradição cristã que ocorrem em contextos não-eclesiais no Brasil contemporâneo, com foco em suas formas de gestão, em suas dinâmicas de autonomia subjetiva e comunitária, e em suas funções de cuidado, contribuindo para a compreensão das transformações do campo religioso brasileiro nas duas primeiras décadas do século XXI.</w:t>
      </w:r>
    </w:p>
    <w:p>
      <w:pPr>
        <w:pStyle w:val="Heading2"/>
        <w:spacing w:after="200" w:before="360"/>
        <w:jc w:val="left"/>
      </w:pPr>
      <w:r>
        <w:rPr>
          <w:rFonts w:ascii="Times New Roman" w:cs="Times New Roman" w:eastAsia="Times New Roman" w:hAnsi="Times New Roman"/>
          <w:b/>
          <w:bCs/>
          <w:sz w:val="24"/>
          <w:szCs w:val="24"/>
        </w:rPr>
        <w:t xml:space="preserve">4.2 Objetivos específicos</w:t>
      </w:r>
    </w:p>
    <w:p>
      <w:pPr>
        <w:spacing w:after="0" w:line="360"/>
        <w:ind w:firstLine="720"/>
        <w:jc w:val="both"/>
      </w:pPr>
      <w:r>
        <w:rPr>
          <w:rFonts w:ascii="Times New Roman" w:cs="Times New Roman" w:eastAsia="Times New Roman" w:hAnsi="Times New Roman"/>
          <w:sz w:val="24"/>
          <w:szCs w:val="24"/>
        </w:rPr>
        <w:t xml:space="preserve">a) Mapear, em pelo menos duas cidades de Minas Gerais (Belo Horizonte e região metropolitana), coletivos musicais de tradição cristã que operem em contextos não-eclesiais, identificando suas formas básicas de organização.</w:t>
      </w:r>
    </w:p>
    <w:p>
      <w:pPr>
        <w:spacing w:after="0" w:line="360"/>
        <w:ind w:firstLine="720"/>
        <w:jc w:val="both"/>
      </w:pPr>
      <w:r>
        <w:rPr>
          <w:rFonts w:ascii="Times New Roman" w:cs="Times New Roman" w:eastAsia="Times New Roman" w:hAnsi="Times New Roman"/>
          <w:sz w:val="24"/>
          <w:szCs w:val="24"/>
        </w:rPr>
        <w:t xml:space="preserve">b) Realizar pesquisa de campo em três a cinco coletivos selecionados, por meio de observação participante, entrevistas semiestruturadas com integrantes e análise documental de seus registros administrativos e artísticos.</w:t>
      </w:r>
    </w:p>
    <w:p>
      <w:pPr>
        <w:spacing w:after="0" w:line="360"/>
        <w:ind w:firstLine="720"/>
        <w:jc w:val="both"/>
      </w:pPr>
      <w:r>
        <w:rPr>
          <w:rFonts w:ascii="Times New Roman" w:cs="Times New Roman" w:eastAsia="Times New Roman" w:hAnsi="Times New Roman"/>
          <w:sz w:val="24"/>
          <w:szCs w:val="24"/>
        </w:rPr>
        <w:t xml:space="preserve">c) Descrever e analisar as formas de gestão identificadas, comparando-as tanto com modelos eclesiais tradicionais quanto com modelos seculares de gestão artística.</w:t>
      </w:r>
    </w:p>
    <w:p>
      <w:pPr>
        <w:spacing w:after="0" w:line="360"/>
        <w:ind w:firstLine="720"/>
        <w:jc w:val="both"/>
      </w:pPr>
      <w:r>
        <w:rPr>
          <w:rFonts w:ascii="Times New Roman" w:cs="Times New Roman" w:eastAsia="Times New Roman" w:hAnsi="Times New Roman"/>
          <w:sz w:val="24"/>
          <w:szCs w:val="24"/>
        </w:rPr>
        <w:t xml:space="preserve">d) Analisar como a dimensão de cuidado (estética, espiritual e comunitária) opera nesses coletivos, mobilizando o referencial da tradição musicoterapêutica e dos estudos sobre religião e bem-estar.</w:t>
      </w:r>
    </w:p>
    <w:p>
      <w:pPr>
        <w:spacing w:after="0" w:line="360"/>
        <w:ind w:firstLine="720"/>
        <w:jc w:val="both"/>
      </w:pPr>
      <w:r>
        <w:rPr>
          <w:rFonts w:ascii="Times New Roman" w:cs="Times New Roman" w:eastAsia="Times New Roman" w:hAnsi="Times New Roman"/>
          <w:sz w:val="24"/>
          <w:szCs w:val="24"/>
        </w:rPr>
        <w:t xml:space="preserve">e) Discutir o significado teórico do fenômeno do não-pertencimento institucional para os estudos das Ciências da Religião, particularmente para o debate sobre secularização, espiritualidade contemporânea e laicidade.</w:t>
      </w:r>
    </w:p>
    <w:p>
      <w:pPr>
        <w:spacing w:after="0" w:line="360"/>
        <w:ind w:firstLine="720"/>
        <w:jc w:val="both"/>
      </w:pPr>
      <w:r>
        <w:rPr>
          <w:rFonts w:ascii="Times New Roman" w:cs="Times New Roman" w:eastAsia="Times New Roman" w:hAnsi="Times New Roman"/>
          <w:sz w:val="24"/>
          <w:szCs w:val="24"/>
        </w:rPr>
        <w:t xml:space="preserve">f) Produzir tese de doutorado que articule resultados empíricos e contribuição teórica, com publicação derivada em pelo menos dois periódicos Qualis A4-B1 e apresentação em congressos da área (SOTER, ANPTECRE, eventualmente ABEM).</w:t>
      </w:r>
    </w:p>
    <w:p>
      <w:pPr>
        <w:pStyle w:val="Heading1"/>
        <w:spacing w:after="240" w:before="480"/>
        <w:jc w:val="left"/>
      </w:pPr>
      <w:r>
        <w:rPr>
          <w:rFonts w:ascii="Times New Roman" w:cs="Times New Roman" w:eastAsia="Times New Roman" w:hAnsi="Times New Roman"/>
          <w:b/>
          <w:bCs/>
          <w:sz w:val="24"/>
          <w:szCs w:val="24"/>
        </w:rPr>
        <w:t xml:space="preserve">5 JUSTIFICATIVA</w:t>
      </w:r>
    </w:p>
    <w:p>
      <w:pPr>
        <w:spacing w:after="0" w:line="360"/>
        <w:ind w:firstLine="720"/>
        <w:jc w:val="both"/>
      </w:pPr>
      <w:r>
        <w:rPr>
          <w:rFonts w:ascii="Times New Roman" w:cs="Times New Roman" w:eastAsia="Times New Roman" w:hAnsi="Times New Roman"/>
          <w:sz w:val="24"/>
          <w:szCs w:val="24"/>
        </w:rPr>
        <w:t xml:space="preserve">A pesquisa proposta justifica-se em quatro frentes complementares.</w:t>
      </w:r>
    </w:p>
    <w:p>
      <w:pPr>
        <w:spacing w:after="0" w:line="360"/>
        <w:ind w:firstLine="720"/>
        <w:jc w:val="both"/>
      </w:pPr>
      <w:r>
        <w:rPr>
          <w:rFonts w:ascii="Times New Roman" w:cs="Times New Roman" w:eastAsia="Times New Roman" w:hAnsi="Times New Roman"/>
          <w:sz w:val="24"/>
          <w:szCs w:val="24"/>
        </w:rPr>
        <w:t xml:space="preserve">Do ponto de vista acadêmico, contribui para o adensamento de literatura ainda escassa no Brasil sobre a intersecção entre estudos da religião, etnomusicologia e estudos da gestão cultural. A maior parte da literatura sobre música religiosa brasileira concentra-se ou na música eclesial institucional (música litúrgica católica, música evangélica congregacional) ou na música religiosa de matriz afro-brasileira (candomblé, umbanda). O território intermediário aqui proposto — música de tradição cristã praticada por sujeitos não institucionalmente vinculados — permanece pouco explorado, apesar de sua relevância empírica crescente.</w:t>
      </w:r>
    </w:p>
    <w:p>
      <w:pPr>
        <w:spacing w:after="0" w:line="360"/>
        <w:ind w:firstLine="720"/>
        <w:jc w:val="both"/>
      </w:pPr>
      <w:r>
        <w:rPr>
          <w:rFonts w:ascii="Times New Roman" w:cs="Times New Roman" w:eastAsia="Times New Roman" w:hAnsi="Times New Roman"/>
          <w:sz w:val="24"/>
          <w:szCs w:val="24"/>
        </w:rPr>
        <w:t xml:space="preserve">Do ponto de vista do campo das Ciências da Religião, a pesquisa oferece estudo de caso privilegiado para os debates contemporâneos sobre secularização, individualização religiosa e novas formas de espiritualidade. As teorias clássicas da secularização (Berger, Wilson) e suas revisões mais recentes (Casanova, Hervieu-Léger) ganham, com a investigação de práticas concretas como as aqui propostas, base empírica para discussão. O PPG Ciências da Religião da PUC Minas, com sua tradição interdisciplinar e seu vínculo histórico com o Instituto de Filosofia e Teologia Dom João Resende Costa, oferece ambiente especialmente adequado para esse tipo de investigação.</w:t>
      </w:r>
    </w:p>
    <w:p>
      <w:pPr>
        <w:spacing w:after="0" w:line="360"/>
        <w:ind w:firstLine="720"/>
        <w:jc w:val="both"/>
      </w:pPr>
      <w:r>
        <w:rPr>
          <w:rFonts w:ascii="Times New Roman" w:cs="Times New Roman" w:eastAsia="Times New Roman" w:hAnsi="Times New Roman"/>
          <w:sz w:val="24"/>
          <w:szCs w:val="24"/>
        </w:rPr>
        <w:t xml:space="preserve">Do ponto de vista social, a pesquisa pretende contribuir para o reconhecimento e a compreensão de práticas culturais e espirituais que envolvem hoje, no Brasil, milhões de pessoas — particularmente em contextos urbanos onde o desencaixe entre identificação religiosa subjetiva e pertencimento institucional é especialmente pronunciado. Compreender como essas pessoas organizam sua vida musical-religiosa é compreender uma dimensão importante da experiência religiosa brasileira contemporânea.</w:t>
      </w:r>
    </w:p>
    <w:p>
      <w:pPr>
        <w:spacing w:after="0" w:line="360"/>
        <w:ind w:firstLine="720"/>
        <w:jc w:val="both"/>
      </w:pPr>
      <w:r>
        <w:rPr>
          <w:rFonts w:ascii="Times New Roman" w:cs="Times New Roman" w:eastAsia="Times New Roman" w:hAnsi="Times New Roman"/>
          <w:sz w:val="24"/>
          <w:szCs w:val="24"/>
        </w:rPr>
        <w:t xml:space="preserve">Do ponto de vista da continuidade formativa do pesquisador, esta proposta representa a articulação madura entre sua trajetória técnica (Mestrado em Engenharia Elétrica, 2018) e sua formação artística (Licenciatura em Música pela FAMOSP, 2024). O ferramental analítico desenvolvido no mestrado sob orientação da Profª. Drª. Rose Mary de Souza Batalha — rigor na descrição de fenômenos complexos, capacidade de articular múltiplas variáveis em modelos coerentes, prática de validação empírica — transfere-se, com adaptações próprias ao campo qualitativo, para a investigação aqui proposta.</w:t>
      </w:r>
    </w:p>
    <w:p>
      <w:pPr>
        <w:pStyle w:val="Heading1"/>
        <w:spacing w:after="240" w:before="480"/>
        <w:jc w:val="left"/>
      </w:pPr>
      <w:r>
        <w:rPr>
          <w:rFonts w:ascii="Times New Roman" w:cs="Times New Roman" w:eastAsia="Times New Roman" w:hAnsi="Times New Roman"/>
          <w:b/>
          <w:bCs/>
          <w:sz w:val="24"/>
          <w:szCs w:val="24"/>
        </w:rPr>
        <w:t xml:space="preserve">6 FUNDAMENTAÇÃO TEÓRICA PRELIMINAR</w:t>
      </w:r>
    </w:p>
    <w:p>
      <w:pPr>
        <w:spacing w:after="0" w:line="360"/>
        <w:ind w:firstLine="720"/>
        <w:jc w:val="both"/>
      </w:pPr>
      <w:r>
        <w:rPr>
          <w:rFonts w:ascii="Times New Roman" w:cs="Times New Roman" w:eastAsia="Times New Roman" w:hAnsi="Times New Roman"/>
          <w:sz w:val="24"/>
          <w:szCs w:val="24"/>
        </w:rPr>
        <w:t xml:space="preserve">A pesquisa articulará quatro eixos teóricos principais, todos a serem desenvolvidos ao longo do doutorado:</w:t>
      </w:r>
    </w:p>
    <w:p>
      <w:pPr>
        <w:pStyle w:val="Heading2"/>
        <w:spacing w:after="200" w:before="360"/>
        <w:jc w:val="left"/>
      </w:pPr>
      <w:r>
        <w:rPr>
          <w:rFonts w:ascii="Times New Roman" w:cs="Times New Roman" w:eastAsia="Times New Roman" w:hAnsi="Times New Roman"/>
          <w:b/>
          <w:bCs/>
          <w:sz w:val="24"/>
          <w:szCs w:val="24"/>
        </w:rPr>
        <w:t xml:space="preserve">6.1 Estudos da religião e secularização contemporânea</w:t>
      </w:r>
    </w:p>
    <w:p>
      <w:pPr>
        <w:spacing w:after="0" w:line="360"/>
        <w:ind w:firstLine="720"/>
        <w:jc w:val="both"/>
      </w:pPr>
      <w:r>
        <w:rPr>
          <w:rFonts w:ascii="Times New Roman" w:cs="Times New Roman" w:eastAsia="Times New Roman" w:hAnsi="Times New Roman"/>
          <w:sz w:val="24"/>
          <w:szCs w:val="24"/>
        </w:rPr>
        <w:t xml:space="preserve">Mobilização do quadro teórico clássico das teorias da secularização (Peter Berger, Bryan Wilson) e de suas revisões mais recentes (José Casanova, Danièle Hervieu-Léger, Charles Taylor). Particularmente relevante será a noção de Hervieu-Léger de "religião como cadeia de memória", que permite pensar a continuidade da tradição religiosa para além do pertencimento institucional, e o conceito de Taylor de "era secular" como reconfiguração das condições de crer, não como simples ausência de crença.</w:t>
      </w:r>
    </w:p>
    <w:p>
      <w:pPr>
        <w:pStyle w:val="Heading2"/>
        <w:spacing w:after="200" w:before="360"/>
        <w:jc w:val="left"/>
      </w:pPr>
      <w:r>
        <w:rPr>
          <w:rFonts w:ascii="Times New Roman" w:cs="Times New Roman" w:eastAsia="Times New Roman" w:hAnsi="Times New Roman"/>
          <w:b/>
          <w:bCs/>
          <w:sz w:val="24"/>
          <w:szCs w:val="24"/>
        </w:rPr>
        <w:t xml:space="preserve">6.2 Etnomusicologia e estudos da paisagem sonora religiosa</w:t>
      </w:r>
    </w:p>
    <w:p>
      <w:pPr>
        <w:spacing w:after="0" w:line="360"/>
        <w:ind w:firstLine="720"/>
        <w:jc w:val="both"/>
      </w:pPr>
      <w:r>
        <w:rPr>
          <w:rFonts w:ascii="Times New Roman" w:cs="Times New Roman" w:eastAsia="Times New Roman" w:hAnsi="Times New Roman"/>
          <w:sz w:val="24"/>
          <w:szCs w:val="24"/>
        </w:rPr>
        <w:t xml:space="preserve">Apoio nos trabalhos de Steven Feld sobre acustemologia e nos estudos de R. Murray Schafer sobre paisagem sonora. No contexto brasileiro, mobilização da obra de José Miguel Wisnik ("O Som e o Sentido") e de pesquisas etnomusicológicas sobre música religiosa brasileira realizadas no PPG-MUS da UFMG e em programas correlatos.</w:t>
      </w:r>
    </w:p>
    <w:p>
      <w:pPr>
        <w:pStyle w:val="Heading2"/>
        <w:spacing w:after="200" w:before="360"/>
        <w:jc w:val="left"/>
      </w:pPr>
      <w:r>
        <w:rPr>
          <w:rFonts w:ascii="Times New Roman" w:cs="Times New Roman" w:eastAsia="Times New Roman" w:hAnsi="Times New Roman"/>
          <w:b/>
          <w:bCs/>
          <w:sz w:val="24"/>
          <w:szCs w:val="24"/>
        </w:rPr>
        <w:t xml:space="preserve">6.3 Tradição musical cristã e teologia da música</w:t>
      </w:r>
    </w:p>
    <w:p>
      <w:pPr>
        <w:spacing w:after="0" w:line="360"/>
        <w:ind w:firstLine="720"/>
        <w:jc w:val="both"/>
      </w:pPr>
      <w:r>
        <w:rPr>
          <w:rFonts w:ascii="Times New Roman" w:cs="Times New Roman" w:eastAsia="Times New Roman" w:hAnsi="Times New Roman"/>
          <w:sz w:val="24"/>
          <w:szCs w:val="24"/>
        </w:rPr>
        <w:t xml:space="preserve">Mobilização da longa tradição teológica sobre música, com atenção especial à exegese de 1 Samuel 16 (Davi tocando harpa para Saul) e à interpretação dos Salmos como modelo de prática musical religiosa. Diálogo com autores da teologia contemporânea da música, com atenção à recepção brasileira dessa literatura.</w:t>
      </w:r>
    </w:p>
    <w:p>
      <w:pPr>
        <w:pStyle w:val="Heading2"/>
        <w:spacing w:after="200" w:before="360"/>
        <w:jc w:val="left"/>
      </w:pPr>
      <w:r>
        <w:rPr>
          <w:rFonts w:ascii="Times New Roman" w:cs="Times New Roman" w:eastAsia="Times New Roman" w:hAnsi="Times New Roman"/>
          <w:b/>
          <w:bCs/>
          <w:sz w:val="24"/>
          <w:szCs w:val="24"/>
        </w:rPr>
        <w:t xml:space="preserve">6.4 Filosofia da música e estudos do cuidado</w:t>
      </w:r>
    </w:p>
    <w:p>
      <w:pPr>
        <w:spacing w:after="0" w:line="360"/>
        <w:ind w:firstLine="720"/>
        <w:jc w:val="both"/>
      </w:pPr>
      <w:r>
        <w:rPr>
          <w:rFonts w:ascii="Times New Roman" w:cs="Times New Roman" w:eastAsia="Times New Roman" w:hAnsi="Times New Roman"/>
          <w:sz w:val="24"/>
          <w:szCs w:val="24"/>
        </w:rPr>
        <w:t xml:space="preserve">Diálogo com a filosofia da música ocidental contemporânea, particularmente com Vladimir Jankélévitch ("La Musique et l'Ineffable"), Roger Scruton ("The Aesthetics of Music") e o já mencionado José Miguel Wisnik. Articulação com os estudos contemporâneos sobre cuidado em saúde mental e bem-estar comunitário, mobilizando a literatura sobre musicoterapia (Kenneth Bruscia) sem afirmar exercício clínico da disciplina pelo pesquisador.</w:t>
      </w:r>
    </w:p>
    <w:p>
      <w:pPr>
        <w:pStyle w:val="Heading1"/>
        <w:spacing w:after="240" w:before="480"/>
        <w:jc w:val="left"/>
      </w:pPr>
      <w:r>
        <w:rPr>
          <w:rFonts w:ascii="Times New Roman" w:cs="Times New Roman" w:eastAsia="Times New Roman" w:hAnsi="Times New Roman"/>
          <w:b/>
          <w:bCs/>
          <w:sz w:val="24"/>
          <w:szCs w:val="24"/>
        </w:rPr>
        <w:t xml:space="preserve">7 METODOLOGIA</w:t>
      </w:r>
    </w:p>
    <w:p>
      <w:pPr>
        <w:spacing w:after="0" w:line="360"/>
        <w:ind w:firstLine="720"/>
        <w:jc w:val="both"/>
      </w:pPr>
      <w:r>
        <w:rPr>
          <w:rFonts w:ascii="Times New Roman" w:cs="Times New Roman" w:eastAsia="Times New Roman" w:hAnsi="Times New Roman"/>
          <w:sz w:val="24"/>
          <w:szCs w:val="24"/>
        </w:rPr>
        <w:t xml:space="preserve">A pesquisa adotará desenho metodológico misto, predominantemente qualitativo, combinando procedimentos da etnografia religiosa, da pesquisa documental e da análise de conteúdo. Será conduzida em cinco fases articuladas, parcialmente sobrepostas, totalizando 48 meses.</w:t>
      </w:r>
    </w:p>
    <w:p>
      <w:pPr>
        <w:pStyle w:val="Heading2"/>
        <w:spacing w:after="200" w:before="360"/>
        <w:jc w:val="left"/>
      </w:pPr>
      <w:r>
        <w:rPr>
          <w:rFonts w:ascii="Times New Roman" w:cs="Times New Roman" w:eastAsia="Times New Roman" w:hAnsi="Times New Roman"/>
          <w:b/>
          <w:bCs/>
          <w:sz w:val="24"/>
          <w:szCs w:val="24"/>
        </w:rPr>
        <w:t xml:space="preserve">Fase 1 — Revisão bibliográfica e disciplinar (meses 1 a 12)</w:t>
      </w:r>
    </w:p>
    <w:p>
      <w:pPr>
        <w:spacing w:after="0" w:line="360"/>
        <w:ind w:firstLine="720"/>
        <w:jc w:val="both"/>
      </w:pPr>
      <w:r>
        <w:rPr>
          <w:rFonts w:ascii="Times New Roman" w:cs="Times New Roman" w:eastAsia="Times New Roman" w:hAnsi="Times New Roman"/>
          <w:sz w:val="24"/>
          <w:szCs w:val="24"/>
        </w:rPr>
        <w:t xml:space="preserve">Disciplinas obrigatórias do PPG Ciências da Religião da PUC Minas. Revisão sistemática da literatura nos quatro eixos teóricos. Produção de fichamentos e síntese teórica preliminar.</w:t>
      </w:r>
    </w:p>
    <w:p>
      <w:pPr>
        <w:pStyle w:val="Heading2"/>
        <w:spacing w:after="200" w:before="360"/>
        <w:jc w:val="left"/>
      </w:pPr>
      <w:r>
        <w:rPr>
          <w:rFonts w:ascii="Times New Roman" w:cs="Times New Roman" w:eastAsia="Times New Roman" w:hAnsi="Times New Roman"/>
          <w:b/>
          <w:bCs/>
          <w:sz w:val="24"/>
          <w:szCs w:val="24"/>
        </w:rPr>
        <w:t xml:space="preserve">Fase 2 — Mapeamento e seleção de coletivos (meses 6 a 18)</w:t>
      </w:r>
    </w:p>
    <w:p>
      <w:pPr>
        <w:spacing w:after="0" w:line="360"/>
        <w:ind w:firstLine="720"/>
        <w:jc w:val="both"/>
      </w:pPr>
      <w:r>
        <w:rPr>
          <w:rFonts w:ascii="Times New Roman" w:cs="Times New Roman" w:eastAsia="Times New Roman" w:hAnsi="Times New Roman"/>
          <w:sz w:val="24"/>
          <w:szCs w:val="24"/>
        </w:rPr>
        <w:t xml:space="preserve">Identificação, em Belo Horizonte e na região metropolitana (incluindo Contagem, onde o pesquisador atua profissionalmente), de coletivos musicais de tradição cristã que operem em contextos não-eclesiais. Critérios de inclusão: pelo menos dois anos de atividade continuada, ausência de vinculação institucional a igreja específica, prática regular de repertório de tradição cristã. Seleção final de três a cinco coletivos para investigação aprofundada.</w:t>
      </w:r>
    </w:p>
    <w:p>
      <w:pPr>
        <w:pStyle w:val="Heading2"/>
        <w:spacing w:after="200" w:before="360"/>
        <w:jc w:val="left"/>
      </w:pPr>
      <w:r>
        <w:rPr>
          <w:rFonts w:ascii="Times New Roman" w:cs="Times New Roman" w:eastAsia="Times New Roman" w:hAnsi="Times New Roman"/>
          <w:b/>
          <w:bCs/>
          <w:sz w:val="24"/>
          <w:szCs w:val="24"/>
        </w:rPr>
        <w:t xml:space="preserve">Fase 3 — Trabalho de campo (meses 12 a 30)</w:t>
      </w:r>
    </w:p>
    <w:p>
      <w:pPr>
        <w:spacing w:after="0" w:line="360"/>
        <w:ind w:firstLine="720"/>
        <w:jc w:val="both"/>
      </w:pPr>
      <w:r>
        <w:rPr>
          <w:rFonts w:ascii="Times New Roman" w:cs="Times New Roman" w:eastAsia="Times New Roman" w:hAnsi="Times New Roman"/>
          <w:sz w:val="24"/>
          <w:szCs w:val="24"/>
        </w:rPr>
        <w:t xml:space="preserve">Observação participante em encontros, ensaios e apresentações dos coletivos selecionados. Realização de entrevistas semiestruturadas com integrantes (mínimo de cinco por coletivo). Análise documental de registros administrativos, artísticos e comunicacionais (estatutos, atas, partituras, gravações, redes sociais). A pesquisa seguirá rigorosamente os princípios éticos previstos na Resolução CNS 466/2012 e 510/2016, com submissão do projeto ao Comitê de Ética em Pesquisa da PUC Minas e obtenção de Termo de Consentimento Livre e Esclarecido (TCLE) de todos os participantes.</w:t>
      </w:r>
    </w:p>
    <w:p>
      <w:pPr>
        <w:pStyle w:val="Heading2"/>
        <w:spacing w:after="200" w:before="360"/>
        <w:jc w:val="left"/>
      </w:pPr>
      <w:r>
        <w:rPr>
          <w:rFonts w:ascii="Times New Roman" w:cs="Times New Roman" w:eastAsia="Times New Roman" w:hAnsi="Times New Roman"/>
          <w:b/>
          <w:bCs/>
          <w:sz w:val="24"/>
          <w:szCs w:val="24"/>
        </w:rPr>
        <w:t xml:space="preserve">Fase 4 — Análise e teorização (meses 24 a 42)</w:t>
      </w:r>
    </w:p>
    <w:p>
      <w:pPr>
        <w:spacing w:after="0" w:line="360"/>
        <w:ind w:firstLine="720"/>
        <w:jc w:val="both"/>
      </w:pPr>
      <w:r>
        <w:rPr>
          <w:rFonts w:ascii="Times New Roman" w:cs="Times New Roman" w:eastAsia="Times New Roman" w:hAnsi="Times New Roman"/>
          <w:sz w:val="24"/>
          <w:szCs w:val="24"/>
        </w:rPr>
        <w:t xml:space="preserve">Análise dos dados coletados por procedimentos de análise de conteúdo (Bardin) e análise comparativa entre os coletivos investigados. Construção de tipologia das formas de gestão identificadas. Articulação dos resultados empíricos com o quadro teórico desenvolvido na Fase 1.</w:t>
      </w:r>
    </w:p>
    <w:p>
      <w:pPr>
        <w:pStyle w:val="Heading2"/>
        <w:spacing w:after="200" w:before="360"/>
        <w:jc w:val="left"/>
      </w:pPr>
      <w:r>
        <w:rPr>
          <w:rFonts w:ascii="Times New Roman" w:cs="Times New Roman" w:eastAsia="Times New Roman" w:hAnsi="Times New Roman"/>
          <w:b/>
          <w:bCs/>
          <w:sz w:val="24"/>
          <w:szCs w:val="24"/>
        </w:rPr>
        <w:t xml:space="preserve">Fase 5 — Redação e defesa (meses 36 a 48)</w:t>
      </w:r>
    </w:p>
    <w:p>
      <w:pPr>
        <w:spacing w:after="0" w:line="360"/>
        <w:ind w:firstLine="720"/>
        <w:jc w:val="both"/>
      </w:pPr>
      <w:r>
        <w:rPr>
          <w:rFonts w:ascii="Times New Roman" w:cs="Times New Roman" w:eastAsia="Times New Roman" w:hAnsi="Times New Roman"/>
          <w:sz w:val="24"/>
          <w:szCs w:val="24"/>
        </w:rPr>
        <w:t xml:space="preserve">Redação da tese. Publicação de pelo menos dois artigos derivados em periódicos Qualis A4-B1 (REVER, Horizonte, Numen, Religião e Sociedade). Apresentação em congressos da área (SOTER, ANPTECRE). Defesa pública da tese perante banca examinadora.</w:t>
      </w:r>
    </w:p>
    <w:p>
      <w:pPr>
        <w:pStyle w:val="Heading1"/>
        <w:spacing w:after="240" w:before="480"/>
        <w:jc w:val="left"/>
      </w:pPr>
      <w:r>
        <w:rPr>
          <w:rFonts w:ascii="Times New Roman" w:cs="Times New Roman" w:eastAsia="Times New Roman" w:hAnsi="Times New Roman"/>
          <w:b/>
          <w:bCs/>
          <w:sz w:val="24"/>
          <w:szCs w:val="24"/>
        </w:rPr>
        <w:t xml:space="preserve">8 CRONOGRAMA</w:t>
      </w:r>
    </w:p>
    <w:p>
      <w:pPr>
        <w:spacing w:after="0" w:line="360"/>
        <w:ind w:firstLine="720"/>
        <w:jc w:val="both"/>
      </w:pPr>
      <w:r>
        <w:rPr>
          <w:rFonts w:ascii="Times New Roman" w:cs="Times New Roman" w:eastAsia="Times New Roman" w:hAnsi="Times New Roman"/>
          <w:sz w:val="24"/>
          <w:szCs w:val="24"/>
        </w:rPr>
        <w:t xml:space="preserve">O cronograma abaixo distribui as cinco fases descritas na Seção 7 ao longo dos oito semestres (48 meses) previstos pela CAPES para o doutorado: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745"/>
        <w:gridCol w:w="745"/>
        <w:gridCol w:w="745"/>
        <w:gridCol w:w="745"/>
        <w:gridCol w:w="745"/>
        <w:gridCol w:w="745"/>
        <w:gridCol w:w="745"/>
        <w:gridCol w:w="745"/>
      </w:tblGrid>
      <w:tr>
        <w:tc>
          <w:tcPr>
            <w:tcW w:type="dxa" w:w="3400"/>
            <w:tcBorders>
              <w:top w:val="single" w:color="000000" w:sz="6"/>
              <w:left w:val="single" w:color="000000" w:sz="6"/>
              <w:bottom w:val="single" w:color="000000" w:sz="6"/>
              <w:right w:val="single" w:color="000000" w:sz="6"/>
            </w:tcBorders>
            <w:shd w:fill="DDDDDD"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Atividade</w:t>
            </w:r>
          </w:p>
        </w:tc>
        <w:tc>
          <w:tcPr>
            <w:tcW w:type="dxa" w:w="745"/>
            <w:tcBorders>
              <w:top w:val="single" w:color="000000" w:sz="6"/>
              <w:left w:val="single" w:color="000000" w:sz="6"/>
              <w:bottom w:val="single" w:color="000000" w:sz="6"/>
              <w:right w:val="single" w:color="000000" w:sz="6"/>
            </w:tcBorders>
            <w:shd w:fill="DDDDDD"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S1</w:t>
            </w:r>
          </w:p>
        </w:tc>
        <w:tc>
          <w:tcPr>
            <w:tcW w:type="dxa" w:w="745"/>
            <w:tcBorders>
              <w:top w:val="single" w:color="000000" w:sz="6"/>
              <w:left w:val="single" w:color="000000" w:sz="6"/>
              <w:bottom w:val="single" w:color="000000" w:sz="6"/>
              <w:right w:val="single" w:color="000000" w:sz="6"/>
            </w:tcBorders>
            <w:shd w:fill="DDDDDD"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S2</w:t>
            </w:r>
          </w:p>
        </w:tc>
        <w:tc>
          <w:tcPr>
            <w:tcW w:type="dxa" w:w="745"/>
            <w:tcBorders>
              <w:top w:val="single" w:color="000000" w:sz="6"/>
              <w:left w:val="single" w:color="000000" w:sz="6"/>
              <w:bottom w:val="single" w:color="000000" w:sz="6"/>
              <w:right w:val="single" w:color="000000" w:sz="6"/>
            </w:tcBorders>
            <w:shd w:fill="DDDDDD"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S3</w:t>
            </w:r>
          </w:p>
        </w:tc>
        <w:tc>
          <w:tcPr>
            <w:tcW w:type="dxa" w:w="745"/>
            <w:tcBorders>
              <w:top w:val="single" w:color="000000" w:sz="6"/>
              <w:left w:val="single" w:color="000000" w:sz="6"/>
              <w:bottom w:val="single" w:color="000000" w:sz="6"/>
              <w:right w:val="single" w:color="000000" w:sz="6"/>
            </w:tcBorders>
            <w:shd w:fill="DDDDDD"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S4</w:t>
            </w:r>
          </w:p>
        </w:tc>
        <w:tc>
          <w:tcPr>
            <w:tcW w:type="dxa" w:w="745"/>
            <w:tcBorders>
              <w:top w:val="single" w:color="000000" w:sz="6"/>
              <w:left w:val="single" w:color="000000" w:sz="6"/>
              <w:bottom w:val="single" w:color="000000" w:sz="6"/>
              <w:right w:val="single" w:color="000000" w:sz="6"/>
            </w:tcBorders>
            <w:shd w:fill="DDDDDD"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S5</w:t>
            </w:r>
          </w:p>
        </w:tc>
        <w:tc>
          <w:tcPr>
            <w:tcW w:type="dxa" w:w="745"/>
            <w:tcBorders>
              <w:top w:val="single" w:color="000000" w:sz="6"/>
              <w:left w:val="single" w:color="000000" w:sz="6"/>
              <w:bottom w:val="single" w:color="000000" w:sz="6"/>
              <w:right w:val="single" w:color="000000" w:sz="6"/>
            </w:tcBorders>
            <w:shd w:fill="DDDDDD"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S6</w:t>
            </w:r>
          </w:p>
        </w:tc>
        <w:tc>
          <w:tcPr>
            <w:tcW w:type="dxa" w:w="745"/>
            <w:tcBorders>
              <w:top w:val="single" w:color="000000" w:sz="6"/>
              <w:left w:val="single" w:color="000000" w:sz="6"/>
              <w:bottom w:val="single" w:color="000000" w:sz="6"/>
              <w:right w:val="single" w:color="000000" w:sz="6"/>
            </w:tcBorders>
            <w:shd w:fill="DDDDDD"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S7</w:t>
            </w:r>
          </w:p>
        </w:tc>
        <w:tc>
          <w:tcPr>
            <w:tcW w:type="dxa" w:w="745"/>
            <w:tcBorders>
              <w:top w:val="single" w:color="000000" w:sz="6"/>
              <w:left w:val="single" w:color="000000" w:sz="6"/>
              <w:bottom w:val="single" w:color="000000" w:sz="6"/>
              <w:right w:val="single" w:color="000000" w:sz="6"/>
            </w:tcBorders>
            <w:shd w:fill="DDDDDD"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S8</w:t>
            </w:r>
          </w:p>
        </w:tc>
      </w:tr>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Disciplinas obrigatórias e revisão bibliográfica</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r>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Mapeamento de coletivos musicais não-eclesiais</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r>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Trabalho de campo: entrevistas e observação</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r>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Análise dos dados de campo</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r>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Exame de qualificação</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r>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Publicação de artigos em periódicos Qualis A4-B1</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r>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Apresentação em congressos (SOTER, ANPTECRE, ABEM)</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r>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Eventual estágio doutoral sanduíche (PDSE/CAPES)</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r>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Redação da tese</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r>
      <w:tr>
        <w:tc>
          <w:tcPr>
            <w:tcW w:type="dxa" w:w="3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Defesa da tese</w:t>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r>
          </w:p>
        </w:tc>
        <w:tc>
          <w:tcPr>
            <w:tcW w:type="dxa" w:w="745"/>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X</w:t>
            </w:r>
          </w:p>
        </w:tc>
      </w:tr>
    </w:tbl>
    <w:p>
      <w:pPr>
        <w:spacing w:after="200"/>
      </w:pPr>
      <w:r>
        <w:t xml:space="preserve"/>
      </w:r>
    </w:p>
    <w:p>
      <w:pPr>
        <w:pStyle w:val="Heading1"/>
        <w:spacing w:after="240" w:before="480"/>
        <w:jc w:val="left"/>
      </w:pPr>
      <w:r>
        <w:rPr>
          <w:rFonts w:ascii="Times New Roman" w:cs="Times New Roman" w:eastAsia="Times New Roman" w:hAnsi="Times New Roman"/>
          <w:b/>
          <w:bCs/>
          <w:sz w:val="24"/>
          <w:szCs w:val="24"/>
        </w:rPr>
        <w:t xml:space="preserve"> REFERÊNCIAS</w:t>
      </w:r>
    </w:p>
    <w:p>
      <w:pPr>
        <w:spacing w:after="240" w:line="240"/>
        <w:jc w:val="both"/>
      </w:pPr>
      <w:r>
        <w:rPr>
          <w:rFonts w:ascii="Times New Roman" w:cs="Times New Roman" w:eastAsia="Times New Roman" w:hAnsi="Times New Roman"/>
          <w:sz w:val="24"/>
          <w:szCs w:val="24"/>
        </w:rPr>
        <w:t xml:space="preserve">BARDIN, Laurence. Análise de conteúdo. Trad. L. A. Reto e A. Pinheiro. São Paulo: Edições 70, 2011.</w:t>
      </w:r>
    </w:p>
    <w:p>
      <w:pPr>
        <w:spacing w:after="240" w:line="240"/>
        <w:jc w:val="both"/>
      </w:pPr>
      <w:r>
        <w:rPr>
          <w:rFonts w:ascii="Times New Roman" w:cs="Times New Roman" w:eastAsia="Times New Roman" w:hAnsi="Times New Roman"/>
          <w:sz w:val="24"/>
          <w:szCs w:val="24"/>
        </w:rPr>
        <w:t xml:space="preserve">BATALHA, Rose Mary de Souza (orient.); SOUZA, Eduardo de. Projeto ótimo de uma antena patch com metamaterial. 2018. 79 f. Dissertação (Mestrado em Engenharia Elétrica) — Pontifícia Universidade Católica de Minas Gerais, Belo Horizonte, 2018. Catalogada na Biblioteca da PUC Minas sob CDU 621.396.67. Disponível em: https://bib.pucminas.br/teses/EngEletrica_SouzaE_1.pdf.</w:t>
      </w:r>
    </w:p>
    <w:p>
      <w:pPr>
        <w:spacing w:after="240" w:line="240"/>
        <w:jc w:val="both"/>
      </w:pPr>
      <w:r>
        <w:rPr>
          <w:rFonts w:ascii="Times New Roman" w:cs="Times New Roman" w:eastAsia="Times New Roman" w:hAnsi="Times New Roman"/>
          <w:sz w:val="24"/>
          <w:szCs w:val="24"/>
        </w:rPr>
        <w:t xml:space="preserve">BERGER, Peter L. O dossel sagrado: elementos para uma teoria sociológica da religião. Trad. J. C. Barcellos. São Paulo: Paulus, 1985.</w:t>
      </w:r>
    </w:p>
    <w:p>
      <w:pPr>
        <w:spacing w:after="240" w:line="240"/>
        <w:jc w:val="both"/>
      </w:pPr>
      <w:r>
        <w:rPr>
          <w:rFonts w:ascii="Times New Roman" w:cs="Times New Roman" w:eastAsia="Times New Roman" w:hAnsi="Times New Roman"/>
          <w:sz w:val="24"/>
          <w:szCs w:val="24"/>
        </w:rPr>
        <w:t xml:space="preserve">BÍBLIA SAGRADA. Almeida Revista e Atualizada. Barueri: Sociedade Bíblica do Brasil, 1993.</w:t>
      </w:r>
    </w:p>
    <w:p>
      <w:pPr>
        <w:spacing w:after="240" w:line="240"/>
        <w:jc w:val="both"/>
      </w:pPr>
      <w:r>
        <w:rPr>
          <w:rFonts w:ascii="Times New Roman" w:cs="Times New Roman" w:eastAsia="Times New Roman" w:hAnsi="Times New Roman"/>
          <w:sz w:val="24"/>
          <w:szCs w:val="24"/>
        </w:rPr>
        <w:t xml:space="preserve">BRUSCIA, Kenneth E. Definindo musicoterapia. Trad. M. Ronchini. Rio de Janeiro: Enelivros, 2000.</w:t>
      </w:r>
    </w:p>
    <w:p>
      <w:pPr>
        <w:spacing w:after="240" w:line="240"/>
        <w:jc w:val="both"/>
      </w:pPr>
      <w:r>
        <w:rPr>
          <w:rFonts w:ascii="Times New Roman" w:cs="Times New Roman" w:eastAsia="Times New Roman" w:hAnsi="Times New Roman"/>
          <w:sz w:val="24"/>
          <w:szCs w:val="24"/>
        </w:rPr>
        <w:t xml:space="preserve">CASANOVA, José. Public religions in the modern world. Chicago: University of Chicago Press, 1994.</w:t>
      </w:r>
    </w:p>
    <w:p>
      <w:pPr>
        <w:spacing w:after="240" w:line="240"/>
        <w:jc w:val="both"/>
      </w:pPr>
      <w:r>
        <w:rPr>
          <w:rFonts w:ascii="Times New Roman" w:cs="Times New Roman" w:eastAsia="Times New Roman" w:hAnsi="Times New Roman"/>
          <w:sz w:val="24"/>
          <w:szCs w:val="24"/>
        </w:rPr>
        <w:t xml:space="preserve">FELD, Steven. Sound and sentiment: birds, weeping, poetics, and song in Kaluli expression. Philadelphia: University of Pennsylvania Press, 1982.</w:t>
      </w:r>
    </w:p>
    <w:p>
      <w:pPr>
        <w:spacing w:after="240" w:line="240"/>
        <w:jc w:val="both"/>
      </w:pPr>
      <w:r>
        <w:rPr>
          <w:rFonts w:ascii="Times New Roman" w:cs="Times New Roman" w:eastAsia="Times New Roman" w:hAnsi="Times New Roman"/>
          <w:sz w:val="24"/>
          <w:szCs w:val="24"/>
        </w:rPr>
        <w:t xml:space="preserve">HERVIEU-LÉGER, Danièle. O peregrino e o convertido: a religião em movimento. Trad. J. T. dos Santos. Petrópolis: Vozes, 2008.</w:t>
      </w:r>
    </w:p>
    <w:p>
      <w:pPr>
        <w:spacing w:after="240" w:line="240"/>
        <w:jc w:val="both"/>
      </w:pPr>
      <w:r>
        <w:rPr>
          <w:rFonts w:ascii="Times New Roman" w:cs="Times New Roman" w:eastAsia="Times New Roman" w:hAnsi="Times New Roman"/>
          <w:sz w:val="24"/>
          <w:szCs w:val="24"/>
        </w:rPr>
        <w:t xml:space="preserve">JANKÉLÉVITCH, Vladimir. La musique et l'ineffable. Paris: Seuil, 1983.</w:t>
      </w:r>
    </w:p>
    <w:p>
      <w:pPr>
        <w:spacing w:after="240" w:line="240"/>
        <w:jc w:val="both"/>
      </w:pPr>
      <w:r>
        <w:rPr>
          <w:rFonts w:ascii="Times New Roman" w:cs="Times New Roman" w:eastAsia="Times New Roman" w:hAnsi="Times New Roman"/>
          <w:sz w:val="24"/>
          <w:szCs w:val="24"/>
        </w:rPr>
        <w:t xml:space="preserve">SCHAFER, R. Murray. O ouvido pensante. Trad. M. T. Fonterrada et al. São Paulo: Editora UNESP, 1991.</w:t>
      </w:r>
    </w:p>
    <w:p>
      <w:pPr>
        <w:spacing w:after="240" w:line="240"/>
        <w:jc w:val="both"/>
      </w:pPr>
      <w:r>
        <w:rPr>
          <w:rFonts w:ascii="Times New Roman" w:cs="Times New Roman" w:eastAsia="Times New Roman" w:hAnsi="Times New Roman"/>
          <w:sz w:val="24"/>
          <w:szCs w:val="24"/>
        </w:rPr>
        <w:t xml:space="preserve">SCHAFER, R. Murray. The soundscape: our sonic environment and the tuning of the world. Rochester: Destiny Books, 1994.</w:t>
      </w:r>
    </w:p>
    <w:p>
      <w:pPr>
        <w:spacing w:after="240" w:line="240"/>
        <w:jc w:val="both"/>
      </w:pPr>
      <w:r>
        <w:rPr>
          <w:rFonts w:ascii="Times New Roman" w:cs="Times New Roman" w:eastAsia="Times New Roman" w:hAnsi="Times New Roman"/>
          <w:sz w:val="24"/>
          <w:szCs w:val="24"/>
        </w:rPr>
        <w:t xml:space="preserve">SCRUTON, Roger. The aesthetics of music. Oxford: Oxford University Press, 1997.</w:t>
      </w:r>
    </w:p>
    <w:p>
      <w:pPr>
        <w:spacing w:after="240" w:line="240"/>
        <w:jc w:val="both"/>
      </w:pPr>
      <w:r>
        <w:rPr>
          <w:rFonts w:ascii="Times New Roman" w:cs="Times New Roman" w:eastAsia="Times New Roman" w:hAnsi="Times New Roman"/>
          <w:sz w:val="24"/>
          <w:szCs w:val="24"/>
        </w:rPr>
        <w:t xml:space="preserve">SOUZA, Eduardo de; BATALHA, Rose Mary de Souza; SOARES, Gustavo Luís. Optimization of a patch antenna with metamaterial. In: 21st International Conference on the Computation of Electromagnetic Fields (COMPUMAG 2017), Daejeon, Coreia do Sul, 2017. Anais... Daejeon: COMPUMAG, 2017.</w:t>
      </w:r>
    </w:p>
    <w:p>
      <w:pPr>
        <w:spacing w:after="240" w:line="240"/>
        <w:jc w:val="both"/>
      </w:pPr>
      <w:r>
        <w:rPr>
          <w:rFonts w:ascii="Times New Roman" w:cs="Times New Roman" w:eastAsia="Times New Roman" w:hAnsi="Times New Roman"/>
          <w:sz w:val="24"/>
          <w:szCs w:val="24"/>
        </w:rPr>
        <w:t xml:space="preserve">TAYLOR, Charles. Uma era secular. Trad. N. Pereira. São Leopoldo: Editora Unisinos, 2010.</w:t>
      </w:r>
    </w:p>
    <w:p>
      <w:pPr>
        <w:spacing w:after="240" w:line="240"/>
        <w:jc w:val="both"/>
      </w:pPr>
      <w:r>
        <w:rPr>
          <w:rFonts w:ascii="Times New Roman" w:cs="Times New Roman" w:eastAsia="Times New Roman" w:hAnsi="Times New Roman"/>
          <w:sz w:val="24"/>
          <w:szCs w:val="24"/>
        </w:rPr>
        <w:t xml:space="preserve">WISNIK, José Miguel. O som e o sentido: uma outra história das músicas. São Paulo: Companhia das Letras, 1989.</w:t>
      </w:r>
    </w:p>
    <w:sectPr>
      <w:footerReference w:type="default" r:id="rId7"/>
      <w:pgSz w:w="11906" w:h="16838" w:orient="portrait"/>
      <w:pgMar w:top="1701" w:right="1134"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200" w:before="3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doutorado — PPG Ciências da Religião — PUC Minas</dc:title>
  <dc:creator>Eduardo de Souza</dc:creator>
  <cp:lastModifiedBy>Un-named</cp:lastModifiedBy>
  <cp:revision>1</cp:revision>
  <dcterms:created xsi:type="dcterms:W3CDTF">2026-05-26T15:40:35.427Z</dcterms:created>
  <dcterms:modified xsi:type="dcterms:W3CDTF">2026-05-26T15:40:35.440Z</dcterms:modified>
</cp:coreProperties>
</file>

<file path=docProps/custom.xml><?xml version="1.0" encoding="utf-8"?>
<Properties xmlns="http://schemas.openxmlformats.org/officeDocument/2006/custom-properties" xmlns:vt="http://schemas.openxmlformats.org/officeDocument/2006/docPropsVTypes"/>
</file>