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66D47" w14:textId="77777777" w:rsidR="007916E3" w:rsidRPr="00E2596B" w:rsidRDefault="007916E3" w:rsidP="007916E3">
      <w:pPr>
        <w:pStyle w:val="FirstParagraph"/>
        <w:jc w:val="both"/>
        <w:rPr>
          <w:rFonts w:cs="Times New Roman"/>
          <w:b/>
          <w:lang w:val="en-GB"/>
        </w:rPr>
      </w:pPr>
      <w:r w:rsidRPr="00E2596B">
        <w:rPr>
          <w:rFonts w:cs="Times New Roman"/>
          <w:b/>
          <w:lang w:val="en-GB"/>
        </w:rPr>
        <w:t xml:space="preserve">Empirical strategy </w:t>
      </w:r>
    </w:p>
    <w:p w14:paraId="5D1B198E" w14:textId="05B6B041" w:rsidR="007916E3" w:rsidRPr="00E2596B" w:rsidRDefault="007916E3" w:rsidP="007916E3">
      <w:pPr>
        <w:pStyle w:val="FirstParagraph"/>
        <w:jc w:val="both"/>
        <w:rPr>
          <w:rFonts w:cs="Times New Roman"/>
          <w:lang w:val="en-GB"/>
        </w:rPr>
      </w:pPr>
      <w:r w:rsidRPr="00E2596B">
        <w:rPr>
          <w:rFonts w:cs="Times New Roman"/>
          <w:lang w:val="en-GB"/>
        </w:rPr>
        <w:t xml:space="preserve">The purpose of our analysis is to study empirically the effects of the house prices on the proportion of care homes in local long term care markets. The regression is based on </w:t>
      </w:r>
      <w:r w:rsidR="00D57DEF" w:rsidRPr="00E2596B">
        <w:rPr>
          <w:rFonts w:cs="Times New Roman"/>
          <w:lang w:val="en-GB"/>
        </w:rPr>
        <w:t xml:space="preserve">the following specification </w:t>
      </w:r>
    </w:p>
    <w:p w14:paraId="7CAE7A8D" w14:textId="58779531" w:rsidR="00D57DEF" w:rsidRPr="00E2596B" w:rsidRDefault="0056434A" w:rsidP="00D57DEF">
      <w:pPr>
        <w:pStyle w:val="BodyText"/>
        <w:jc w:val="both"/>
        <w:rPr>
          <w:rFonts w:eastAsiaTheme="minorEastAsia" w:cs="Times New Roman"/>
          <w:lang w:val="en-GB"/>
        </w:rPr>
      </w:pPr>
      <m:oMathPara>
        <m:oMath>
          <m:m>
            <m:mPr>
              <m:plcHide m:val="1"/>
              <m:mcs>
                <m:mc>
                  <m:mcPr>
                    <m:count m:val="1"/>
                    <m:mcJc m:val="right"/>
                  </m:mcPr>
                </m:mc>
              </m:mcs>
              <m:ctrlPr>
                <w:rPr>
                  <w:rFonts w:ascii="Cambria Math" w:hAnsi="Cambria Math" w:cs="Times New Roman"/>
                  <w:lang w:val="en-GB"/>
                </w:rPr>
              </m:ctrlPr>
            </m:mPr>
            <m:mr>
              <m:e>
                <m:sSub>
                  <m:sSubPr>
                    <m:ctrlPr>
                      <w:rPr>
                        <w:rFonts w:ascii="Cambria Math" w:hAnsi="Cambria Math" w:cs="Times New Roman"/>
                        <w:lang w:val="en-GB"/>
                      </w:rPr>
                    </m:ctrlPr>
                  </m:sSubPr>
                  <m:e>
                    <m:r>
                      <w:rPr>
                        <w:rFonts w:ascii="Cambria Math" w:hAnsi="Cambria Math" w:cs="Times New Roman"/>
                        <w:lang w:val="en-GB"/>
                      </w:rPr>
                      <m:t>C</m:t>
                    </m:r>
                  </m:e>
                  <m:sub>
                    <m:r>
                      <w:rPr>
                        <w:rFonts w:ascii="Cambria Math" w:hAnsi="Cambria Math" w:cs="Times New Roman"/>
                        <w:lang w:val="en-GB"/>
                      </w:rPr>
                      <m:t>it</m:t>
                    </m:r>
                  </m:sub>
                </m:sSub>
                <m:r>
                  <w:rPr>
                    <w:rFonts w:ascii="Cambria Math" w:hAnsi="Cambria Math" w:cs="Times New Roman"/>
                    <w:lang w:val="en-GB"/>
                  </w:rPr>
                  <m:t xml:space="preserve">=α </m:t>
                </m:r>
                <m:r>
                  <m:rPr>
                    <m:sty m:val="p"/>
                  </m:rPr>
                  <w:rPr>
                    <w:rFonts w:ascii="Cambria Math" w:hAnsi="Cambria Math" w:cs="Times New Roman"/>
                    <w:lang w:val="en-GB"/>
                  </w:rPr>
                  <m:t>log⁡</m:t>
                </m:r>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it</m:t>
                    </m:r>
                  </m:sub>
                </m:sSub>
                <m:r>
                  <w:rPr>
                    <w:rFonts w:ascii="Cambria Math" w:hAnsi="Cambria Math" w:cs="Times New Roman"/>
                    <w:lang w:val="en-GB"/>
                  </w:rPr>
                  <m:t>)</m:t>
                </m:r>
                <m: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ϵ</m:t>
                    </m:r>
                  </m:e>
                  <m:sub>
                    <m:r>
                      <w:rPr>
                        <w:rFonts w:ascii="Cambria Math" w:hAnsi="Cambria Math" w:cs="Times New Roman"/>
                        <w:lang w:val="en-GB"/>
                      </w:rPr>
                      <m:t>it</m:t>
                    </m:r>
                  </m:sub>
                </m:sSub>
                <m:r>
                  <w:rPr>
                    <w:rFonts w:ascii="Cambria Math" w:hAnsi="Cambria Math" w:cs="Times New Roman"/>
                    <w:lang w:val="en-GB"/>
                  </w:rPr>
                  <m:t xml:space="preserve">            (1)</m:t>
                </m:r>
              </m:e>
            </m:mr>
            <m:mr>
              <m:e/>
            </m:mr>
          </m:m>
          <m:r>
            <w:rPr>
              <w:rFonts w:ascii="Cambria Math" w:hAnsi="Cambria Math" w:cs="Times New Roman"/>
              <w:lang w:val="en-GB"/>
            </w:rPr>
            <m:t xml:space="preserve">     </m:t>
          </m:r>
        </m:oMath>
      </m:oMathPara>
    </w:p>
    <w:p w14:paraId="4658DFAE" w14:textId="7EFEC0E4" w:rsidR="007916E3" w:rsidRPr="00E2596B" w:rsidRDefault="00794229" w:rsidP="00D57DEF">
      <w:pPr>
        <w:pStyle w:val="BodyText"/>
        <w:jc w:val="both"/>
        <w:rPr>
          <w:rFonts w:cs="Times New Roman"/>
          <w:lang w:val="en-GB"/>
        </w:rPr>
      </w:pPr>
      <w:r w:rsidRPr="00E2596B">
        <w:rPr>
          <w:rFonts w:cs="Times New Roman"/>
          <w:lang w:val="en-GB"/>
        </w:rPr>
        <w:t xml:space="preserve">Where </w:t>
      </w:r>
      <w:r w:rsidR="00015A87" w:rsidRPr="009129FF">
        <w:rPr>
          <w:rFonts w:cs="Times New Roman"/>
          <w:lang w:val="en-GB"/>
        </w:rPr>
        <w:t xml:space="preserve">Eq. </w:t>
      </w:r>
      <w:r w:rsidRPr="00E2596B">
        <w:rPr>
          <w:rFonts w:cs="Times New Roman"/>
          <w:lang w:val="en-GB"/>
        </w:rPr>
        <w:t xml:space="preserve">(1) indicates the </w:t>
      </w:r>
      <w:proofErr w:type="gramStart"/>
      <w:r w:rsidRPr="00E2596B">
        <w:rPr>
          <w:rFonts w:cs="Times New Roman"/>
          <w:lang w:val="en-GB"/>
        </w:rPr>
        <w:t>relationship  between</w:t>
      </w:r>
      <w:proofErr w:type="gramEnd"/>
      <w:r w:rsidRPr="00E2596B">
        <w:rPr>
          <w:rFonts w:cs="Times New Roman"/>
          <w:lang w:val="en-GB"/>
        </w:rPr>
        <w:t xml:space="preserve"> the </w:t>
      </w:r>
      <w:r w:rsidRPr="00E2596B">
        <w:rPr>
          <w:rFonts w:cs="Times New Roman"/>
          <w:lang w:val="en-GB"/>
        </w:rPr>
        <w:t xml:space="preserve">proportion of care homes per 1000 population over 65, </w:t>
      </w:r>
      <m:oMath>
        <m:r>
          <w:rPr>
            <w:rFonts w:ascii="Cambria Math" w:hAnsi="Cambria Math" w:cs="Times New Roman"/>
            <w:lang w:val="en-GB"/>
          </w:rPr>
          <m:t>C</m:t>
        </m:r>
      </m:oMath>
      <w:r w:rsidRPr="00E2596B">
        <w:rPr>
          <w:rFonts w:cs="Times New Roman"/>
          <w:lang w:val="en-GB"/>
        </w:rPr>
        <w:t xml:space="preserve">, in a local authority </w:t>
      </w:r>
      <m:oMath>
        <m:r>
          <w:rPr>
            <w:rFonts w:ascii="Cambria Math" w:hAnsi="Cambria Math" w:cs="Times New Roman"/>
            <w:lang w:val="en-GB"/>
          </w:rPr>
          <m:t>i</m:t>
        </m:r>
      </m:oMath>
      <w:r w:rsidRPr="00E2596B">
        <w:rPr>
          <w:rFonts w:cs="Times New Roman"/>
          <w:lang w:val="en-GB"/>
        </w:rPr>
        <w:t xml:space="preserve"> in a time period </w:t>
      </w:r>
      <m:oMath>
        <m:r>
          <w:rPr>
            <w:rFonts w:ascii="Cambria Math" w:hAnsi="Cambria Math" w:cs="Times New Roman"/>
            <w:lang w:val="en-GB"/>
          </w:rPr>
          <m:t>t</m:t>
        </m:r>
      </m:oMath>
      <w:r w:rsidRPr="00E2596B">
        <w:rPr>
          <w:rFonts w:cs="Times New Roman"/>
          <w:lang w:val="en-GB"/>
        </w:rPr>
        <w:t xml:space="preserve"> and the average of the house prices,</w:t>
      </w:r>
      <w:r w:rsidRPr="00E2596B">
        <w:rPr>
          <w:rFonts w:cs="Times New Roman"/>
          <w:lang w:val="en-GB"/>
        </w:rPr>
        <w:t xml:space="preserve"> </w:t>
      </w:r>
      <m:oMath>
        <m:r>
          <w:rPr>
            <w:rFonts w:ascii="Cambria Math" w:hAnsi="Cambria Math" w:cs="Times New Roman"/>
            <w:lang w:val="en-GB"/>
          </w:rPr>
          <m:t>P</m:t>
        </m:r>
      </m:oMath>
      <w:r w:rsidRPr="00E2596B">
        <w:rPr>
          <w:rFonts w:cs="Times New Roman"/>
          <w:lang w:val="en-GB"/>
        </w:rPr>
        <w:t xml:space="preserve">. </w:t>
      </w:r>
      <w:r w:rsidRPr="00E2596B">
        <w:rPr>
          <w:rFonts w:cs="Times New Roman"/>
          <w:lang w:val="en-GB"/>
        </w:rPr>
        <w:t xml:space="preserve"> </w:t>
      </w:r>
      <m:oMath>
        <m:r>
          <w:rPr>
            <w:rFonts w:ascii="Cambria Math" w:hAnsi="Cambria Math" w:cs="Times New Roman"/>
            <w:lang w:val="en-GB"/>
          </w:rPr>
          <m:t>ϵ</m:t>
        </m:r>
      </m:oMath>
      <w:r w:rsidR="007916E3" w:rsidRPr="00E2596B">
        <w:rPr>
          <w:rFonts w:cs="Times New Roman"/>
          <w:lang w:val="en-GB"/>
        </w:rPr>
        <w:t xml:space="preserve"> </w:t>
      </w:r>
      <w:proofErr w:type="gramStart"/>
      <w:r w:rsidR="007916E3" w:rsidRPr="00E2596B">
        <w:rPr>
          <w:rFonts w:cs="Times New Roman"/>
          <w:lang w:val="en-GB"/>
        </w:rPr>
        <w:t>represents</w:t>
      </w:r>
      <w:proofErr w:type="gramEnd"/>
      <w:r w:rsidR="007916E3" w:rsidRPr="00E2596B">
        <w:rPr>
          <w:rFonts w:cs="Times New Roman"/>
          <w:lang w:val="en-GB"/>
        </w:rPr>
        <w:t xml:space="preserve"> an error term that is identically and independ</w:t>
      </w:r>
      <w:proofErr w:type="spellStart"/>
      <w:r w:rsidR="00D57DEF" w:rsidRPr="00E2596B">
        <w:rPr>
          <w:rFonts w:cs="Times New Roman"/>
          <w:lang w:val="en-GB"/>
        </w:rPr>
        <w:t>ent</w:t>
      </w:r>
      <w:r w:rsidR="007916E3" w:rsidRPr="00E2596B">
        <w:rPr>
          <w:rFonts w:cs="Times New Roman"/>
          <w:lang w:val="en-GB"/>
        </w:rPr>
        <w:t>ly</w:t>
      </w:r>
      <w:proofErr w:type="spellEnd"/>
      <w:r w:rsidR="007916E3" w:rsidRPr="00E2596B">
        <w:rPr>
          <w:rFonts w:cs="Times New Roman"/>
          <w:lang w:val="en-GB"/>
        </w:rPr>
        <w:t xml:space="preserve"> distributed. </w:t>
      </w:r>
      <w:r w:rsidR="00D57DEF" w:rsidRPr="00E2596B">
        <w:rPr>
          <w:rFonts w:cs="Times New Roman"/>
          <w:lang w:val="en-GB"/>
        </w:rPr>
        <w:t>Equation (1)</w:t>
      </w:r>
      <w:r w:rsidR="007916E3" w:rsidRPr="00E2596B">
        <w:rPr>
          <w:rFonts w:cs="Times New Roman"/>
          <w:lang w:val="en-GB"/>
        </w:rPr>
        <w:t xml:space="preserve"> can be estimated by OL</w:t>
      </w:r>
      <w:r w:rsidR="00D57DEF" w:rsidRPr="00E2596B">
        <w:rPr>
          <w:rFonts w:cs="Times New Roman"/>
          <w:lang w:val="en-GB"/>
        </w:rPr>
        <w:t>S and the parameter of interest,</w:t>
      </w:r>
      <m:oMath>
        <m:r>
          <w:rPr>
            <w:rFonts w:ascii="Cambria Math" w:hAnsi="Cambria Math" w:cs="Times New Roman"/>
            <w:lang w:val="en-GB"/>
          </w:rPr>
          <m:t xml:space="preserve"> </m:t>
        </m:r>
        <m:r>
          <w:rPr>
            <w:rFonts w:ascii="Cambria Math" w:hAnsi="Cambria Math" w:cs="Times New Roman"/>
            <w:lang w:val="en-GB"/>
          </w:rPr>
          <m:t>α</m:t>
        </m:r>
      </m:oMath>
      <w:proofErr w:type="gramStart"/>
      <w:r w:rsidR="007916E3" w:rsidRPr="00E2596B">
        <w:rPr>
          <w:rFonts w:cs="Times New Roman"/>
          <w:lang w:val="en-GB"/>
        </w:rPr>
        <w:t>,</w:t>
      </w:r>
      <w:proofErr w:type="gramEnd"/>
      <w:r w:rsidR="007916E3" w:rsidRPr="00E2596B">
        <w:rPr>
          <w:rFonts w:cs="Times New Roman"/>
          <w:lang w:val="en-GB"/>
        </w:rPr>
        <w:t xml:space="preserve"> may be interpreted as a causal effect of the house prices, only if </w:t>
      </w:r>
      <m:oMath>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m:t>
            </m:r>
          </m:sub>
        </m:sSub>
      </m:oMath>
      <w:r w:rsidR="007916E3" w:rsidRPr="00E2596B">
        <w:rPr>
          <w:rFonts w:cs="Times New Roman"/>
          <w:lang w:val="en-GB"/>
        </w:rPr>
        <w:t xml:space="preserve"> is exogenous so that </w:t>
      </w:r>
      <m:oMath>
        <m:r>
          <w:rPr>
            <w:rFonts w:ascii="Cambria Math" w:hAnsi="Cambria Math" w:cs="Times New Roman"/>
            <w:lang w:val="en-GB"/>
          </w:rPr>
          <m:t>Cov(</m:t>
        </m:r>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m:t>
            </m:r>
          </m:sub>
        </m:sSub>
      </m:oMath>
      <w:r w:rsidR="007916E3" w:rsidRPr="00E2596B">
        <w:rPr>
          <w:rFonts w:cs="Times New Roman"/>
          <w:lang w:val="en-GB"/>
        </w:rPr>
        <w:t>,</w:t>
      </w:r>
      <m:oMath>
        <m:sSub>
          <m:sSubPr>
            <m:ctrlPr>
              <w:rPr>
                <w:rFonts w:ascii="Cambria Math" w:hAnsi="Cambria Math" w:cs="Times New Roman"/>
                <w:lang w:val="en-GB"/>
              </w:rPr>
            </m:ctrlPr>
          </m:sSubPr>
          <m:e>
            <m:r>
              <w:rPr>
                <w:rFonts w:ascii="Cambria Math" w:hAnsi="Cambria Math" w:cs="Times New Roman"/>
                <w:lang w:val="en-GB"/>
              </w:rPr>
              <m:t>ϵ</m:t>
            </m:r>
          </m:e>
          <m:sub>
            <m:r>
              <w:rPr>
                <w:rFonts w:ascii="Cambria Math" w:hAnsi="Cambria Math" w:cs="Times New Roman"/>
                <w:lang w:val="en-GB"/>
              </w:rPr>
              <m:t>i</m:t>
            </m:r>
          </m:sub>
        </m:sSub>
        <m:r>
          <w:rPr>
            <w:rFonts w:ascii="Cambria Math" w:hAnsi="Cambria Math" w:cs="Times New Roman"/>
            <w:lang w:val="en-GB"/>
          </w:rPr>
          <m:t>)=0</m:t>
        </m:r>
      </m:oMath>
      <w:r w:rsidR="007916E3" w:rsidRPr="00E2596B">
        <w:rPr>
          <w:rFonts w:cs="Times New Roman"/>
          <w:lang w:val="en-GB"/>
        </w:rPr>
        <w:t>. Nonetheless,</w:t>
      </w:r>
      <w:r w:rsidR="00D57DEF" w:rsidRPr="00E2596B">
        <w:rPr>
          <w:rFonts w:cs="Times New Roman"/>
          <w:lang w:val="en-GB"/>
        </w:rPr>
        <w:t xml:space="preserve"> as we have outlined in the introduction, house prices may be </w:t>
      </w:r>
      <w:proofErr w:type="spellStart"/>
      <w:r w:rsidR="00D57DEF" w:rsidRPr="00E2596B">
        <w:rPr>
          <w:rFonts w:cs="Times New Roman"/>
          <w:lang w:val="en-GB"/>
        </w:rPr>
        <w:t>endogeneous</w:t>
      </w:r>
      <w:proofErr w:type="spellEnd"/>
      <w:r w:rsidR="00D57DEF" w:rsidRPr="00E2596B">
        <w:rPr>
          <w:rFonts w:cs="Times New Roman"/>
          <w:lang w:val="en-GB"/>
        </w:rPr>
        <w:t xml:space="preserve"> to unobservable </w:t>
      </w:r>
      <w:r w:rsidR="00213013" w:rsidRPr="00E2596B">
        <w:rPr>
          <w:rFonts w:cs="Times New Roman"/>
          <w:lang w:val="en-GB"/>
        </w:rPr>
        <w:t>factors which may also determine the proportion of care homes in an area.</w:t>
      </w:r>
      <w:r w:rsidR="00D57DEF" w:rsidRPr="00E2596B">
        <w:rPr>
          <w:rFonts w:cs="Times New Roman"/>
          <w:lang w:val="en-GB"/>
        </w:rPr>
        <w:t xml:space="preserve"> </w:t>
      </w:r>
      <w:r w:rsidR="007916E3" w:rsidRPr="00E2596B">
        <w:rPr>
          <w:rFonts w:cs="Times New Roman"/>
          <w:lang w:val="en-GB"/>
        </w:rPr>
        <w:t xml:space="preserve"> If the influence of these potential unobservable </w:t>
      </w:r>
      <w:r w:rsidR="00213013" w:rsidRPr="00E2596B">
        <w:rPr>
          <w:rFonts w:cs="Times New Roman"/>
          <w:lang w:val="en-GB"/>
        </w:rPr>
        <w:t xml:space="preserve">variables </w:t>
      </w:r>
      <w:r w:rsidR="007916E3" w:rsidRPr="00E2596B">
        <w:rPr>
          <w:rFonts w:cs="Times New Roman"/>
          <w:lang w:val="en-GB"/>
        </w:rPr>
        <w:t xml:space="preserve">is not appropriately undertaken, the OLS estimations of </w:t>
      </w:r>
      <m:oMath>
        <m:r>
          <w:rPr>
            <w:rFonts w:ascii="Cambria Math" w:hAnsi="Cambria Math" w:cs="Times New Roman"/>
            <w:lang w:val="en-GB"/>
          </w:rPr>
          <m:t>α</m:t>
        </m:r>
      </m:oMath>
      <w:r w:rsidR="007916E3" w:rsidRPr="00E2596B">
        <w:rPr>
          <w:rFonts w:cs="Times New Roman"/>
          <w:lang w:val="en-GB"/>
        </w:rPr>
        <w:t xml:space="preserve"> may be inconsistent.</w:t>
      </w:r>
    </w:p>
    <w:p w14:paraId="364F46D9" w14:textId="1BD88635" w:rsidR="00213013" w:rsidRPr="009129FF" w:rsidRDefault="007916E3" w:rsidP="007916E3">
      <w:pPr>
        <w:pStyle w:val="BodyText"/>
        <w:jc w:val="both"/>
        <w:rPr>
          <w:rFonts w:cs="Times New Roman"/>
          <w:lang w:val="en-GB"/>
        </w:rPr>
      </w:pPr>
      <w:r w:rsidRPr="00E2596B">
        <w:rPr>
          <w:rFonts w:cs="Times New Roman"/>
        </w:rPr>
        <w:t>An example that may illustrate the latter could be an unobserved shock that affect</w:t>
      </w:r>
      <w:r w:rsidR="00213013" w:rsidRPr="00E2596B">
        <w:rPr>
          <w:rFonts w:cs="Times New Roman"/>
        </w:rPr>
        <w:t>s</w:t>
      </w:r>
      <w:r w:rsidRPr="00E2596B">
        <w:rPr>
          <w:rFonts w:cs="Times New Roman"/>
        </w:rPr>
        <w:t xml:space="preserve"> positively the values of the properties and also incentivise the entries in the market given likely wealth effects. Hence, higher level of housing prices may result in wealth effects that lead to greater levels of consumption and then attract businesses. This implies that the selection of an area by a care home provider is likely to be </w:t>
      </w:r>
      <w:r w:rsidRPr="00E2596B">
        <w:rPr>
          <w:rFonts w:cs="Times New Roman"/>
          <w:i/>
        </w:rPr>
        <w:t>known</w:t>
      </w:r>
      <w:r w:rsidRPr="00E2596B">
        <w:rPr>
          <w:rFonts w:cs="Times New Roman"/>
        </w:rPr>
        <w:t xml:space="preserve"> </w:t>
      </w:r>
      <w:r w:rsidR="00213013" w:rsidRPr="00E2596B">
        <w:rPr>
          <w:rFonts w:cs="Times New Roman"/>
        </w:rPr>
        <w:t xml:space="preserve">and then </w:t>
      </w:r>
      <w:r w:rsidRPr="00E2596B">
        <w:rPr>
          <w:rFonts w:cs="Times New Roman"/>
        </w:rPr>
        <w:t>non-random</w:t>
      </w:r>
      <w:r w:rsidR="00213013" w:rsidRPr="00E2596B">
        <w:rPr>
          <w:rFonts w:cs="Times New Roman"/>
        </w:rPr>
        <w:t xml:space="preserve">. </w:t>
      </w:r>
      <w:r w:rsidRPr="00E2596B">
        <w:rPr>
          <w:rFonts w:cs="Times New Roman"/>
        </w:rPr>
        <w:t xml:space="preserve"> </w:t>
      </w:r>
      <w:r w:rsidR="00213013" w:rsidRPr="00E2596B">
        <w:rPr>
          <w:rFonts w:cs="Times New Roman"/>
        </w:rPr>
        <w:t>In this case the</w:t>
      </w:r>
      <w:r w:rsidRPr="00E2596B">
        <w:rPr>
          <w:rFonts w:cs="Times New Roman"/>
        </w:rPr>
        <w:t xml:space="preserve"> effect of </w:t>
      </w:r>
      <m:oMath>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m:t>
            </m:r>
          </m:sub>
        </m:sSub>
      </m:oMath>
      <w:r w:rsidRPr="00E2596B">
        <w:rPr>
          <w:rFonts w:cs="Times New Roman"/>
        </w:rPr>
        <w:t xml:space="preserve"> may be associated partially </w:t>
      </w:r>
      <w:proofErr w:type="gramStart"/>
      <w:r w:rsidRPr="00E2596B">
        <w:rPr>
          <w:rFonts w:cs="Times New Roman"/>
        </w:rPr>
        <w:t xml:space="preserve">with </w:t>
      </w:r>
      <w:proofErr w:type="gramEnd"/>
      <m:oMath>
        <m:r>
          <w:rPr>
            <w:rFonts w:ascii="Cambria Math" w:hAnsi="Cambria Math" w:cs="Times New Roman"/>
            <w:lang w:val="en-GB"/>
          </w:rPr>
          <m:t>ϵ</m:t>
        </m:r>
      </m:oMath>
      <w:r w:rsidRPr="00E2596B">
        <w:rPr>
          <w:rFonts w:cs="Times New Roman"/>
        </w:rPr>
        <w:t xml:space="preserve">. Likewise another potential problem </w:t>
      </w:r>
      <w:r w:rsidR="00213013" w:rsidRPr="009129FF">
        <w:rPr>
          <w:rFonts w:cs="Times New Roman"/>
          <w:lang w:val="en-GB"/>
        </w:rPr>
        <w:t xml:space="preserve">can be associated with the reverse causality between the number of care homes and the level of house prices. Care homes may be considered an amenity that increases the quality of the neighbourhood and potentially the values of the properties in an area. </w:t>
      </w:r>
    </w:p>
    <w:p w14:paraId="7860992D" w14:textId="255BB968" w:rsidR="007916E3" w:rsidRPr="00E2596B" w:rsidRDefault="007916E3" w:rsidP="007916E3">
      <w:pPr>
        <w:pStyle w:val="BodyText"/>
        <w:jc w:val="both"/>
        <w:rPr>
          <w:rFonts w:cs="Times New Roman"/>
          <w:lang w:val="en-GB"/>
        </w:rPr>
      </w:pPr>
      <w:r w:rsidRPr="00E2596B">
        <w:rPr>
          <w:rFonts w:cs="Times New Roman"/>
          <w:lang w:val="en-GB"/>
        </w:rPr>
        <w:t xml:space="preserve">In order to tackle with these problems associated </w:t>
      </w:r>
      <w:proofErr w:type="gramStart"/>
      <w:r w:rsidRPr="00E2596B">
        <w:rPr>
          <w:rFonts w:cs="Times New Roman"/>
          <w:lang w:val="en-GB"/>
        </w:rPr>
        <w:t xml:space="preserve">with </w:t>
      </w:r>
      <w:proofErr w:type="gramEnd"/>
      <m:oMath>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it</m:t>
            </m:r>
          </m:sub>
        </m:sSub>
      </m:oMath>
      <w:r w:rsidRPr="00E2596B">
        <w:rPr>
          <w:rFonts w:cs="Times New Roman"/>
          <w:lang w:val="en-GB"/>
        </w:rPr>
        <w:t xml:space="preserve">, we </w:t>
      </w:r>
      <w:r w:rsidR="00213013" w:rsidRPr="009129FF">
        <w:rPr>
          <w:rFonts w:cs="Times New Roman"/>
          <w:lang w:val="en-GB"/>
        </w:rPr>
        <w:t xml:space="preserve">may </w:t>
      </w:r>
      <w:r w:rsidRPr="00E2596B">
        <w:rPr>
          <w:rFonts w:cs="Times New Roman"/>
          <w:lang w:val="en-GB"/>
        </w:rPr>
        <w:t xml:space="preserve">use an instrumental variable </w:t>
      </w:r>
      <m:oMath>
        <m:r>
          <w:rPr>
            <w:rFonts w:ascii="Cambria Math" w:hAnsi="Cambria Math" w:cs="Times New Roman"/>
            <w:lang w:val="en-GB"/>
          </w:rPr>
          <m:t>z</m:t>
        </m:r>
      </m:oMath>
      <w:r w:rsidRPr="00E2596B">
        <w:rPr>
          <w:rFonts w:cs="Times New Roman"/>
          <w:lang w:val="en-GB"/>
        </w:rPr>
        <w:t xml:space="preserve"> that is uncorrelated with </w:t>
      </w:r>
      <m:oMath>
        <m:r>
          <w:rPr>
            <w:rFonts w:ascii="Cambria Math" w:hAnsi="Cambria Math" w:cs="Times New Roman"/>
            <w:lang w:val="en-GB"/>
          </w:rPr>
          <m:t>ϵ</m:t>
        </m:r>
      </m:oMath>
      <w:r w:rsidRPr="00E2596B">
        <w:rPr>
          <w:rFonts w:cs="Times New Roman"/>
          <w:lang w:val="en-GB"/>
        </w:rPr>
        <w:t xml:space="preserve"> but is correlated with </w:t>
      </w:r>
      <m:oMath>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m:t>
            </m:r>
          </m:sub>
        </m:sSub>
      </m:oMath>
      <w:r w:rsidR="00A02B94" w:rsidRPr="00E2596B">
        <w:rPr>
          <w:rFonts w:cs="Times New Roman"/>
          <w:lang w:val="en-GB"/>
        </w:rPr>
        <w:t xml:space="preserve">. </w:t>
      </w:r>
      <w:r w:rsidR="00213013" w:rsidRPr="009129FF">
        <w:rPr>
          <w:rFonts w:cs="Times New Roman"/>
          <w:lang w:val="en-GB"/>
        </w:rPr>
        <w:t>O</w:t>
      </w:r>
      <w:r w:rsidRPr="00E2596B">
        <w:rPr>
          <w:rFonts w:cs="Times New Roman"/>
          <w:lang w:val="en-GB"/>
        </w:rPr>
        <w:t xml:space="preserve">ur identification strategy </w:t>
      </w:r>
      <w:r w:rsidR="00213013" w:rsidRPr="009129FF">
        <w:rPr>
          <w:rFonts w:cs="Times New Roman"/>
          <w:lang w:val="en-GB"/>
        </w:rPr>
        <w:t xml:space="preserve">is based on </w:t>
      </w:r>
      <w:proofErr w:type="spellStart"/>
      <w:r w:rsidR="00213013" w:rsidRPr="009129FF">
        <w:rPr>
          <w:rFonts w:cs="Times New Roman"/>
          <w:lang w:val="en-GB"/>
        </w:rPr>
        <w:t>Hilber</w:t>
      </w:r>
      <w:proofErr w:type="spellEnd"/>
      <w:r w:rsidR="00213013" w:rsidRPr="009129FF">
        <w:rPr>
          <w:rFonts w:cs="Times New Roman"/>
          <w:lang w:val="en-GB"/>
        </w:rPr>
        <w:t xml:space="preserve"> and </w:t>
      </w:r>
      <w:proofErr w:type="spellStart"/>
      <w:r w:rsidR="00213013" w:rsidRPr="009129FF">
        <w:rPr>
          <w:rFonts w:cs="Times New Roman"/>
          <w:lang w:val="en-GB"/>
        </w:rPr>
        <w:t>Vermeulen</w:t>
      </w:r>
      <w:proofErr w:type="spellEnd"/>
      <w:r w:rsidR="00213013" w:rsidRPr="009129FF">
        <w:rPr>
          <w:rFonts w:cs="Times New Roman"/>
          <w:lang w:val="en-GB"/>
        </w:rPr>
        <w:t xml:space="preserve"> (2016). These authors </w:t>
      </w:r>
      <w:r w:rsidR="00070F5A" w:rsidRPr="009129FF">
        <w:rPr>
          <w:rFonts w:cs="Times New Roman"/>
          <w:lang w:val="en-GB"/>
        </w:rPr>
        <w:t>take advantage of</w:t>
      </w:r>
      <w:r w:rsidRPr="00E2596B">
        <w:rPr>
          <w:rFonts w:cs="Times New Roman"/>
          <w:lang w:val="en-GB"/>
        </w:rPr>
        <w:t xml:space="preserve"> the</w:t>
      </w:r>
      <w:r w:rsidR="00213013" w:rsidRPr="009129FF">
        <w:rPr>
          <w:rFonts w:cs="Times New Roman"/>
          <w:lang w:val="en-GB"/>
        </w:rPr>
        <w:t xml:space="preserve"> variability in</w:t>
      </w:r>
      <w:r w:rsidRPr="00E2596B">
        <w:rPr>
          <w:rFonts w:cs="Times New Roman"/>
          <w:lang w:val="en-GB"/>
        </w:rPr>
        <w:t xml:space="preserve"> restrictiveness </w:t>
      </w:r>
      <w:r w:rsidR="00213013" w:rsidRPr="009129FF">
        <w:rPr>
          <w:rFonts w:cs="Times New Roman"/>
          <w:lang w:val="en-GB"/>
        </w:rPr>
        <w:t>of</w:t>
      </w:r>
      <w:r w:rsidRPr="00E2596B">
        <w:rPr>
          <w:rFonts w:cs="Times New Roman"/>
          <w:lang w:val="en-GB"/>
        </w:rPr>
        <w:t xml:space="preserve"> local planning regulations</w:t>
      </w:r>
      <w:r w:rsidR="00213013" w:rsidRPr="009129FF">
        <w:rPr>
          <w:rFonts w:cs="Times New Roman"/>
          <w:lang w:val="en-GB"/>
        </w:rPr>
        <w:t xml:space="preserve"> </w:t>
      </w:r>
      <w:r w:rsidRPr="00E2596B">
        <w:rPr>
          <w:rFonts w:cs="Times New Roman"/>
          <w:lang w:val="en-GB"/>
        </w:rPr>
        <w:t xml:space="preserve">for analysing the effects of </w:t>
      </w:r>
      <w:r w:rsidR="00EC32C9" w:rsidRPr="009129FF">
        <w:rPr>
          <w:rFonts w:cs="Times New Roman"/>
          <w:lang w:val="en-GB"/>
        </w:rPr>
        <w:t>supply constraints</w:t>
      </w:r>
      <w:r w:rsidRPr="00E2596B">
        <w:rPr>
          <w:rFonts w:cs="Times New Roman"/>
          <w:lang w:val="en-GB"/>
        </w:rPr>
        <w:t xml:space="preserve"> on house prices. Their findings confirm the vision that tight supply regimes – e.g. with more regulatory constraints in the planning regulations, lead to increases in the prices. In our case, however, we apply the planning regulation variable</w:t>
      </w:r>
      <w:r w:rsidR="00213013" w:rsidRPr="009129FF">
        <w:rPr>
          <w:rFonts w:cs="Times New Roman"/>
          <w:lang w:val="en-GB"/>
        </w:rPr>
        <w:t>s</w:t>
      </w:r>
      <w:r w:rsidRPr="00E2596B">
        <w:rPr>
          <w:rFonts w:cs="Times New Roman"/>
          <w:lang w:val="en-GB"/>
        </w:rPr>
        <w:t xml:space="preserve"> as direct instrument</w:t>
      </w:r>
      <w:r w:rsidR="00EC32C9" w:rsidRPr="009129FF">
        <w:rPr>
          <w:rFonts w:cs="Times New Roman"/>
          <w:lang w:val="en-GB"/>
        </w:rPr>
        <w:t>s</w:t>
      </w:r>
      <w:r w:rsidRPr="00E2596B">
        <w:rPr>
          <w:rFonts w:cs="Times New Roman"/>
          <w:lang w:val="en-GB"/>
        </w:rPr>
        <w:t xml:space="preserve"> to the house prices. For our identification we assume that this instrument, in addition to being correlated with the local earnings, is also correlated with the house prices</w:t>
      </w:r>
      <w:r w:rsidR="00213013" w:rsidRPr="009129FF">
        <w:rPr>
          <w:rFonts w:cs="Times New Roman"/>
          <w:lang w:val="en-GB"/>
        </w:rPr>
        <w:t xml:space="preserve"> (see Figure 1)</w:t>
      </w:r>
      <w:r w:rsidRPr="00E2596B">
        <w:rPr>
          <w:rFonts w:cs="Times New Roman"/>
          <w:lang w:val="en-GB"/>
        </w:rPr>
        <w:t xml:space="preserve">. </w:t>
      </w:r>
    </w:p>
    <w:p w14:paraId="2CE15221" w14:textId="28079F9E" w:rsidR="007916E3" w:rsidRPr="00E2596B" w:rsidRDefault="00EC32C9" w:rsidP="007916E3">
      <w:pPr>
        <w:pStyle w:val="BodyText"/>
        <w:jc w:val="both"/>
        <w:rPr>
          <w:rFonts w:cs="Times New Roman"/>
          <w:lang w:val="en-GB"/>
        </w:rPr>
      </w:pPr>
      <w:r w:rsidRPr="009129FF">
        <w:rPr>
          <w:rFonts w:cs="Times New Roman"/>
          <w:lang w:val="en-GB"/>
        </w:rPr>
        <w:t xml:space="preserve">A variable used by </w:t>
      </w:r>
      <w:proofErr w:type="spellStart"/>
      <w:r w:rsidRPr="009129FF">
        <w:rPr>
          <w:rFonts w:cs="Times New Roman"/>
          <w:lang w:val="en-GB"/>
        </w:rPr>
        <w:t>Hilber</w:t>
      </w:r>
      <w:proofErr w:type="spellEnd"/>
      <w:r w:rsidRPr="009129FF">
        <w:rPr>
          <w:rFonts w:cs="Times New Roman"/>
          <w:lang w:val="en-GB"/>
        </w:rPr>
        <w:t xml:space="preserve"> and </w:t>
      </w:r>
      <w:proofErr w:type="spellStart"/>
      <w:r w:rsidRPr="009129FF">
        <w:rPr>
          <w:rFonts w:cs="Times New Roman"/>
          <w:lang w:val="en-GB"/>
        </w:rPr>
        <w:t>Vermeulen</w:t>
      </w:r>
      <w:proofErr w:type="spellEnd"/>
      <w:r w:rsidRPr="009129FF">
        <w:rPr>
          <w:rFonts w:cs="Times New Roman"/>
          <w:lang w:val="en-GB"/>
        </w:rPr>
        <w:t xml:space="preserve"> to indicate the planning restrictiveness is the rate of refusal of major projects. Despite being a well-established variable in the literature (refs) they highlight </w:t>
      </w:r>
      <w:r w:rsidR="004D52A3" w:rsidRPr="009129FF">
        <w:rPr>
          <w:rFonts w:cs="Times New Roman"/>
          <w:lang w:val="en-GB"/>
        </w:rPr>
        <w:t>at least to potential problems that may result in bias</w:t>
      </w:r>
      <w:r w:rsidRPr="009129FF">
        <w:rPr>
          <w:rFonts w:cs="Times New Roman"/>
          <w:lang w:val="en-GB"/>
        </w:rPr>
        <w:t>.</w:t>
      </w:r>
      <w:r w:rsidR="004D52A3" w:rsidRPr="009129FF">
        <w:rPr>
          <w:rFonts w:cs="Times New Roman"/>
          <w:lang w:val="en-GB"/>
        </w:rPr>
        <w:t xml:space="preserve"> A first source for bias is referred to the </w:t>
      </w:r>
      <w:proofErr w:type="spellStart"/>
      <w:r w:rsidR="004D52A3" w:rsidRPr="009129FF">
        <w:rPr>
          <w:rFonts w:cs="Times New Roman"/>
          <w:lang w:val="en-GB"/>
        </w:rPr>
        <w:t>procyclical</w:t>
      </w:r>
      <w:proofErr w:type="spellEnd"/>
      <w:r w:rsidR="004D52A3" w:rsidRPr="009129FF">
        <w:rPr>
          <w:rFonts w:cs="Times New Roman"/>
          <w:lang w:val="en-GB"/>
        </w:rPr>
        <w:t xml:space="preserve"> nature of the rate of refusal.  Also, it may be problematic that developers</w:t>
      </w:r>
      <w:r w:rsidR="00397009" w:rsidRPr="009129FF">
        <w:rPr>
          <w:rFonts w:cs="Times New Roman"/>
          <w:lang w:val="en-GB"/>
        </w:rPr>
        <w:t xml:space="preserve"> do not apply for project in certain local authorities if they know in advance that they are restrictive</w:t>
      </w:r>
      <w:r w:rsidR="007916E3" w:rsidRPr="00E2596B">
        <w:rPr>
          <w:rFonts w:cs="Times New Roman"/>
          <w:lang w:val="en-GB"/>
        </w:rPr>
        <w:t xml:space="preserve">. </w:t>
      </w:r>
      <w:r w:rsidR="00397009" w:rsidRPr="009129FF">
        <w:rPr>
          <w:rFonts w:cs="Times New Roman"/>
          <w:lang w:val="en-GB"/>
        </w:rPr>
        <w:t>For these cases</w:t>
      </w:r>
      <w:r w:rsidR="007916E3" w:rsidRPr="00E2596B">
        <w:rPr>
          <w:rFonts w:cs="Times New Roman"/>
          <w:lang w:val="en-GB"/>
        </w:rPr>
        <w:t xml:space="preserve"> the observed refusal rates may not reflec</w:t>
      </w:r>
      <w:r w:rsidR="00397009" w:rsidRPr="009129FF">
        <w:rPr>
          <w:rFonts w:cs="Times New Roman"/>
          <w:lang w:val="en-GB"/>
        </w:rPr>
        <w:t xml:space="preserve">t realistically the level of </w:t>
      </w:r>
      <w:r w:rsidR="007916E3" w:rsidRPr="00E2596B">
        <w:rPr>
          <w:rFonts w:cs="Times New Roman"/>
          <w:lang w:val="en-GB"/>
        </w:rPr>
        <w:t xml:space="preserve">restrictiveness. </w:t>
      </w:r>
      <w:r w:rsidR="00397009" w:rsidRPr="009129FF">
        <w:rPr>
          <w:rFonts w:cs="Times New Roman"/>
          <w:lang w:val="en-GB"/>
        </w:rPr>
        <w:t xml:space="preserve">In order to address this </w:t>
      </w:r>
      <w:r w:rsidR="007916E3" w:rsidRPr="00E2596B">
        <w:rPr>
          <w:rFonts w:cs="Times New Roman"/>
          <w:lang w:val="en-GB"/>
        </w:rPr>
        <w:t xml:space="preserve">limitation it is possible to </w:t>
      </w:r>
      <w:r w:rsidR="00070F5A" w:rsidRPr="009129FF">
        <w:rPr>
          <w:rFonts w:cs="Times New Roman"/>
          <w:lang w:val="en-GB"/>
        </w:rPr>
        <w:t>employ</w:t>
      </w:r>
      <w:r w:rsidR="007916E3" w:rsidRPr="00E2596B">
        <w:rPr>
          <w:rFonts w:cs="Times New Roman"/>
          <w:lang w:val="en-GB"/>
        </w:rPr>
        <w:t xml:space="preserve"> two identification strategies.</w:t>
      </w:r>
    </w:p>
    <w:p w14:paraId="5B187C5A" w14:textId="16BE411D" w:rsidR="007916E3" w:rsidRPr="00E2596B" w:rsidRDefault="007916E3" w:rsidP="007916E3">
      <w:pPr>
        <w:pStyle w:val="BodyText"/>
        <w:jc w:val="both"/>
        <w:rPr>
          <w:rFonts w:cs="Times New Roman"/>
          <w:lang w:val="en-GB"/>
        </w:rPr>
      </w:pPr>
      <w:r w:rsidRPr="00E2596B">
        <w:rPr>
          <w:rFonts w:cs="Times New Roman"/>
          <w:lang w:val="en-GB"/>
        </w:rPr>
        <w:lastRenderedPageBreak/>
        <w:t xml:space="preserve">The first involves a planning reform aimed at speeding up the planning processes and the second links the planning regulations and the variation in the share of local political power. The main idea </w:t>
      </w:r>
      <w:r w:rsidR="006F7C16" w:rsidRPr="009129FF">
        <w:rPr>
          <w:rFonts w:cs="Times New Roman"/>
          <w:lang w:val="en-GB"/>
        </w:rPr>
        <w:t>of the first</w:t>
      </w:r>
      <w:r w:rsidRPr="00E2596B">
        <w:rPr>
          <w:rFonts w:cs="Times New Roman"/>
          <w:lang w:val="en-GB"/>
        </w:rPr>
        <w:t xml:space="preserve"> identification strategy consists of </w:t>
      </w:r>
      <w:r w:rsidR="00070F5A" w:rsidRPr="009129FF">
        <w:rPr>
          <w:rFonts w:cs="Times New Roman"/>
          <w:lang w:val="en-GB"/>
        </w:rPr>
        <w:t>using</w:t>
      </w:r>
      <w:r w:rsidR="00070F5A" w:rsidRPr="00E2596B">
        <w:rPr>
          <w:rFonts w:cs="Times New Roman"/>
          <w:lang w:val="en-GB"/>
        </w:rPr>
        <w:t xml:space="preserve"> </w:t>
      </w:r>
      <w:r w:rsidRPr="00E2596B">
        <w:rPr>
          <w:rFonts w:cs="Times New Roman"/>
          <w:lang w:val="en-GB"/>
        </w:rPr>
        <w:t>the variation in the change in the delay rates before and after the reform. Set in 2002, th</w:t>
      </w:r>
      <w:r w:rsidR="006F7C16" w:rsidRPr="009129FF">
        <w:rPr>
          <w:rFonts w:cs="Times New Roman"/>
          <w:lang w:val="en-GB"/>
        </w:rPr>
        <w:t>is</w:t>
      </w:r>
      <w:r w:rsidRPr="00E2596B">
        <w:rPr>
          <w:rFonts w:cs="Times New Roman"/>
          <w:lang w:val="en-GB"/>
        </w:rPr>
        <w:t xml:space="preserve"> reform included the establishment of an explicit goal for</w:t>
      </w:r>
      <w:r w:rsidR="006F7C16" w:rsidRPr="009129FF">
        <w:rPr>
          <w:rFonts w:cs="Times New Roman"/>
          <w:lang w:val="en-GB"/>
        </w:rPr>
        <w:t xml:space="preserve"> concluding</w:t>
      </w:r>
      <w:r w:rsidRPr="00E2596B">
        <w:rPr>
          <w:rFonts w:cs="Times New Roman"/>
          <w:lang w:val="en-GB"/>
        </w:rPr>
        <w:t xml:space="preserve"> major development projects. </w:t>
      </w:r>
      <w:r w:rsidR="006F7C16" w:rsidRPr="009129FF">
        <w:rPr>
          <w:rFonts w:cs="Times New Roman"/>
          <w:lang w:val="en-GB"/>
        </w:rPr>
        <w:t>The rationale was to</w:t>
      </w:r>
      <w:r w:rsidRPr="00E2596B">
        <w:rPr>
          <w:rFonts w:cs="Times New Roman"/>
          <w:lang w:val="en-GB"/>
        </w:rPr>
        <w:t xml:space="preserve"> avoid the delays of major projects. </w:t>
      </w:r>
      <w:r w:rsidR="00794229" w:rsidRPr="009129FF">
        <w:rPr>
          <w:rFonts w:cs="Times New Roman"/>
          <w:lang w:val="en-GB"/>
        </w:rPr>
        <w:t>L</w:t>
      </w:r>
      <w:r w:rsidR="006F7C16" w:rsidRPr="009129FF">
        <w:rPr>
          <w:rFonts w:cs="Times New Roman"/>
          <w:lang w:val="en-GB"/>
        </w:rPr>
        <w:t>ocal authorities</w:t>
      </w:r>
      <w:r w:rsidRPr="00E2596B">
        <w:rPr>
          <w:rFonts w:cs="Times New Roman"/>
          <w:lang w:val="en-GB"/>
        </w:rPr>
        <w:t xml:space="preserve"> were not formally penalised for not meeting the target</w:t>
      </w:r>
      <w:r w:rsidR="00794229" w:rsidRPr="009129FF">
        <w:rPr>
          <w:rFonts w:cs="Times New Roman"/>
          <w:lang w:val="en-GB"/>
        </w:rPr>
        <w:t xml:space="preserve"> but </w:t>
      </w:r>
      <w:r w:rsidR="00926DB3" w:rsidRPr="009129FF">
        <w:rPr>
          <w:rFonts w:cs="Times New Roman"/>
          <w:lang w:val="en-GB"/>
        </w:rPr>
        <w:t xml:space="preserve">they </w:t>
      </w:r>
      <w:r w:rsidR="00794229" w:rsidRPr="009129FF">
        <w:rPr>
          <w:rFonts w:cs="Times New Roman"/>
          <w:lang w:val="en-GB"/>
        </w:rPr>
        <w:t>had good incentives to reach</w:t>
      </w:r>
      <w:r w:rsidR="00926DB3" w:rsidRPr="009129FF">
        <w:rPr>
          <w:rFonts w:cs="Times New Roman"/>
          <w:lang w:val="en-GB"/>
        </w:rPr>
        <w:t xml:space="preserve"> it. Funds from the central </w:t>
      </w:r>
      <w:r w:rsidRPr="00E2596B">
        <w:rPr>
          <w:rFonts w:cs="Times New Roman"/>
          <w:lang w:val="en-GB"/>
        </w:rPr>
        <w:t>government could</w:t>
      </w:r>
      <w:r w:rsidR="00926DB3" w:rsidRPr="009129FF">
        <w:rPr>
          <w:rFonts w:cs="Times New Roman"/>
          <w:lang w:val="en-GB"/>
        </w:rPr>
        <w:t xml:space="preserve"> be</w:t>
      </w:r>
      <w:r w:rsidRPr="00E2596B">
        <w:rPr>
          <w:rFonts w:cs="Times New Roman"/>
          <w:lang w:val="en-GB"/>
        </w:rPr>
        <w:t xml:space="preserve"> retain</w:t>
      </w:r>
      <w:r w:rsidR="00926DB3" w:rsidRPr="009129FF">
        <w:rPr>
          <w:rFonts w:cs="Times New Roman"/>
          <w:lang w:val="en-GB"/>
        </w:rPr>
        <w:t>ed otherwise</w:t>
      </w:r>
      <w:r w:rsidRPr="00E2596B">
        <w:rPr>
          <w:rFonts w:cs="Times New Roman"/>
          <w:lang w:val="en-GB"/>
        </w:rPr>
        <w:t>.</w:t>
      </w:r>
      <w:r w:rsidR="00926DB3" w:rsidRPr="009129FF">
        <w:rPr>
          <w:rFonts w:cs="Times New Roman"/>
          <w:lang w:val="en-GB"/>
        </w:rPr>
        <w:t xml:space="preserve"> Local authorities could still meet the target by approving smaller projects and refusing greater project</w:t>
      </w:r>
      <w:r w:rsidR="00015A87" w:rsidRPr="009129FF">
        <w:rPr>
          <w:rFonts w:cs="Times New Roman"/>
          <w:lang w:val="en-GB"/>
        </w:rPr>
        <w:t>s</w:t>
      </w:r>
      <w:r w:rsidR="00926DB3" w:rsidRPr="009129FF">
        <w:rPr>
          <w:rFonts w:cs="Times New Roman"/>
          <w:lang w:val="en-GB"/>
        </w:rPr>
        <w:t xml:space="preserve"> that were more difficult to be finished on time. </w:t>
      </w:r>
    </w:p>
    <w:p w14:paraId="556763A8" w14:textId="4203E4D8" w:rsidR="007916E3" w:rsidRPr="00E2596B" w:rsidRDefault="00015A87" w:rsidP="007916E3">
      <w:pPr>
        <w:pStyle w:val="BodyText"/>
        <w:jc w:val="both"/>
        <w:rPr>
          <w:rFonts w:cs="Times New Roman"/>
          <w:lang w:val="en-GB"/>
        </w:rPr>
      </w:pPr>
      <w:r w:rsidRPr="009129FF">
        <w:rPr>
          <w:rFonts w:cs="Times New Roman"/>
          <w:lang w:val="en-GB"/>
        </w:rPr>
        <w:t>T</w:t>
      </w:r>
      <w:r w:rsidR="007916E3" w:rsidRPr="00E2596B">
        <w:rPr>
          <w:rFonts w:cs="Times New Roman"/>
          <w:lang w:val="en-GB"/>
        </w:rPr>
        <w:t>he former</w:t>
      </w:r>
      <w:r w:rsidRPr="009129FF">
        <w:rPr>
          <w:rFonts w:cs="Times New Roman"/>
          <w:lang w:val="en-GB"/>
        </w:rPr>
        <w:t xml:space="preserve"> suggests that local planning authorities could have a different behaviour before and after the reform.</w:t>
      </w:r>
      <w:r w:rsidR="007916E3" w:rsidRPr="00E2596B">
        <w:rPr>
          <w:rFonts w:cs="Times New Roman"/>
          <w:lang w:val="en-GB"/>
        </w:rPr>
        <w:t xml:space="preserve"> </w:t>
      </w:r>
      <w:r w:rsidRPr="009129FF">
        <w:rPr>
          <w:rFonts w:cs="Times New Roman"/>
          <w:lang w:val="en-GB"/>
        </w:rPr>
        <w:t>B</w:t>
      </w:r>
      <w:r w:rsidR="007916E3" w:rsidRPr="00E2596B">
        <w:rPr>
          <w:rFonts w:cs="Times New Roman"/>
          <w:lang w:val="en-GB"/>
        </w:rPr>
        <w:t>efore the reform</w:t>
      </w:r>
      <w:r w:rsidRPr="009129FF">
        <w:rPr>
          <w:rFonts w:cs="Times New Roman"/>
          <w:lang w:val="en-GB"/>
        </w:rPr>
        <w:t>, more restrictive</w:t>
      </w:r>
      <w:r w:rsidR="007916E3" w:rsidRPr="00E2596B">
        <w:rPr>
          <w:rFonts w:cs="Times New Roman"/>
          <w:lang w:val="en-GB"/>
        </w:rPr>
        <w:t xml:space="preserve"> local authorities </w:t>
      </w:r>
      <w:r w:rsidRPr="009129FF">
        <w:rPr>
          <w:rFonts w:cs="Times New Roman"/>
          <w:lang w:val="en-GB"/>
        </w:rPr>
        <w:t xml:space="preserve">would have more delays and the </w:t>
      </w:r>
      <w:r w:rsidR="007916E3" w:rsidRPr="00E2596B">
        <w:rPr>
          <w:rFonts w:cs="Times New Roman"/>
          <w:lang w:val="en-GB"/>
        </w:rPr>
        <w:t>least likely to meet the target.</w:t>
      </w:r>
      <w:r w:rsidRPr="009129FF">
        <w:rPr>
          <w:rFonts w:cs="Times New Roman"/>
          <w:lang w:val="en-GB"/>
        </w:rPr>
        <w:t xml:space="preserve"> After the reform, </w:t>
      </w:r>
      <w:r w:rsidR="007916E3" w:rsidRPr="00E2596B">
        <w:rPr>
          <w:rFonts w:cs="Times New Roman"/>
          <w:lang w:val="en-GB"/>
        </w:rPr>
        <w:t xml:space="preserve">these local authorities would more likely to refuse more projects and therefore suffer less delays. </w:t>
      </w:r>
      <w:r w:rsidRPr="009129FF">
        <w:rPr>
          <w:rFonts w:cs="Times New Roman"/>
          <w:lang w:val="en-GB"/>
        </w:rPr>
        <w:t>Meanwhile, l</w:t>
      </w:r>
      <w:r w:rsidR="007916E3" w:rsidRPr="00E2596B">
        <w:rPr>
          <w:rFonts w:cs="Times New Roman"/>
          <w:lang w:val="en-GB"/>
        </w:rPr>
        <w:t xml:space="preserve">ess restrictive local </w:t>
      </w:r>
      <w:r w:rsidRPr="009129FF">
        <w:rPr>
          <w:rFonts w:cs="Times New Roman"/>
          <w:lang w:val="en-GB"/>
        </w:rPr>
        <w:t xml:space="preserve">authorities </w:t>
      </w:r>
      <w:r w:rsidR="007916E3" w:rsidRPr="00E2596B">
        <w:rPr>
          <w:rFonts w:cs="Times New Roman"/>
          <w:lang w:val="en-GB"/>
        </w:rPr>
        <w:t>would not have to alter their behaviour substantially</w:t>
      </w:r>
      <w:r w:rsidRPr="009129FF">
        <w:rPr>
          <w:rFonts w:cs="Times New Roman"/>
          <w:lang w:val="en-GB"/>
        </w:rPr>
        <w:t xml:space="preserve"> after the reform</w:t>
      </w:r>
      <w:r w:rsidR="007916E3" w:rsidRPr="00E2596B">
        <w:rPr>
          <w:rFonts w:cs="Times New Roman"/>
          <w:lang w:val="en-GB"/>
        </w:rPr>
        <w:t xml:space="preserve">. </w:t>
      </w:r>
      <w:r w:rsidRPr="009129FF">
        <w:rPr>
          <w:rFonts w:cs="Times New Roman"/>
          <w:lang w:val="en-GB"/>
        </w:rPr>
        <w:t>On the basis of the former</w:t>
      </w:r>
      <w:r w:rsidR="007916E3" w:rsidRPr="00E2596B">
        <w:rPr>
          <w:rFonts w:cs="Times New Roman"/>
          <w:lang w:val="en-GB"/>
        </w:rPr>
        <w:t xml:space="preserve">, we allow for a 10-year period to represent the average delay rates pre and post reform. Hence we </w:t>
      </w:r>
      <w:r w:rsidRPr="009129FF">
        <w:rPr>
          <w:rFonts w:cs="Times New Roman"/>
          <w:lang w:val="en-GB"/>
        </w:rPr>
        <w:t>use the</w:t>
      </w:r>
      <w:r w:rsidR="007916E3" w:rsidRPr="00E2596B">
        <w:rPr>
          <w:rFonts w:cs="Times New Roman"/>
          <w:lang w:val="en-GB"/>
        </w:rPr>
        <w:t xml:space="preserve"> delay rates 1994 and 1996 and the delay rates </w:t>
      </w:r>
      <w:proofErr w:type="gramStart"/>
      <w:r w:rsidR="007916E3" w:rsidRPr="00E2596B">
        <w:rPr>
          <w:rFonts w:cs="Times New Roman"/>
          <w:lang w:val="en-GB"/>
        </w:rPr>
        <w:t>between 2004-2006</w:t>
      </w:r>
      <w:proofErr w:type="gramEnd"/>
      <w:r w:rsidR="007916E3" w:rsidRPr="00E2596B">
        <w:rPr>
          <w:rFonts w:cs="Times New Roman"/>
          <w:lang w:val="en-GB"/>
        </w:rPr>
        <w:t>.</w:t>
      </w:r>
    </w:p>
    <w:p w14:paraId="7A671180" w14:textId="2025DC28" w:rsidR="007916E3" w:rsidRPr="00E2596B" w:rsidRDefault="007916E3" w:rsidP="007916E3">
      <w:pPr>
        <w:pStyle w:val="BodyText"/>
        <w:jc w:val="both"/>
        <w:rPr>
          <w:rFonts w:cs="Times New Roman"/>
          <w:lang w:val="en-GB"/>
        </w:rPr>
      </w:pPr>
      <w:r w:rsidRPr="00E2596B">
        <w:rPr>
          <w:rFonts w:cs="Times New Roman"/>
          <w:lang w:val="en-GB"/>
        </w:rPr>
        <w:t xml:space="preserve">The </w:t>
      </w:r>
      <w:r w:rsidR="00070F5A" w:rsidRPr="009129FF">
        <w:rPr>
          <w:rFonts w:cs="Times New Roman"/>
          <w:lang w:val="en-GB"/>
        </w:rPr>
        <w:t xml:space="preserve">second </w:t>
      </w:r>
      <w:r w:rsidRPr="00E2596B">
        <w:rPr>
          <w:rFonts w:cs="Times New Roman"/>
          <w:lang w:val="en-GB"/>
        </w:rPr>
        <w:t xml:space="preserve">strategy consists of </w:t>
      </w:r>
      <w:r w:rsidR="00070F5A" w:rsidRPr="009129FF">
        <w:rPr>
          <w:rFonts w:cs="Times New Roman"/>
          <w:lang w:val="en-GB"/>
        </w:rPr>
        <w:t>exploiting the</w:t>
      </w:r>
      <w:r w:rsidRPr="00E2596B">
        <w:rPr>
          <w:rFonts w:cs="Times New Roman"/>
          <w:lang w:val="en-GB"/>
        </w:rPr>
        <w:t xml:space="preserve"> relationship between the political composition of local councils and the application of local planning regulations. In addition to </w:t>
      </w:r>
      <w:proofErr w:type="spellStart"/>
      <w:r w:rsidR="00070F5A" w:rsidRPr="009129FF">
        <w:rPr>
          <w:rFonts w:cs="Times New Roman"/>
          <w:lang w:val="en-GB"/>
        </w:rPr>
        <w:t>Hilber</w:t>
      </w:r>
      <w:proofErr w:type="spellEnd"/>
      <w:r w:rsidR="00070F5A" w:rsidRPr="009129FF">
        <w:rPr>
          <w:rFonts w:cs="Times New Roman"/>
          <w:lang w:val="en-GB"/>
        </w:rPr>
        <w:t xml:space="preserve"> and </w:t>
      </w:r>
      <w:proofErr w:type="spellStart"/>
      <w:r w:rsidR="00070F5A" w:rsidRPr="009129FF">
        <w:rPr>
          <w:rFonts w:cs="Times New Roman"/>
          <w:lang w:val="en-GB"/>
        </w:rPr>
        <w:t>Veemeulen</w:t>
      </w:r>
      <w:proofErr w:type="spellEnd"/>
      <w:r w:rsidR="00070F5A" w:rsidRPr="009129FF">
        <w:rPr>
          <w:rFonts w:cs="Times New Roman"/>
          <w:lang w:val="en-GB"/>
        </w:rPr>
        <w:t xml:space="preserve"> (2016)</w:t>
      </w:r>
      <w:r w:rsidRPr="00E2596B">
        <w:rPr>
          <w:rFonts w:cs="Times New Roman"/>
          <w:lang w:val="en-GB"/>
        </w:rPr>
        <w:t>, similar strategies have been used by other authors such</w:t>
      </w:r>
      <w:r w:rsidR="00070F5A" w:rsidRPr="009129FF">
        <w:rPr>
          <w:rFonts w:cs="Times New Roman"/>
          <w:lang w:val="en-GB"/>
        </w:rPr>
        <w:t xml:space="preserve"> Bertran</w:t>
      </w:r>
      <w:r w:rsidR="0056434A">
        <w:rPr>
          <w:rFonts w:cs="Times New Roman"/>
          <w:lang w:val="en-GB"/>
        </w:rPr>
        <w:t>d</w:t>
      </w:r>
      <w:bookmarkStart w:id="0" w:name="_GoBack"/>
      <w:bookmarkEnd w:id="0"/>
      <w:r w:rsidR="00070F5A" w:rsidRPr="009129FF">
        <w:rPr>
          <w:rFonts w:cs="Times New Roman"/>
          <w:lang w:val="en-GB"/>
        </w:rPr>
        <w:t xml:space="preserve"> and </w:t>
      </w:r>
      <w:proofErr w:type="spellStart"/>
      <w:r w:rsidR="00070F5A" w:rsidRPr="009129FF">
        <w:rPr>
          <w:rFonts w:cs="Times New Roman"/>
          <w:lang w:val="en-GB"/>
        </w:rPr>
        <w:t>Karmaz</w:t>
      </w:r>
      <w:proofErr w:type="spellEnd"/>
      <w:r w:rsidR="00070F5A" w:rsidRPr="009129FF">
        <w:rPr>
          <w:rFonts w:cs="Times New Roman"/>
          <w:lang w:val="en-GB"/>
        </w:rPr>
        <w:t xml:space="preserve"> (2002)</w:t>
      </w:r>
      <w:r w:rsidRPr="00E2596B">
        <w:rPr>
          <w:rFonts w:cs="Times New Roman"/>
          <w:lang w:val="en-GB"/>
        </w:rPr>
        <w:t xml:space="preserve"> or</w:t>
      </w:r>
      <w:r w:rsidR="00070F5A" w:rsidRPr="009129FF">
        <w:rPr>
          <w:rFonts w:cs="Times New Roman"/>
          <w:lang w:val="en-GB"/>
        </w:rPr>
        <w:t xml:space="preserve"> </w:t>
      </w:r>
      <w:proofErr w:type="spellStart"/>
      <w:r w:rsidR="00070F5A" w:rsidRPr="009129FF">
        <w:rPr>
          <w:rFonts w:cs="Times New Roman"/>
          <w:lang w:val="en-GB"/>
        </w:rPr>
        <w:t>Sadun</w:t>
      </w:r>
      <w:proofErr w:type="spellEnd"/>
      <w:r w:rsidR="00070F5A" w:rsidRPr="009129FF">
        <w:rPr>
          <w:rFonts w:cs="Times New Roman"/>
          <w:lang w:val="en-GB"/>
        </w:rPr>
        <w:t xml:space="preserve"> (2008) for addressing the endogeneity associated with planning decisions</w:t>
      </w:r>
      <w:r w:rsidRPr="00E2596B">
        <w:rPr>
          <w:rFonts w:cs="Times New Roman"/>
          <w:lang w:val="en-GB"/>
        </w:rPr>
        <w:t xml:space="preserve">. </w:t>
      </w:r>
      <w:r w:rsidR="00070F5A" w:rsidRPr="009129FF">
        <w:rPr>
          <w:rFonts w:cs="Times New Roman"/>
          <w:lang w:val="en-GB"/>
        </w:rPr>
        <w:t>As introduced before, w</w:t>
      </w:r>
      <w:r w:rsidRPr="00E2596B">
        <w:rPr>
          <w:rFonts w:cs="Times New Roman"/>
          <w:lang w:val="en-GB"/>
        </w:rPr>
        <w:t>e use th</w:t>
      </w:r>
      <w:r w:rsidR="00070F5A" w:rsidRPr="009129FF">
        <w:rPr>
          <w:rFonts w:cs="Times New Roman"/>
          <w:lang w:val="en-GB"/>
        </w:rPr>
        <w:t>e historical</w:t>
      </w:r>
      <w:r w:rsidRPr="00E2596B">
        <w:rPr>
          <w:rFonts w:cs="Times New Roman"/>
          <w:lang w:val="en-GB"/>
        </w:rPr>
        <w:t xml:space="preserve"> share of Labour party </w:t>
      </w:r>
      <w:r w:rsidR="008430CD" w:rsidRPr="009129FF">
        <w:rPr>
          <w:rFonts w:cs="Times New Roman"/>
          <w:lang w:val="en-GB"/>
        </w:rPr>
        <w:t>since the G</w:t>
      </w:r>
      <w:r w:rsidRPr="00E2596B">
        <w:rPr>
          <w:rFonts w:cs="Times New Roman"/>
          <w:lang w:val="en-GB"/>
        </w:rPr>
        <w:t xml:space="preserve">eneral Election of 1983. We choose the share of Labour voters since the attitudes of these voters regarding construction will be more on the basis of the job implications and inclined to grant house access rather than to preserve the value of the properties. </w:t>
      </w:r>
      <w:r w:rsidR="008430CD" w:rsidRPr="009129FF">
        <w:rPr>
          <w:rFonts w:cs="Times New Roman"/>
          <w:lang w:val="en-GB"/>
        </w:rPr>
        <w:t>W</w:t>
      </w:r>
      <w:r w:rsidRPr="00E2596B">
        <w:rPr>
          <w:rFonts w:cs="Times New Roman"/>
          <w:lang w:val="en-GB"/>
        </w:rPr>
        <w:t xml:space="preserve">e could have used the results derived from local elections. </w:t>
      </w:r>
      <w:r w:rsidR="008430CD" w:rsidRPr="009129FF">
        <w:rPr>
          <w:rFonts w:cs="Times New Roman"/>
          <w:lang w:val="en-GB"/>
        </w:rPr>
        <w:t>However, given the local nature of planning decisions,</w:t>
      </w:r>
      <w:r w:rsidRPr="00E2596B">
        <w:rPr>
          <w:rFonts w:cs="Times New Roman"/>
          <w:lang w:val="en-GB"/>
        </w:rPr>
        <w:t xml:space="preserve"> these</w:t>
      </w:r>
      <w:r w:rsidR="008430CD" w:rsidRPr="009129FF">
        <w:rPr>
          <w:rFonts w:cs="Times New Roman"/>
          <w:lang w:val="en-GB"/>
        </w:rPr>
        <w:t xml:space="preserve"> have the risk of being</w:t>
      </w:r>
      <w:r w:rsidRPr="00E2596B">
        <w:rPr>
          <w:rFonts w:cs="Times New Roman"/>
          <w:lang w:val="en-GB"/>
        </w:rPr>
        <w:t xml:space="preserve"> correlated with the development of local housing market. The time frame of 1983 provides the earliest date where election results can be linked to data corresponding to local authorities</w:t>
      </w:r>
      <w:r w:rsidR="008430CD" w:rsidRPr="009129FF">
        <w:rPr>
          <w:rFonts w:cs="Times New Roman"/>
          <w:lang w:val="en-GB"/>
        </w:rPr>
        <w:t>.</w:t>
      </w:r>
    </w:p>
    <w:p w14:paraId="5F1743CC" w14:textId="51A6FFB5" w:rsidR="007916E3" w:rsidRPr="00E2596B" w:rsidRDefault="002B7D9B" w:rsidP="007916E3">
      <w:pPr>
        <w:pStyle w:val="BodyText"/>
        <w:jc w:val="both"/>
        <w:rPr>
          <w:rFonts w:cs="Times New Roman"/>
          <w:lang w:val="en-GB"/>
        </w:rPr>
      </w:pPr>
      <w:r w:rsidRPr="009129FF">
        <w:rPr>
          <w:rFonts w:cs="Times New Roman"/>
          <w:lang w:val="en-GB"/>
        </w:rPr>
        <w:t xml:space="preserve">Physical constraints may also </w:t>
      </w:r>
      <w:r w:rsidR="00C2655B" w:rsidRPr="009129FF">
        <w:rPr>
          <w:rFonts w:cs="Times New Roman"/>
          <w:lang w:val="en-GB"/>
        </w:rPr>
        <w:t xml:space="preserve">restrict </w:t>
      </w:r>
      <w:r w:rsidR="007916E3" w:rsidRPr="00E2596B">
        <w:rPr>
          <w:rFonts w:cs="Times New Roman"/>
          <w:lang w:val="en-GB"/>
        </w:rPr>
        <w:t xml:space="preserve">the supply of houses. </w:t>
      </w:r>
      <w:r w:rsidRPr="009129FF">
        <w:rPr>
          <w:rFonts w:cs="Times New Roman"/>
          <w:lang w:val="en-GB"/>
        </w:rPr>
        <w:t xml:space="preserve">In addition to the topography, the </w:t>
      </w:r>
      <w:r w:rsidR="007916E3" w:rsidRPr="00E2596B">
        <w:rPr>
          <w:rFonts w:cs="Times New Roman"/>
          <w:lang w:val="en-GB"/>
        </w:rPr>
        <w:t xml:space="preserve">share of developed land </w:t>
      </w:r>
      <w:r w:rsidRPr="009129FF">
        <w:rPr>
          <w:rFonts w:cs="Times New Roman"/>
          <w:lang w:val="en-GB"/>
        </w:rPr>
        <w:t>can be thought as an example of those.</w:t>
      </w:r>
      <w:r w:rsidR="007916E3" w:rsidRPr="00E2596B">
        <w:rPr>
          <w:rFonts w:cs="Times New Roman"/>
          <w:lang w:val="en-GB"/>
        </w:rPr>
        <w:t xml:space="preserve"> A potential limitation referred </w:t>
      </w:r>
      <w:r w:rsidRPr="009129FF">
        <w:rPr>
          <w:rFonts w:cs="Times New Roman"/>
          <w:lang w:val="en-GB"/>
        </w:rPr>
        <w:t>the share of developed land</w:t>
      </w:r>
      <w:r w:rsidR="007916E3" w:rsidRPr="00E2596B">
        <w:rPr>
          <w:rFonts w:cs="Times New Roman"/>
          <w:lang w:val="en-GB"/>
        </w:rPr>
        <w:t xml:space="preserve"> is that the availability (or scarcity) of this type of land </w:t>
      </w:r>
      <w:r w:rsidRPr="009129FF">
        <w:rPr>
          <w:rFonts w:cs="Times New Roman"/>
          <w:lang w:val="en-GB"/>
        </w:rPr>
        <w:t>implies opportunity costs that can transmitted to the</w:t>
      </w:r>
      <w:r w:rsidR="007916E3" w:rsidRPr="00E2596B">
        <w:rPr>
          <w:rFonts w:cs="Times New Roman"/>
          <w:lang w:val="en-GB"/>
        </w:rPr>
        <w:t xml:space="preserve"> house prices</w:t>
      </w:r>
      <w:r w:rsidRPr="009129FF">
        <w:rPr>
          <w:rFonts w:cs="Times New Roman"/>
          <w:lang w:val="en-GB"/>
        </w:rPr>
        <w:t>. These can be a source of bias.</w:t>
      </w:r>
      <w:r w:rsidR="007916E3" w:rsidRPr="00E2596B">
        <w:rPr>
          <w:rFonts w:cs="Times New Roman"/>
          <w:lang w:val="en-GB"/>
        </w:rPr>
        <w:t xml:space="preserve"> For addressing this problem, the historic</w:t>
      </w:r>
      <w:r w:rsidRPr="009129FF">
        <w:rPr>
          <w:rFonts w:cs="Times New Roman"/>
          <w:lang w:val="en-GB"/>
        </w:rPr>
        <w:t xml:space="preserve"> density of the</w:t>
      </w:r>
      <w:r w:rsidR="007916E3" w:rsidRPr="00E2596B">
        <w:rPr>
          <w:rFonts w:cs="Times New Roman"/>
          <w:lang w:val="en-GB"/>
        </w:rPr>
        <w:t xml:space="preserve"> population density can</w:t>
      </w:r>
      <w:r w:rsidR="00C2655B" w:rsidRPr="009129FF">
        <w:rPr>
          <w:rFonts w:cs="Times New Roman"/>
          <w:lang w:val="en-GB"/>
        </w:rPr>
        <w:t xml:space="preserve"> reflect earlier forms of agglomeration and</w:t>
      </w:r>
      <w:r w:rsidRPr="009129FF">
        <w:rPr>
          <w:rFonts w:cs="Times New Roman"/>
          <w:lang w:val="en-GB"/>
        </w:rPr>
        <w:t xml:space="preserve"> used</w:t>
      </w:r>
      <w:r w:rsidR="007916E3" w:rsidRPr="00E2596B">
        <w:rPr>
          <w:rFonts w:cs="Times New Roman"/>
          <w:lang w:val="en-GB"/>
        </w:rPr>
        <w:t xml:space="preserve"> for identifying the share of developable land since</w:t>
      </w:r>
      <w:r w:rsidRPr="009129FF">
        <w:rPr>
          <w:rFonts w:cs="Times New Roman"/>
          <w:lang w:val="en-GB"/>
        </w:rPr>
        <w:t>.</w:t>
      </w:r>
      <w:r w:rsidR="007916E3" w:rsidRPr="00E2596B">
        <w:rPr>
          <w:rFonts w:cs="Times New Roman"/>
          <w:lang w:val="en-GB"/>
        </w:rPr>
        <w:t xml:space="preserve"> </w:t>
      </w:r>
      <w:r w:rsidR="00C2655B" w:rsidRPr="009129FF">
        <w:rPr>
          <w:rFonts w:cs="Times New Roman"/>
          <w:lang w:val="en-GB"/>
        </w:rPr>
        <w:t>Hence, w</w:t>
      </w:r>
      <w:r w:rsidR="007916E3" w:rsidRPr="00E2596B">
        <w:rPr>
          <w:rFonts w:cs="Times New Roman"/>
          <w:lang w:val="en-GB"/>
        </w:rPr>
        <w:t>e use the</w:t>
      </w:r>
      <w:r w:rsidR="00C2655B" w:rsidRPr="009129FF">
        <w:rPr>
          <w:rFonts w:cs="Times New Roman"/>
          <w:lang w:val="en-GB"/>
        </w:rPr>
        <w:t xml:space="preserve"> </w:t>
      </w:r>
      <w:r w:rsidR="007916E3" w:rsidRPr="00E2596B">
        <w:rPr>
          <w:rFonts w:cs="Times New Roman"/>
          <w:lang w:val="en-GB"/>
        </w:rPr>
        <w:t>density</w:t>
      </w:r>
      <w:r w:rsidR="00C2655B" w:rsidRPr="009129FF">
        <w:rPr>
          <w:rFonts w:cs="Times New Roman"/>
          <w:lang w:val="en-GB"/>
        </w:rPr>
        <w:t xml:space="preserve"> of population in 1991</w:t>
      </w:r>
      <w:r w:rsidR="007916E3" w:rsidRPr="00E2596B">
        <w:rPr>
          <w:rFonts w:cs="Times New Roman"/>
          <w:lang w:val="en-GB"/>
        </w:rPr>
        <w:t xml:space="preserve"> as an instrument for the share of developable land.</w:t>
      </w:r>
    </w:p>
    <w:p w14:paraId="1A90E352" w14:textId="57CCE9C4" w:rsidR="007916E3" w:rsidRPr="00E2596B" w:rsidRDefault="007916E3" w:rsidP="007916E3">
      <w:pPr>
        <w:pStyle w:val="BodyText"/>
        <w:rPr>
          <w:rFonts w:cs="Times New Roman"/>
          <w:lang w:val="en-GB"/>
        </w:rPr>
      </w:pPr>
      <w:r w:rsidRPr="00E2596B">
        <w:rPr>
          <w:rFonts w:cs="Times New Roman"/>
          <w:lang w:val="en-GB"/>
        </w:rPr>
        <w:t xml:space="preserve">Considering these caveats, we specify Eq. </w:t>
      </w:r>
      <w:r w:rsidR="008430CD" w:rsidRPr="009129FF">
        <w:rPr>
          <w:rFonts w:cs="Times New Roman"/>
          <w:lang w:val="en-GB"/>
        </w:rPr>
        <w:t xml:space="preserve">(2) </w:t>
      </w:r>
      <w:r w:rsidRPr="00E2596B">
        <w:rPr>
          <w:rFonts w:cs="Times New Roman"/>
          <w:lang w:val="en-GB"/>
        </w:rPr>
        <w:t>in order to estimate the first-stage fitted values of the house prices. The predicted values derived from this equation are used then in Eq. (</w:t>
      </w:r>
      <w:r w:rsidR="00C2655B" w:rsidRPr="009129FF">
        <w:rPr>
          <w:rFonts w:cs="Times New Roman"/>
          <w:lang w:val="en-GB"/>
        </w:rPr>
        <w:t>2) for getting</w:t>
      </w:r>
      <w:r w:rsidRPr="00E2596B">
        <w:rPr>
          <w:rFonts w:cs="Times New Roman"/>
          <w:lang w:val="en-GB"/>
        </w:rPr>
        <w:t xml:space="preserve"> a consistent estimate of </w:t>
      </w:r>
      <m:oMath>
        <m:r>
          <w:rPr>
            <w:rFonts w:ascii="Cambria Math" w:hAnsi="Cambria Math" w:cs="Times New Roman"/>
            <w:lang w:val="en-GB"/>
          </w:rPr>
          <m:t>α</m:t>
        </m:r>
      </m:oMath>
    </w:p>
    <w:p w14:paraId="436D7E15" w14:textId="633B8521" w:rsidR="007916E3" w:rsidRPr="00E2596B" w:rsidRDefault="0056434A" w:rsidP="007916E3">
      <w:pPr>
        <w:pStyle w:val="BodyText"/>
        <w:rPr>
          <w:rFonts w:cs="Times New Roman"/>
          <w:lang w:val="en-GB"/>
        </w:rPr>
      </w:pPr>
      <m:oMathPara>
        <m:oMathParaPr>
          <m:jc m:val="center"/>
        </m:oMathParaPr>
        <m:oMath>
          <m:m>
            <m:mPr>
              <m:plcHide m:val="1"/>
              <m:mcs>
                <m:mc>
                  <m:mcPr>
                    <m:count m:val="1"/>
                    <m:mcJc m:val="right"/>
                  </m:mcPr>
                </m:mc>
              </m:mcs>
              <m:ctrlPr>
                <w:rPr>
                  <w:rFonts w:ascii="Cambria Math" w:hAnsi="Cambria Math" w:cs="Times New Roman"/>
                  <w:lang w:val="en-GB"/>
                </w:rPr>
              </m:ctrlPr>
            </m:mPr>
            <m:mr>
              <m:e>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it</m:t>
                    </m:r>
                  </m:sub>
                </m:sSub>
                <m:r>
                  <w:rPr>
                    <w:rFonts w:ascii="Cambria Math" w:hAnsi="Cambria Math" w:cs="Times New Roman"/>
                    <w:lang w:val="en-GB"/>
                  </w:rPr>
                  <m:t>=δ</m:t>
                </m:r>
                <m:sSub>
                  <m:sSubPr>
                    <m:ctrlPr>
                      <w:rPr>
                        <w:rFonts w:ascii="Cambria Math" w:hAnsi="Cambria Math" w:cs="Times New Roman"/>
                        <w:lang w:val="en-GB"/>
                      </w:rPr>
                    </m:ctrlPr>
                  </m:sSubPr>
                  <m:e>
                    <m:r>
                      <w:rPr>
                        <w:rFonts w:ascii="Cambria Math" w:hAnsi="Cambria Math" w:cs="Times New Roman"/>
                        <w:lang w:val="en-GB"/>
                      </w:rPr>
                      <m:t>Z</m:t>
                    </m:r>
                  </m:e>
                  <m:sub>
                    <m:r>
                      <w:rPr>
                        <w:rFonts w:ascii="Cambria Math" w:hAnsi="Cambria Math" w:cs="Times New Roman"/>
                        <w:lang w:val="en-GB"/>
                      </w:rPr>
                      <m:t>it</m:t>
                    </m:r>
                  </m:sub>
                </m:sSub>
                <m:r>
                  <w:rPr>
                    <w:rFonts w:ascii="Cambria Math" w:hAnsi="Cambria Math" w:cs="Times New Roman"/>
                    <w:lang w:val="en-GB"/>
                  </w:rPr>
                  <m:t>+</m:t>
                </m:r>
                <m:r>
                  <w:rPr>
                    <w:rFonts w:ascii="Cambria Math" w:hAnsi="Cambria Math" w:cs="Times New Roman"/>
                    <w:lang w:val="en-GB"/>
                  </w:rPr>
                  <m:t>β</m:t>
                </m:r>
                <m:sSub>
                  <m:sSubPr>
                    <m:ctrlPr>
                      <w:rPr>
                        <w:rFonts w:ascii="Cambria Math" w:hAnsi="Cambria Math" w:cs="Times New Roman"/>
                        <w:i/>
                        <w:lang w:val="en-GB"/>
                      </w:rPr>
                    </m:ctrlPr>
                  </m:sSubPr>
                  <m:e>
                    <m:r>
                      <w:rPr>
                        <w:rFonts w:ascii="Cambria Math" w:hAnsi="Cambria Math" w:cs="Times New Roman"/>
                        <w:lang w:val="en-GB"/>
                      </w:rPr>
                      <m:t>χ</m:t>
                    </m:r>
                  </m:e>
                  <m:sub>
                    <m:r>
                      <w:rPr>
                        <w:rFonts w:ascii="Cambria Math" w:hAnsi="Cambria Math" w:cs="Times New Roman"/>
                        <w:lang w:val="en-GB"/>
                      </w:rPr>
                      <m:t>i</m:t>
                    </m:r>
                  </m:sub>
                </m:sSub>
                <m:r>
                  <w:rPr>
                    <w:rFonts w:ascii="Cambria Math" w:hAnsi="Cambria Math" w:cs="Times New Roman"/>
                    <w:lang w:val="en-GB"/>
                  </w:rPr>
                  <m:t xml:space="preserve">+ </m:t>
                </m:r>
                <m:sSub>
                  <m:sSubPr>
                    <m:ctrlPr>
                      <w:rPr>
                        <w:rFonts w:ascii="Cambria Math" w:hAnsi="Cambria Math" w:cs="Times New Roman"/>
                        <w:lang w:val="en-GB"/>
                      </w:rPr>
                    </m:ctrlPr>
                  </m:sSubPr>
                  <m:e>
                    <m:r>
                      <w:rPr>
                        <w:rFonts w:ascii="Cambria Math" w:hAnsi="Cambria Math" w:cs="Times New Roman"/>
                        <w:lang w:val="en-GB"/>
                      </w:rPr>
                      <m:t>η</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u</m:t>
                    </m:r>
                  </m:e>
                  <m:sub>
                    <m:r>
                      <w:rPr>
                        <w:rFonts w:ascii="Cambria Math" w:hAnsi="Cambria Math" w:cs="Times New Roman"/>
                        <w:lang w:val="en-GB"/>
                      </w:rPr>
                      <m:t>it</m:t>
                    </m:r>
                  </m:sub>
                </m:sSub>
                <m:r>
                  <w:rPr>
                    <w:rFonts w:ascii="Cambria Math" w:hAnsi="Cambria Math" w:cs="Times New Roman"/>
                    <w:lang w:val="en-GB"/>
                  </w:rPr>
                  <m:t xml:space="preserve">     (2)</m:t>
                </m:r>
              </m:e>
            </m:mr>
          </m:m>
        </m:oMath>
      </m:oMathPara>
    </w:p>
    <w:p w14:paraId="5A8AB56F" w14:textId="78DF0DC2" w:rsidR="007916E3" w:rsidRPr="00E2596B" w:rsidRDefault="007916E3" w:rsidP="009129FF">
      <w:pPr>
        <w:pStyle w:val="FirstParagraph"/>
        <w:jc w:val="both"/>
        <w:rPr>
          <w:rFonts w:cs="Times New Roman"/>
          <w:lang w:val="en-GB"/>
        </w:rPr>
      </w:pPr>
      <w:proofErr w:type="gramStart"/>
      <w:r w:rsidRPr="00E2596B">
        <w:rPr>
          <w:rFonts w:cs="Times New Roman"/>
          <w:lang w:val="en-GB"/>
        </w:rPr>
        <w:t>where</w:t>
      </w:r>
      <w:proofErr w:type="gramEnd"/>
      <w:r w:rsidRPr="00E2596B">
        <w:rPr>
          <w:rFonts w:cs="Times New Roman"/>
          <w:lang w:val="en-GB"/>
        </w:rPr>
        <w:t xml:space="preserve"> </w:t>
      </w:r>
      <m:oMath>
        <m:r>
          <w:rPr>
            <w:rFonts w:ascii="Cambria Math" w:hAnsi="Cambria Math" w:cs="Times New Roman"/>
            <w:lang w:val="en-GB"/>
          </w:rPr>
          <m:t>Z</m:t>
        </m:r>
      </m:oMath>
      <w:r w:rsidRPr="00E2596B">
        <w:rPr>
          <w:rFonts w:cs="Times New Roman"/>
          <w:lang w:val="en-GB"/>
        </w:rPr>
        <w:t xml:space="preserve"> refers to the variable associated with the planning regulation (e.g. the rate of refusal of major projects) and </w:t>
      </w:r>
      <m:oMath>
        <m:r>
          <w:rPr>
            <w:rFonts w:ascii="Cambria Math" w:hAnsi="Cambria Math" w:cs="Times New Roman"/>
            <w:lang w:val="en-GB"/>
          </w:rPr>
          <m:t>χ</m:t>
        </m:r>
      </m:oMath>
      <w:r w:rsidRPr="00E2596B">
        <w:rPr>
          <w:rFonts w:cs="Times New Roman"/>
          <w:lang w:val="en-GB"/>
        </w:rPr>
        <w:t xml:space="preserve"> to the variable referred to the physical constraint (e.g. share of </w:t>
      </w:r>
      <w:r w:rsidRPr="00E2596B">
        <w:rPr>
          <w:rFonts w:cs="Times New Roman"/>
          <w:lang w:val="en-GB"/>
        </w:rPr>
        <w:lastRenderedPageBreak/>
        <w:t xml:space="preserve">developed land). An In addition to the specification developed by </w:t>
      </w:r>
      <w:proofErr w:type="spellStart"/>
      <w:r w:rsidR="00E2596B">
        <w:rPr>
          <w:rFonts w:cs="Times New Roman"/>
          <w:lang w:val="en-GB"/>
        </w:rPr>
        <w:t>Hilber</w:t>
      </w:r>
      <w:proofErr w:type="spellEnd"/>
      <w:r w:rsidR="00E2596B">
        <w:rPr>
          <w:rFonts w:cs="Times New Roman"/>
          <w:lang w:val="en-GB"/>
        </w:rPr>
        <w:t xml:space="preserve"> and </w:t>
      </w:r>
      <w:proofErr w:type="spellStart"/>
      <w:r w:rsidR="00E2596B">
        <w:rPr>
          <w:rFonts w:cs="Times New Roman"/>
          <w:lang w:val="en-GB"/>
        </w:rPr>
        <w:t>Vermeulen</w:t>
      </w:r>
      <w:proofErr w:type="spellEnd"/>
      <w:r w:rsidR="00E2596B">
        <w:rPr>
          <w:rFonts w:cs="Times New Roman"/>
          <w:lang w:val="en-GB"/>
        </w:rPr>
        <w:t xml:space="preserve"> (2016)</w:t>
      </w:r>
      <w:r w:rsidRPr="00E2596B">
        <w:rPr>
          <w:rFonts w:cs="Times New Roman"/>
          <w:lang w:val="en-GB"/>
        </w:rPr>
        <w:t xml:space="preserve">, we include </w:t>
      </w:r>
      <m:oMath>
        <m:r>
          <w:rPr>
            <w:rFonts w:ascii="Cambria Math" w:hAnsi="Cambria Math" w:cs="Times New Roman"/>
            <w:lang w:val="en-GB"/>
          </w:rPr>
          <m:t>η</m:t>
        </m:r>
      </m:oMath>
      <w:r w:rsidRPr="00E2596B">
        <w:rPr>
          <w:rFonts w:cs="Times New Roman"/>
          <w:lang w:val="en-GB"/>
        </w:rPr>
        <w:t xml:space="preserve"> as a control for the contemporaneous share of Labour voters for each local authority. </w:t>
      </w:r>
      <w:r w:rsidR="00E2596B">
        <w:rPr>
          <w:rFonts w:cs="Times New Roman"/>
          <w:lang w:val="en-GB"/>
        </w:rPr>
        <w:t>We introduce this variable in order to control for unobserved trends that may affect the historical share of labour voters. For example, s</w:t>
      </w:r>
      <w:r w:rsidRPr="00E2596B">
        <w:rPr>
          <w:rFonts w:cs="Times New Roman"/>
          <w:lang w:val="en-GB"/>
        </w:rPr>
        <w:t>ome areas</w:t>
      </w:r>
      <w:r w:rsidR="00E2596B">
        <w:rPr>
          <w:rFonts w:cs="Times New Roman"/>
          <w:lang w:val="en-GB"/>
        </w:rPr>
        <w:t xml:space="preserve"> may</w:t>
      </w:r>
      <w:r w:rsidRPr="00E2596B">
        <w:rPr>
          <w:rFonts w:cs="Times New Roman"/>
          <w:lang w:val="en-GB"/>
        </w:rPr>
        <w:t xml:space="preserve"> </w:t>
      </w:r>
      <w:r w:rsidR="00E2596B">
        <w:rPr>
          <w:rFonts w:cs="Times New Roman"/>
          <w:lang w:val="en-GB"/>
        </w:rPr>
        <w:t>have received</w:t>
      </w:r>
      <w:r w:rsidRPr="00E2596B">
        <w:rPr>
          <w:rFonts w:cs="Times New Roman"/>
          <w:lang w:val="en-GB"/>
        </w:rPr>
        <w:t xml:space="preserve"> the inflow of certain residents that </w:t>
      </w:r>
      <w:r w:rsidR="00E2596B">
        <w:rPr>
          <w:rFonts w:cs="Times New Roman"/>
          <w:lang w:val="en-GB"/>
        </w:rPr>
        <w:t xml:space="preserve">have </w:t>
      </w:r>
      <w:r w:rsidRPr="00E2596B">
        <w:rPr>
          <w:rFonts w:cs="Times New Roman"/>
          <w:lang w:val="en-GB"/>
        </w:rPr>
        <w:t xml:space="preserve">changed the demographic composition </w:t>
      </w:r>
      <w:r w:rsidR="00E2596B">
        <w:rPr>
          <w:rFonts w:cs="Times New Roman"/>
          <w:lang w:val="en-GB"/>
        </w:rPr>
        <w:t xml:space="preserve">and the </w:t>
      </w:r>
      <w:r w:rsidRPr="00E2596B">
        <w:rPr>
          <w:rFonts w:cs="Times New Roman"/>
          <w:lang w:val="en-GB"/>
        </w:rPr>
        <w:t>voting behaviour.</w:t>
      </w:r>
    </w:p>
    <w:p w14:paraId="165F39F2" w14:textId="167DE5AC" w:rsidR="007916E3" w:rsidRPr="00E2596B" w:rsidRDefault="00E2596B" w:rsidP="009129FF">
      <w:pPr>
        <w:pStyle w:val="BodyText"/>
        <w:jc w:val="both"/>
        <w:rPr>
          <w:rFonts w:cs="Times New Roman"/>
          <w:lang w:val="en-GB"/>
        </w:rPr>
      </w:pPr>
      <w:r>
        <w:rPr>
          <w:rFonts w:cs="Times New Roman"/>
          <w:lang w:val="en-GB"/>
        </w:rPr>
        <w:t xml:space="preserve">The main difference of our approach in comparison to the strategy developed by </w:t>
      </w:r>
      <w:proofErr w:type="spellStart"/>
      <w:r>
        <w:rPr>
          <w:rFonts w:cs="Times New Roman"/>
          <w:lang w:val="en-GB"/>
        </w:rPr>
        <w:t>Hilber</w:t>
      </w:r>
      <w:proofErr w:type="spellEnd"/>
      <w:r>
        <w:rPr>
          <w:rFonts w:cs="Times New Roman"/>
          <w:lang w:val="en-GB"/>
        </w:rPr>
        <w:t xml:space="preserve"> and </w:t>
      </w:r>
      <w:proofErr w:type="spellStart"/>
      <w:r>
        <w:rPr>
          <w:rFonts w:cs="Times New Roman"/>
          <w:lang w:val="en-GB"/>
        </w:rPr>
        <w:t>Vermeulen</w:t>
      </w:r>
      <w:proofErr w:type="spellEnd"/>
      <w:r>
        <w:rPr>
          <w:rFonts w:cs="Times New Roman"/>
          <w:lang w:val="en-GB"/>
        </w:rPr>
        <w:t xml:space="preserve"> (2016), is that</w:t>
      </w:r>
      <w:r w:rsidR="007916E3" w:rsidRPr="00E2596B">
        <w:rPr>
          <w:rFonts w:cs="Times New Roman"/>
          <w:lang w:val="en-GB"/>
        </w:rPr>
        <w:t xml:space="preserve"> use two instruments for identifying the house prices rather than a single instrument for identifying variables that determine them such as the planning regulations and the share of developed land.</w:t>
      </w:r>
    </w:p>
    <w:p w14:paraId="5E3EAB7D" w14:textId="2C9149CB" w:rsidR="007916E3" w:rsidRPr="00E2596B" w:rsidRDefault="007916E3" w:rsidP="009129FF">
      <w:pPr>
        <w:pStyle w:val="BodyText"/>
        <w:jc w:val="both"/>
        <w:rPr>
          <w:rFonts w:cs="Times New Roman"/>
          <w:lang w:val="en-GB"/>
        </w:rPr>
      </w:pPr>
      <w:r w:rsidRPr="00E2596B">
        <w:rPr>
          <w:rFonts w:cs="Times New Roman"/>
          <w:lang w:val="en-GB"/>
        </w:rPr>
        <w:t xml:space="preserve">Table </w:t>
      </w:r>
      <w:r w:rsidR="00E2596B">
        <w:rPr>
          <w:rFonts w:cs="Times New Roman"/>
          <w:lang w:val="en-GB"/>
        </w:rPr>
        <w:t xml:space="preserve">(2) </w:t>
      </w:r>
      <w:r w:rsidRPr="00E2596B">
        <w:rPr>
          <w:rFonts w:cs="Times New Roman"/>
          <w:lang w:val="en-GB"/>
        </w:rPr>
        <w:t xml:space="preserve">shows evidence on the validity of the instruments. </w:t>
      </w:r>
      <w:r w:rsidR="00E2596B">
        <w:rPr>
          <w:rFonts w:cs="Times New Roman"/>
          <w:lang w:val="en-GB"/>
        </w:rPr>
        <w:t xml:space="preserve">Considering </w:t>
      </w:r>
      <w:r w:rsidRPr="00E2596B">
        <w:rPr>
          <w:rFonts w:cs="Times New Roman"/>
          <w:lang w:val="en-GB"/>
        </w:rPr>
        <w:t>the regression specified in Eq.</w:t>
      </w:r>
      <w:r w:rsidR="00E2596B">
        <w:rPr>
          <w:rFonts w:cs="Times New Roman"/>
          <w:lang w:val="en-GB"/>
        </w:rPr>
        <w:t xml:space="preserve"> (2)</w:t>
      </w:r>
      <w:r w:rsidRPr="00E2596B">
        <w:rPr>
          <w:rFonts w:cs="Times New Roman"/>
          <w:lang w:val="en-GB"/>
        </w:rPr>
        <w:t>,</w:t>
      </w:r>
      <w:r w:rsidR="00E2596B">
        <w:rPr>
          <w:rFonts w:cs="Times New Roman"/>
          <w:lang w:val="en-GB"/>
        </w:rPr>
        <w:t xml:space="preserve"> c</w:t>
      </w:r>
      <w:r w:rsidRPr="00E2596B">
        <w:rPr>
          <w:rFonts w:cs="Times New Roman"/>
          <w:lang w:val="en-GB"/>
        </w:rPr>
        <w:t>olumns (</w:t>
      </w:r>
      <w:r w:rsidR="009506BA">
        <w:rPr>
          <w:rFonts w:cs="Times New Roman"/>
          <w:lang w:val="en-GB"/>
        </w:rPr>
        <w:t>1</w:t>
      </w:r>
      <w:r w:rsidRPr="00E2596B">
        <w:rPr>
          <w:rFonts w:cs="Times New Roman"/>
          <w:lang w:val="en-GB"/>
        </w:rPr>
        <w:t>) and (</w:t>
      </w:r>
      <w:r w:rsidR="009506BA">
        <w:rPr>
          <w:rFonts w:cs="Times New Roman"/>
          <w:lang w:val="en-GB"/>
        </w:rPr>
        <w:t>2</w:t>
      </w:r>
      <w:r w:rsidRPr="00E2596B">
        <w:rPr>
          <w:rFonts w:cs="Times New Roman"/>
          <w:lang w:val="en-GB"/>
        </w:rPr>
        <w:t xml:space="preserve">) present the estimates corresponding </w:t>
      </w:r>
      <w:r w:rsidR="009506BA">
        <w:rPr>
          <w:rFonts w:cs="Times New Roman"/>
          <w:lang w:val="en-GB"/>
        </w:rPr>
        <w:t xml:space="preserve">to </w:t>
      </w:r>
      <w:r w:rsidRPr="00E2596B">
        <w:rPr>
          <w:rFonts w:cs="Times New Roman"/>
          <w:lang w:val="en-GB"/>
        </w:rPr>
        <w:t xml:space="preserve">the change in the rate of delay and the local share of Labour voters respectively. The results associated with these estimations point at the direction that we would expect. Greater changes </w:t>
      </w:r>
      <w:r w:rsidR="009506BA">
        <w:rPr>
          <w:rFonts w:cs="Times New Roman"/>
          <w:lang w:val="en-GB"/>
        </w:rPr>
        <w:t>between</w:t>
      </w:r>
      <w:r w:rsidRPr="00E2596B">
        <w:rPr>
          <w:rFonts w:cs="Times New Roman"/>
          <w:lang w:val="en-GB"/>
        </w:rPr>
        <w:t xml:space="preserve"> the delay rates pre and post reform</w:t>
      </w:r>
      <w:r w:rsidR="009506BA">
        <w:rPr>
          <w:rFonts w:cs="Times New Roman"/>
          <w:lang w:val="en-GB"/>
        </w:rPr>
        <w:t>,</w:t>
      </w:r>
      <w:r w:rsidRPr="00E2596B">
        <w:rPr>
          <w:rFonts w:cs="Times New Roman"/>
          <w:lang w:val="en-GB"/>
        </w:rPr>
        <w:t xml:space="preserve"> influence negatively the house prices. </w:t>
      </w:r>
      <w:r w:rsidR="009506BA">
        <w:rPr>
          <w:rFonts w:cs="Times New Roman"/>
          <w:lang w:val="en-GB"/>
        </w:rPr>
        <w:t>Bigger</w:t>
      </w:r>
      <w:r w:rsidRPr="00E2596B">
        <w:rPr>
          <w:rFonts w:cs="Times New Roman"/>
          <w:lang w:val="en-GB"/>
        </w:rPr>
        <w:t xml:space="preserve"> differences </w:t>
      </w:r>
      <w:r w:rsidR="009506BA">
        <w:rPr>
          <w:rFonts w:cs="Times New Roman"/>
          <w:lang w:val="en-GB"/>
        </w:rPr>
        <w:t xml:space="preserve">indicate </w:t>
      </w:r>
      <w:r w:rsidRPr="00E2596B">
        <w:rPr>
          <w:rFonts w:cs="Times New Roman"/>
          <w:lang w:val="en-GB"/>
        </w:rPr>
        <w:t>greater reductions in the rate</w:t>
      </w:r>
      <w:r w:rsidR="009506BA">
        <w:rPr>
          <w:rFonts w:cs="Times New Roman"/>
          <w:lang w:val="en-GB"/>
        </w:rPr>
        <w:t>s</w:t>
      </w:r>
      <w:r w:rsidRPr="00E2596B">
        <w:rPr>
          <w:rFonts w:cs="Times New Roman"/>
          <w:lang w:val="en-GB"/>
        </w:rPr>
        <w:t xml:space="preserve"> of delay</w:t>
      </w:r>
      <w:r w:rsidR="009506BA">
        <w:rPr>
          <w:rFonts w:cs="Times New Roman"/>
          <w:lang w:val="en-GB"/>
        </w:rPr>
        <w:t xml:space="preserve">. As we explained before, </w:t>
      </w:r>
      <w:r w:rsidR="009129FF">
        <w:rPr>
          <w:rFonts w:cs="Times New Roman"/>
          <w:lang w:val="en-GB"/>
        </w:rPr>
        <w:t>less delay rates</w:t>
      </w:r>
      <w:r w:rsidRPr="00E2596B">
        <w:rPr>
          <w:rFonts w:cs="Times New Roman"/>
          <w:lang w:val="en-GB"/>
        </w:rPr>
        <w:t xml:space="preserve"> would be substituted with more rejections of the major projects </w:t>
      </w:r>
      <w:r w:rsidR="009506BA">
        <w:rPr>
          <w:rFonts w:cs="Times New Roman"/>
          <w:lang w:val="en-GB"/>
        </w:rPr>
        <w:t>in the case of more restrictive local authorities</w:t>
      </w:r>
      <w:r w:rsidRPr="00E2596B">
        <w:rPr>
          <w:rFonts w:cs="Times New Roman"/>
          <w:lang w:val="en-GB"/>
        </w:rPr>
        <w:t>. Likewise, the share of Labour voters is also associated with lower levels in the house prices. Column (</w:t>
      </w:r>
      <w:r w:rsidR="009129FF">
        <w:rPr>
          <w:rFonts w:cs="Times New Roman"/>
          <w:lang w:val="en-GB"/>
        </w:rPr>
        <w:t>3</w:t>
      </w:r>
      <w:r w:rsidRPr="00E2596B">
        <w:rPr>
          <w:rFonts w:cs="Times New Roman"/>
          <w:lang w:val="en-GB"/>
        </w:rPr>
        <w:t>) includes the estimation results considering only the density in the population in 1911 as the single instrument and column (</w:t>
      </w:r>
      <w:r w:rsidR="009129FF">
        <w:rPr>
          <w:rFonts w:cs="Times New Roman"/>
          <w:lang w:val="en-GB"/>
        </w:rPr>
        <w:t>4</w:t>
      </w:r>
      <w:r w:rsidRPr="00E2596B">
        <w:rPr>
          <w:rFonts w:cs="Times New Roman"/>
          <w:lang w:val="en-GB"/>
        </w:rPr>
        <w:t>) include</w:t>
      </w:r>
      <w:r w:rsidR="009129FF">
        <w:rPr>
          <w:rFonts w:cs="Times New Roman"/>
          <w:lang w:val="en-GB"/>
        </w:rPr>
        <w:t>s</w:t>
      </w:r>
      <w:r w:rsidRPr="00E2596B">
        <w:rPr>
          <w:rFonts w:cs="Times New Roman"/>
          <w:lang w:val="en-GB"/>
        </w:rPr>
        <w:t xml:space="preserve"> all</w:t>
      </w:r>
      <w:r w:rsidR="009129FF">
        <w:rPr>
          <w:rFonts w:cs="Times New Roman"/>
          <w:lang w:val="en-GB"/>
        </w:rPr>
        <w:t xml:space="preserve"> the instruments</w:t>
      </w:r>
      <w:r w:rsidRPr="00E2596B">
        <w:rPr>
          <w:rFonts w:cs="Times New Roman"/>
          <w:lang w:val="en-GB"/>
        </w:rPr>
        <w:t>.</w:t>
      </w:r>
    </w:p>
    <w:p w14:paraId="2545CB8E" w14:textId="1AB814B5" w:rsidR="007916E3" w:rsidRPr="00E2596B" w:rsidRDefault="007916E3" w:rsidP="009129FF">
      <w:pPr>
        <w:pStyle w:val="BodyText"/>
        <w:jc w:val="both"/>
        <w:rPr>
          <w:rFonts w:cs="Times New Roman"/>
          <w:lang w:val="en-GB"/>
        </w:rPr>
      </w:pPr>
      <w:r w:rsidRPr="00E2596B">
        <w:rPr>
          <w:rFonts w:cs="Times New Roman"/>
          <w:lang w:val="en-GB"/>
        </w:rPr>
        <w:t>The bottom of</w:t>
      </w:r>
      <w:r w:rsidR="009129FF">
        <w:rPr>
          <w:rFonts w:cs="Times New Roman"/>
          <w:lang w:val="en-GB"/>
        </w:rPr>
        <w:t xml:space="preserve"> Table (2)</w:t>
      </w:r>
      <w:r w:rsidRPr="00E2596B">
        <w:rPr>
          <w:rFonts w:cs="Times New Roman"/>
          <w:lang w:val="en-GB"/>
        </w:rPr>
        <w:t xml:space="preserve"> shows various tests that assess validity of the instruments. First, we evaluate the strength of the correlation between the instruments and </w:t>
      </w:r>
      <m:oMath>
        <m:sSub>
          <m:sSubPr>
            <m:ctrlPr>
              <w:rPr>
                <w:rFonts w:ascii="Cambria Math" w:hAnsi="Cambria Math" w:cs="Times New Roman"/>
                <w:lang w:val="en-GB"/>
              </w:rPr>
            </m:ctrlPr>
          </m:sSubPr>
          <m:e>
            <m:r>
              <w:rPr>
                <w:rFonts w:ascii="Cambria Math" w:hAnsi="Cambria Math" w:cs="Times New Roman"/>
                <w:lang w:val="en-GB"/>
              </w:rPr>
              <m:t>P</m:t>
            </m:r>
          </m:e>
          <m:sub>
            <m:r>
              <w:rPr>
                <w:rFonts w:ascii="Cambria Math" w:hAnsi="Cambria Math" w:cs="Times New Roman"/>
                <w:lang w:val="en-GB"/>
              </w:rPr>
              <m:t>i</m:t>
            </m:r>
          </m:sub>
        </m:sSub>
      </m:oMath>
      <w:r w:rsidRPr="00E2596B">
        <w:rPr>
          <w:rFonts w:cs="Times New Roman"/>
          <w:lang w:val="en-GB"/>
        </w:rPr>
        <w:t xml:space="preserve">. The join </w:t>
      </w:r>
      <m:oMath>
        <m:r>
          <w:rPr>
            <w:rFonts w:ascii="Cambria Math" w:hAnsi="Cambria Math" w:cs="Times New Roman"/>
            <w:lang w:val="en-GB"/>
          </w:rPr>
          <m:t>F</m:t>
        </m:r>
      </m:oMath>
      <w:r w:rsidRPr="00E2596B">
        <w:rPr>
          <w:rFonts w:cs="Times New Roman"/>
          <w:lang w:val="en-GB"/>
        </w:rPr>
        <w:t xml:space="preserve"> test of excluded instruments is highly significant at at a lower level than 0.01 in all the cases. On the same basis, we also present the results of weak instruments test using a </w:t>
      </w:r>
      <w:proofErr w:type="spellStart"/>
      <w:r w:rsidRPr="00E2596B">
        <w:rPr>
          <w:rFonts w:cs="Times New Roman"/>
          <w:lang w:val="en-GB"/>
        </w:rPr>
        <w:t>Cragg</w:t>
      </w:r>
      <w:proofErr w:type="spellEnd"/>
      <w:r w:rsidRPr="00E2596B">
        <w:rPr>
          <w:rFonts w:cs="Times New Roman"/>
          <w:lang w:val="en-GB"/>
        </w:rPr>
        <w:t xml:space="preserve"> Donald Wald </w:t>
      </w:r>
      <m:oMath>
        <m:r>
          <w:rPr>
            <w:rFonts w:ascii="Cambria Math" w:hAnsi="Cambria Math" w:cs="Times New Roman"/>
            <w:lang w:val="en-GB"/>
          </w:rPr>
          <m:t>F</m:t>
        </m:r>
      </m:oMath>
      <w:r w:rsidRPr="00E2596B">
        <w:rPr>
          <w:rFonts w:cs="Times New Roman"/>
          <w:lang w:val="en-GB"/>
        </w:rPr>
        <w:t xml:space="preserve"> statistic and a Kleibergen-Paap Wald rk </w:t>
      </w:r>
      <m:oMath>
        <m:r>
          <w:rPr>
            <w:rFonts w:ascii="Cambria Math" w:hAnsi="Cambria Math" w:cs="Times New Roman"/>
            <w:lang w:val="en-GB"/>
          </w:rPr>
          <m:t>F</m:t>
        </m:r>
      </m:oMath>
      <w:r w:rsidRPr="00E2596B">
        <w:rPr>
          <w:rFonts w:cs="Times New Roman"/>
          <w:lang w:val="en-GB"/>
        </w:rPr>
        <w:t xml:space="preserve"> statistic. </w:t>
      </w:r>
      <w:r w:rsidR="009129FF">
        <w:rPr>
          <w:rFonts w:cs="Times New Roman"/>
          <w:lang w:val="en-GB"/>
        </w:rPr>
        <w:t>T</w:t>
      </w:r>
      <w:r w:rsidRPr="00E2596B">
        <w:rPr>
          <w:rFonts w:cs="Times New Roman"/>
          <w:lang w:val="en-GB"/>
        </w:rPr>
        <w:t>he results yielded by these tests suggest that weak instruments do not seem to be a problemd in our regressions.</w:t>
      </w:r>
    </w:p>
    <w:p w14:paraId="019EC4B5" w14:textId="5DADCAA0" w:rsidR="007916E3" w:rsidRPr="00E2596B" w:rsidRDefault="007916E3" w:rsidP="009129FF">
      <w:pPr>
        <w:pStyle w:val="BodyText"/>
        <w:jc w:val="both"/>
        <w:rPr>
          <w:rFonts w:cs="Times New Roman"/>
          <w:lang w:val="en-GB"/>
        </w:rPr>
      </w:pPr>
      <w:r w:rsidRPr="00E2596B">
        <w:rPr>
          <w:rFonts w:cs="Times New Roman"/>
          <w:lang w:val="en-GB"/>
        </w:rPr>
        <w:t>Second, since our estimations use in some cases various instrumental variables for identifying a single endogenous variable, we present the results of over-identification tests based on</w:t>
      </w:r>
      <w:r w:rsidR="009129FF">
        <w:rPr>
          <w:rFonts w:cs="Times New Roman"/>
          <w:lang w:val="en-GB"/>
        </w:rPr>
        <w:t xml:space="preserve"> </w:t>
      </w:r>
      <w:proofErr w:type="spellStart"/>
      <w:r w:rsidR="009129FF">
        <w:rPr>
          <w:rFonts w:cs="Times New Roman"/>
          <w:lang w:val="en-GB"/>
        </w:rPr>
        <w:t>Sargan</w:t>
      </w:r>
      <w:proofErr w:type="spellEnd"/>
      <w:r w:rsidR="009129FF">
        <w:rPr>
          <w:rFonts w:cs="Times New Roman"/>
          <w:lang w:val="en-GB"/>
        </w:rPr>
        <w:t xml:space="preserve"> (1958)</w:t>
      </w:r>
      <w:r w:rsidRPr="00E2596B">
        <w:rPr>
          <w:rStyle w:val="FootnoteReference"/>
          <w:rFonts w:cs="Times New Roman"/>
          <w:lang w:val="en-GB"/>
        </w:rPr>
        <w:footnoteReference w:id="1"/>
      </w:r>
      <w:r w:rsidRPr="00E2596B">
        <w:rPr>
          <w:rFonts w:cs="Times New Roman"/>
          <w:lang w:val="en-GB"/>
        </w:rPr>
        <w:t xml:space="preserve">. The </w:t>
      </w:r>
      <m:oMath>
        <m:r>
          <w:rPr>
            <w:rFonts w:ascii="Cambria Math" w:hAnsi="Cambria Math" w:cs="Times New Roman"/>
            <w:lang w:val="en-GB"/>
          </w:rPr>
          <m:t>p</m:t>
        </m:r>
        <m:r>
          <w:rPr>
            <w:rFonts w:ascii="Cambria Math" w:hAnsi="Cambria Math" w:cs="Times New Roman"/>
            <w:lang w:val="en-GB"/>
          </w:rPr>
          <m:t xml:space="preserve"> </m:t>
        </m:r>
        <m:r>
          <w:rPr>
            <w:rFonts w:ascii="Cambria Math" w:hAnsi="Cambria Math" w:cs="Times New Roman"/>
            <w:lang w:val="en-GB"/>
          </w:rPr>
          <m:t>values</m:t>
        </m:r>
      </m:oMath>
      <w:r w:rsidRPr="00E2596B">
        <w:rPr>
          <w:rFonts w:cs="Times New Roman"/>
          <w:lang w:val="en-GB"/>
        </w:rPr>
        <w:t xml:space="preserve"> referred to the statistic considering the rate of re</w:t>
      </w:r>
      <w:proofErr w:type="spellStart"/>
      <w:r w:rsidRPr="00E2596B">
        <w:rPr>
          <w:rFonts w:cs="Times New Roman"/>
          <w:lang w:val="en-GB"/>
        </w:rPr>
        <w:t>fusal</w:t>
      </w:r>
      <w:proofErr w:type="spellEnd"/>
      <w:r w:rsidRPr="00E2596B">
        <w:rPr>
          <w:rFonts w:cs="Times New Roman"/>
          <w:lang w:val="en-GB"/>
        </w:rPr>
        <w:t xml:space="preserve"> and the share of Labour voters (columns (</w:t>
      </w:r>
      <w:r w:rsidR="009129FF">
        <w:rPr>
          <w:rFonts w:cs="Times New Roman"/>
          <w:lang w:val="en-GB"/>
        </w:rPr>
        <w:t>2</w:t>
      </w:r>
      <w:r w:rsidRPr="00E2596B">
        <w:rPr>
          <w:rFonts w:cs="Times New Roman"/>
          <w:lang w:val="en-GB"/>
        </w:rPr>
        <w:t>), and (</w:t>
      </w:r>
      <w:r w:rsidR="009129FF">
        <w:rPr>
          <w:rFonts w:cs="Times New Roman"/>
          <w:lang w:val="en-GB"/>
        </w:rPr>
        <w:t>4</w:t>
      </w:r>
      <w:r w:rsidRPr="00E2596B">
        <w:rPr>
          <w:rFonts w:cs="Times New Roman"/>
          <w:lang w:val="en-GB"/>
        </w:rPr>
        <w:t>) respectively) are lower than 0.01. This suggests the rejection of the null hypothesis of valid over identification restrictions and raises a caveat when interpreting the results derived from these specifications since not all the instruments may be identifying the the same vector of parameters .</w:t>
      </w:r>
    </w:p>
    <w:p w14:paraId="42ECF71F" w14:textId="77777777" w:rsidR="00F54097" w:rsidRPr="00E2596B" w:rsidRDefault="00F54097">
      <w:pPr>
        <w:rPr>
          <w:rFonts w:cs="Times New Roman"/>
        </w:rPr>
      </w:pPr>
    </w:p>
    <w:sectPr w:rsidR="00F54097" w:rsidRPr="00E2596B" w:rsidSect="00A124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A717E" w14:textId="77777777" w:rsidR="00CD3C98" w:rsidRDefault="00CD3C98" w:rsidP="007916E3">
      <w:r>
        <w:separator/>
      </w:r>
    </w:p>
  </w:endnote>
  <w:endnote w:type="continuationSeparator" w:id="0">
    <w:p w14:paraId="0529327C" w14:textId="77777777" w:rsidR="00CD3C98" w:rsidRDefault="00CD3C98" w:rsidP="0079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54D22" w14:textId="77777777" w:rsidR="00CD3C98" w:rsidRDefault="00CD3C98" w:rsidP="007916E3">
      <w:r>
        <w:separator/>
      </w:r>
    </w:p>
  </w:footnote>
  <w:footnote w:type="continuationSeparator" w:id="0">
    <w:p w14:paraId="51342612" w14:textId="77777777" w:rsidR="00CD3C98" w:rsidRDefault="00CD3C98" w:rsidP="007916E3">
      <w:r>
        <w:continuationSeparator/>
      </w:r>
    </w:p>
  </w:footnote>
  <w:footnote w:id="1">
    <w:p w14:paraId="2DDE9CE4" w14:textId="77777777" w:rsidR="007916E3" w:rsidRDefault="007916E3" w:rsidP="007916E3">
      <w:pPr>
        <w:pStyle w:val="FootnoteText"/>
      </w:pPr>
      <w:r>
        <w:rPr>
          <w:rStyle w:val="FootnoteReference"/>
        </w:rPr>
        <w:footnoteRef/>
      </w:r>
      <w:r>
        <w:t xml:space="preserve"> The statistic resulting from this test is distributed as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under the joint null hypothesis that the instruments are valid instruments.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E3"/>
    <w:rsid w:val="00015A87"/>
    <w:rsid w:val="00070F5A"/>
    <w:rsid w:val="001A476F"/>
    <w:rsid w:val="00213013"/>
    <w:rsid w:val="002B7D9B"/>
    <w:rsid w:val="00397009"/>
    <w:rsid w:val="004D52A3"/>
    <w:rsid w:val="0056434A"/>
    <w:rsid w:val="006F7C16"/>
    <w:rsid w:val="007916E3"/>
    <w:rsid w:val="00794229"/>
    <w:rsid w:val="008430CD"/>
    <w:rsid w:val="009129FF"/>
    <w:rsid w:val="00926DB3"/>
    <w:rsid w:val="009506BA"/>
    <w:rsid w:val="00A02B94"/>
    <w:rsid w:val="00A12460"/>
    <w:rsid w:val="00C2655B"/>
    <w:rsid w:val="00CD3C98"/>
    <w:rsid w:val="00D1732E"/>
    <w:rsid w:val="00D57DEF"/>
    <w:rsid w:val="00E2596B"/>
    <w:rsid w:val="00EC32C9"/>
    <w:rsid w:val="00F414DA"/>
    <w:rsid w:val="00F5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E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16E3"/>
    <w:pPr>
      <w:spacing w:before="180" w:after="180"/>
    </w:pPr>
    <w:rPr>
      <w:lang w:val="en-US"/>
    </w:rPr>
  </w:style>
  <w:style w:type="character" w:customStyle="1" w:styleId="BodyTextChar">
    <w:name w:val="Body Text Char"/>
    <w:basedOn w:val="DefaultParagraphFont"/>
    <w:link w:val="BodyText"/>
    <w:rsid w:val="007916E3"/>
  </w:style>
  <w:style w:type="paragraph" w:customStyle="1" w:styleId="FirstParagraph">
    <w:name w:val="First Paragraph"/>
    <w:basedOn w:val="BodyText"/>
    <w:next w:val="BodyText"/>
    <w:qFormat/>
    <w:rsid w:val="007916E3"/>
  </w:style>
  <w:style w:type="paragraph" w:styleId="FootnoteText">
    <w:name w:val="footnote text"/>
    <w:basedOn w:val="Normal"/>
    <w:link w:val="FootnoteTextChar"/>
    <w:uiPriority w:val="9"/>
    <w:unhideWhenUsed/>
    <w:qFormat/>
    <w:rsid w:val="007916E3"/>
    <w:pPr>
      <w:spacing w:after="200"/>
    </w:pPr>
    <w:rPr>
      <w:lang w:val="en-US"/>
    </w:rPr>
  </w:style>
  <w:style w:type="character" w:customStyle="1" w:styleId="FootnoteTextChar">
    <w:name w:val="Footnote Text Char"/>
    <w:basedOn w:val="DefaultParagraphFont"/>
    <w:link w:val="FootnoteText"/>
    <w:uiPriority w:val="9"/>
    <w:rsid w:val="007916E3"/>
  </w:style>
  <w:style w:type="character" w:styleId="FootnoteReference">
    <w:name w:val="footnote reference"/>
    <w:basedOn w:val="DefaultParagraphFont"/>
    <w:rsid w:val="007916E3"/>
    <w:rPr>
      <w:vertAlign w:val="superscript"/>
    </w:rPr>
  </w:style>
  <w:style w:type="paragraph" w:styleId="BalloonText">
    <w:name w:val="Balloon Text"/>
    <w:basedOn w:val="Normal"/>
    <w:link w:val="BalloonTextChar"/>
    <w:uiPriority w:val="99"/>
    <w:semiHidden/>
    <w:unhideWhenUsed/>
    <w:rsid w:val="00D57D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DEF"/>
    <w:rPr>
      <w:rFonts w:ascii="Segoe UI" w:hAnsi="Segoe UI" w:cs="Segoe UI"/>
      <w:sz w:val="18"/>
      <w:szCs w:val="18"/>
      <w:lang w:val="en-GB"/>
    </w:rPr>
  </w:style>
  <w:style w:type="paragraph" w:styleId="Revision">
    <w:name w:val="Revision"/>
    <w:hidden/>
    <w:uiPriority w:val="99"/>
    <w:semiHidden/>
    <w:rsid w:val="00397009"/>
    <w:rPr>
      <w:lang w:val="en-GB"/>
    </w:rPr>
  </w:style>
  <w:style w:type="character" w:styleId="PlaceholderText">
    <w:name w:val="Placeholder Text"/>
    <w:basedOn w:val="DefaultParagraphFont"/>
    <w:uiPriority w:val="99"/>
    <w:semiHidden/>
    <w:rsid w:val="00794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ADAFB2-7AD6-4E75-BF0B-274ED2D6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Eduardo Gonzalo (PGR)</cp:lastModifiedBy>
  <cp:revision>6</cp:revision>
  <dcterms:created xsi:type="dcterms:W3CDTF">2017-05-11T18:40:00Z</dcterms:created>
  <dcterms:modified xsi:type="dcterms:W3CDTF">2017-05-12T11:37:00Z</dcterms:modified>
</cp:coreProperties>
</file>