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BF819" w14:textId="77777777" w:rsidR="00E722A1" w:rsidRPr="000E4556" w:rsidRDefault="00E722A1" w:rsidP="00E722A1">
      <w:pPr>
        <w:pStyle w:val="Heading2"/>
        <w:rPr>
          <w:lang w:val="en-GB"/>
        </w:rPr>
      </w:pPr>
      <w:bookmarkStart w:id="0" w:name="english-local-government"/>
      <w:bookmarkEnd w:id="0"/>
      <w:r w:rsidRPr="000E4556">
        <w:rPr>
          <w:lang w:val="en-GB"/>
        </w:rPr>
        <w:t>English local government</w:t>
      </w:r>
    </w:p>
    <w:p w14:paraId="29D041B8" w14:textId="67CF71D1" w:rsidR="00E722A1" w:rsidRPr="002348B3" w:rsidRDefault="00E722A1" w:rsidP="002348B3">
      <w:pPr>
        <w:pStyle w:val="BodyText"/>
      </w:pPr>
      <w:r w:rsidRPr="000E4556">
        <w:rPr>
          <w:lang w:val="en-GB"/>
        </w:rPr>
        <w:t>In England, urban planning and</w:t>
      </w:r>
      <w:r>
        <w:rPr>
          <w:lang w:val="en-GB"/>
        </w:rPr>
        <w:t xml:space="preserve"> long term care are </w:t>
      </w:r>
      <w:r w:rsidRPr="000E4556">
        <w:rPr>
          <w:lang w:val="en-GB"/>
        </w:rPr>
        <w:t xml:space="preserve">responsibility of local governments. Local </w:t>
      </w:r>
      <w:r w:rsidR="00CB0377">
        <w:rPr>
          <w:lang w:val="en-GB"/>
        </w:rPr>
        <w:t xml:space="preserve">authorities </w:t>
      </w:r>
      <w:r w:rsidRPr="000E4556">
        <w:rPr>
          <w:lang w:val="en-GB"/>
        </w:rPr>
        <w:t xml:space="preserve">may be organized </w:t>
      </w:r>
      <w:r w:rsidRPr="00951FCC">
        <w:rPr>
          <w:lang w:val="en-GB"/>
        </w:rPr>
        <w:t xml:space="preserve">according to </w:t>
      </w:r>
      <w:r w:rsidR="00CB0377">
        <w:rPr>
          <w:lang w:val="en-GB"/>
        </w:rPr>
        <w:t xml:space="preserve">two </w:t>
      </w:r>
      <w:r w:rsidRPr="000E4556">
        <w:rPr>
          <w:lang w:val="en-GB"/>
        </w:rPr>
        <w:t>main operational systems</w:t>
      </w:r>
      <w:r w:rsidR="00CB0377">
        <w:rPr>
          <w:lang w:val="en-GB"/>
        </w:rPr>
        <w:t>:</w:t>
      </w:r>
      <w:r w:rsidRPr="000E4556">
        <w:rPr>
          <w:lang w:val="en-GB"/>
        </w:rPr>
        <w:t xml:space="preserve"> one tier or two tier. </w:t>
      </w:r>
      <w:r>
        <w:rPr>
          <w:lang w:val="en-GB"/>
        </w:rPr>
        <w:t>T</w:t>
      </w:r>
      <w:r w:rsidRPr="000E4556">
        <w:rPr>
          <w:lang w:val="en-GB"/>
        </w:rPr>
        <w:t xml:space="preserve">wo tier systems </w:t>
      </w:r>
      <w:r w:rsidR="00366938">
        <w:rPr>
          <w:lang w:val="en-GB"/>
        </w:rPr>
        <w:t>are composed by</w:t>
      </w:r>
      <w:r w:rsidRPr="000E4556">
        <w:rPr>
          <w:lang w:val="en-GB"/>
        </w:rPr>
        <w:t xml:space="preserve"> county </w:t>
      </w:r>
      <w:r w:rsidR="00366938">
        <w:rPr>
          <w:lang w:val="en-GB"/>
        </w:rPr>
        <w:t>and district councils. County councils are the</w:t>
      </w:r>
      <w:r w:rsidRPr="000E4556">
        <w:rPr>
          <w:lang w:val="en-GB"/>
        </w:rPr>
        <w:t xml:space="preserve"> upper tier and </w:t>
      </w:r>
      <w:r w:rsidR="00366938">
        <w:rPr>
          <w:lang w:val="en-GB"/>
        </w:rPr>
        <w:t xml:space="preserve">cover wider geographical areas. </w:t>
      </w:r>
      <w:r w:rsidR="00CB0377">
        <w:rPr>
          <w:lang w:val="en-GB"/>
        </w:rPr>
        <w:t>D</w:t>
      </w:r>
      <w:r w:rsidRPr="000E4556">
        <w:rPr>
          <w:lang w:val="en-GB"/>
        </w:rPr>
        <w:t>istrict councils</w:t>
      </w:r>
      <w:r w:rsidR="00CB0377">
        <w:rPr>
          <w:lang w:val="en-GB"/>
        </w:rPr>
        <w:t>, on the other hand,</w:t>
      </w:r>
      <w:r w:rsidRPr="000E4556">
        <w:rPr>
          <w:lang w:val="en-GB"/>
        </w:rPr>
        <w:t xml:space="preserve"> </w:t>
      </w:r>
      <w:r w:rsidR="00366938">
        <w:rPr>
          <w:lang w:val="en-GB"/>
        </w:rPr>
        <w:t>are</w:t>
      </w:r>
      <w:r w:rsidRPr="000E4556">
        <w:rPr>
          <w:lang w:val="en-GB"/>
        </w:rPr>
        <w:t xml:space="preserve"> the lower tier and comprise more local</w:t>
      </w:r>
      <w:r w:rsidR="00CB0377">
        <w:rPr>
          <w:lang w:val="en-GB"/>
        </w:rPr>
        <w:t xml:space="preserve"> matters</w:t>
      </w:r>
      <w:r w:rsidRPr="000E4556">
        <w:rPr>
          <w:lang w:val="en-GB"/>
        </w:rPr>
        <w:t xml:space="preserve">. </w:t>
      </w:r>
      <w:r w:rsidR="002348B3">
        <w:rPr>
          <w:lang w:val="en-GB"/>
        </w:rPr>
        <w:t xml:space="preserve"> Normally, </w:t>
      </w:r>
      <w:r w:rsidR="00CB0377">
        <w:rPr>
          <w:lang w:val="en-GB"/>
        </w:rPr>
        <w:t xml:space="preserve">the activities managed by </w:t>
      </w:r>
      <w:r w:rsidR="002348B3">
        <w:rPr>
          <w:lang w:val="en-GB"/>
        </w:rPr>
        <w:t>b</w:t>
      </w:r>
      <w:r w:rsidR="00366938">
        <w:rPr>
          <w:lang w:val="en-GB"/>
        </w:rPr>
        <w:t xml:space="preserve">oth </w:t>
      </w:r>
      <w:r w:rsidR="002348B3">
        <w:rPr>
          <w:lang w:val="en-GB"/>
        </w:rPr>
        <w:t xml:space="preserve">councils </w:t>
      </w:r>
      <w:r w:rsidR="00CB0377">
        <w:rPr>
          <w:lang w:val="en-GB"/>
        </w:rPr>
        <w:t>are different although in some cases may overlap</w:t>
      </w:r>
      <w:r w:rsidR="002348B3">
        <w:rPr>
          <w:lang w:val="en-GB"/>
        </w:rPr>
        <w:t>.</w:t>
      </w:r>
      <w:r>
        <w:rPr>
          <w:lang w:val="en-GB"/>
        </w:rPr>
        <w:t xml:space="preserve"> </w:t>
      </w:r>
      <w:r w:rsidR="002348B3">
        <w:rPr>
          <w:lang w:val="en-GB"/>
        </w:rPr>
        <w:t>O</w:t>
      </w:r>
      <w:r w:rsidRPr="000E4556">
        <w:rPr>
          <w:lang w:val="en-GB"/>
        </w:rPr>
        <w:t>ne tier systems involve unitary authorities</w:t>
      </w:r>
      <w:r w:rsidR="002348B3">
        <w:rPr>
          <w:lang w:val="en-GB"/>
        </w:rPr>
        <w:t xml:space="preserve"> that</w:t>
      </w:r>
      <w:r>
        <w:rPr>
          <w:lang w:val="en-GB"/>
        </w:rPr>
        <w:t xml:space="preserve"> </w:t>
      </w:r>
      <w:r w:rsidRPr="000E4556">
        <w:rPr>
          <w:lang w:val="en-GB"/>
        </w:rPr>
        <w:t xml:space="preserve">are </w:t>
      </w:r>
      <w:r>
        <w:rPr>
          <w:lang w:val="en-GB"/>
        </w:rPr>
        <w:t>responsible</w:t>
      </w:r>
      <w:r w:rsidR="002348B3">
        <w:rPr>
          <w:lang w:val="en-GB"/>
        </w:rPr>
        <w:t xml:space="preserve"> for</w:t>
      </w:r>
      <w:r w:rsidRPr="000E4556">
        <w:rPr>
          <w:lang w:val="en-GB"/>
        </w:rPr>
        <w:t xml:space="preserve"> the provision of all the activities at local level. </w:t>
      </w:r>
      <w:r>
        <w:rPr>
          <w:lang w:val="en-GB"/>
        </w:rPr>
        <w:t>U</w:t>
      </w:r>
      <w:r w:rsidRPr="000E4556">
        <w:rPr>
          <w:lang w:val="en-GB"/>
        </w:rPr>
        <w:t>nitary authorities may have two special subcategories that include the metropolitan boroughs and London boroughs.</w:t>
      </w:r>
      <w:r w:rsidRPr="000E4556">
        <w:rPr>
          <w:rStyle w:val="FootnoteReference"/>
          <w:lang w:val="en-GB"/>
        </w:rPr>
        <w:footnoteReference w:id="1"/>
      </w:r>
    </w:p>
    <w:p w14:paraId="35760005" w14:textId="77777777" w:rsidR="00E722A1" w:rsidRPr="000E4556" w:rsidRDefault="00E722A1" w:rsidP="00E722A1">
      <w:pPr>
        <w:pStyle w:val="BodyText"/>
        <w:jc w:val="both"/>
        <w:rPr>
          <w:lang w:val="en-GB"/>
        </w:rPr>
      </w:pPr>
      <w:r w:rsidRPr="000E4556">
        <w:rPr>
          <w:lang w:val="en-GB"/>
        </w:rPr>
        <w:t>Taking into account the former main categories, England has a total of 353 local authorities that include 27 county councils, 201 district councils and 125 unitary authorities.</w:t>
      </w:r>
    </w:p>
    <w:p w14:paraId="07BDFE62" w14:textId="1257A816" w:rsidR="00E722A1" w:rsidRPr="000E4556" w:rsidRDefault="00E722A1" w:rsidP="00E722A1">
      <w:pPr>
        <w:pStyle w:val="BodyText"/>
        <w:jc w:val="both"/>
        <w:rPr>
          <w:lang w:val="en-GB"/>
        </w:rPr>
      </w:pPr>
      <w:r w:rsidRPr="000E4556">
        <w:rPr>
          <w:lang w:val="en-GB"/>
        </w:rPr>
        <w:t>Long term care is managed 152 local authorities that operate at council level.</w:t>
      </w:r>
      <w:r w:rsidRPr="000E4556">
        <w:rPr>
          <w:rStyle w:val="FootnoteReference"/>
          <w:lang w:val="en-GB"/>
        </w:rPr>
        <w:footnoteReference w:id="2"/>
      </w:r>
      <w:r w:rsidR="002348B3">
        <w:rPr>
          <w:lang w:val="en-GB"/>
        </w:rPr>
        <w:t xml:space="preserve"> The main responsibility</w:t>
      </w:r>
      <w:r w:rsidRPr="000E4556">
        <w:rPr>
          <w:lang w:val="en-GB"/>
        </w:rPr>
        <w:t xml:space="preserve"> entail</w:t>
      </w:r>
      <w:r w:rsidR="002348B3">
        <w:rPr>
          <w:lang w:val="en-GB"/>
        </w:rPr>
        <w:t>s</w:t>
      </w:r>
      <w:r w:rsidRPr="000E4556">
        <w:rPr>
          <w:lang w:val="en-GB"/>
        </w:rPr>
        <w:t xml:space="preserve"> the commissioning </w:t>
      </w:r>
      <w:r>
        <w:rPr>
          <w:lang w:val="en-GB"/>
        </w:rPr>
        <w:t xml:space="preserve">(e.g. the </w:t>
      </w:r>
      <w:r w:rsidRPr="000E4556">
        <w:rPr>
          <w:lang w:val="en-GB"/>
        </w:rPr>
        <w:t>purchase</w:t>
      </w:r>
      <w:r>
        <w:rPr>
          <w:lang w:val="en-GB"/>
        </w:rPr>
        <w:t>)</w:t>
      </w:r>
      <w:r w:rsidRPr="000E4556">
        <w:rPr>
          <w:lang w:val="en-GB"/>
        </w:rPr>
        <w:t xml:space="preserve"> of services for those clients eligible for public support. Since the mid-eighties, </w:t>
      </w:r>
      <w:r w:rsidR="002348B3">
        <w:rPr>
          <w:lang w:val="en-GB"/>
        </w:rPr>
        <w:t>the provision of long term care operates according to market mechanisms</w:t>
      </w:r>
      <w:r w:rsidRPr="000E4556">
        <w:rPr>
          <w:lang w:val="en-GB"/>
        </w:rPr>
        <w:t>.</w:t>
      </w:r>
      <w:r w:rsidR="002348B3">
        <w:rPr>
          <w:lang w:val="en-GB"/>
        </w:rPr>
        <w:t xml:space="preserve"> As a result, the</w:t>
      </w:r>
      <w:r w:rsidRPr="000E4556">
        <w:rPr>
          <w:lang w:val="en-GB"/>
        </w:rPr>
        <w:t xml:space="preserve"> </w:t>
      </w:r>
      <w:r w:rsidRPr="000E4556">
        <w:rPr>
          <w:i/>
          <w:lang w:val="en-GB"/>
        </w:rPr>
        <w:t>for profit</w:t>
      </w:r>
      <w:r w:rsidRPr="000E4556">
        <w:rPr>
          <w:lang w:val="en-GB"/>
        </w:rPr>
        <w:t xml:space="preserve"> private sector</w:t>
      </w:r>
      <w:r w:rsidR="002348B3">
        <w:rPr>
          <w:lang w:val="en-GB"/>
        </w:rPr>
        <w:t xml:space="preserve"> has emerged as</w:t>
      </w:r>
      <w:r w:rsidRPr="000E4556">
        <w:rPr>
          <w:lang w:val="en-GB"/>
        </w:rPr>
        <w:t xml:space="preserve"> the main provider. </w:t>
      </w:r>
      <w:r w:rsidR="002348B3">
        <w:rPr>
          <w:lang w:val="en-GB"/>
        </w:rPr>
        <w:t>In 2014 a 74% of the total places belonged to a private provider against 8% ruled by the public sector.</w:t>
      </w:r>
      <w:r w:rsidRPr="000E4556">
        <w:rPr>
          <w:lang w:val="en-GB"/>
        </w:rPr>
        <w:t xml:space="preserve"> The remaining 18% of the places were provided by the voluntary sector </w:t>
      </w:r>
      <w:r>
        <w:rPr>
          <w:lang w:val="en-GB"/>
        </w:rPr>
        <w:t>(Jarret 2017)</w:t>
      </w:r>
      <w:r w:rsidRPr="000E4556">
        <w:rPr>
          <w:lang w:val="en-GB"/>
        </w:rPr>
        <w:t>.</w:t>
      </w:r>
    </w:p>
    <w:p w14:paraId="1ED4B9DD" w14:textId="45EA0471" w:rsidR="00E722A1" w:rsidRPr="000E4556" w:rsidRDefault="00E722A1" w:rsidP="00E722A1">
      <w:pPr>
        <w:pStyle w:val="BodyText"/>
        <w:jc w:val="both"/>
        <w:rPr>
          <w:lang w:val="en-GB"/>
        </w:rPr>
      </w:pPr>
      <w:r w:rsidRPr="000E4556">
        <w:rPr>
          <w:lang w:val="en-GB"/>
        </w:rPr>
        <w:t xml:space="preserve">There are 19 private and 6 voluntary providers that own about a 30% of the beds available. Within these, 4 “main providers” are big chains that concentrate a 15% of the market share. The remaining 70% of the market share is composed by providers that have a reduced number of beds - no more than 0.4% of the beds each. Despite being very fragmented, the market for care homes presents </w:t>
      </w:r>
      <w:r w:rsidR="00CB0377">
        <w:rPr>
          <w:lang w:val="en-GB"/>
        </w:rPr>
        <w:t xml:space="preserve">in general </w:t>
      </w:r>
      <w:r w:rsidRPr="000E4556">
        <w:rPr>
          <w:lang w:val="en-GB"/>
        </w:rPr>
        <w:t>a high level of competit</w:t>
      </w:r>
      <w:r w:rsidR="00CB0377">
        <w:rPr>
          <w:lang w:val="en-GB"/>
        </w:rPr>
        <w:t>iveness</w:t>
      </w:r>
      <w:r w:rsidR="002348B3">
        <w:rPr>
          <w:lang w:val="en-GB"/>
        </w:rPr>
        <w:t>.</w:t>
      </w:r>
      <w:r w:rsidR="00CB0377">
        <w:rPr>
          <w:lang w:val="en-GB"/>
        </w:rPr>
        <w:t xml:space="preserve"> This competitiveness presents notable differences across </w:t>
      </w:r>
      <w:r w:rsidRPr="000E4556">
        <w:rPr>
          <w:lang w:val="en-GB"/>
        </w:rPr>
        <w:t>local authorities .</w:t>
      </w:r>
      <w:r w:rsidRPr="000E4556">
        <w:rPr>
          <w:rStyle w:val="FootnoteReference"/>
          <w:lang w:val="en-GB"/>
        </w:rPr>
        <w:footnoteReference w:id="3"/>
      </w:r>
    </w:p>
    <w:p w14:paraId="61EB18F7" w14:textId="4C5A0D62" w:rsidR="00E722A1" w:rsidRPr="000E4556" w:rsidRDefault="00CB0377" w:rsidP="00E722A1">
      <w:pPr>
        <w:pStyle w:val="BodyText"/>
        <w:jc w:val="both"/>
        <w:rPr>
          <w:lang w:val="en-GB"/>
        </w:rPr>
      </w:pPr>
      <w:r>
        <w:rPr>
          <w:lang w:val="en-GB"/>
        </w:rPr>
        <w:t>One explanation for t</w:t>
      </w:r>
      <w:r w:rsidR="00E722A1" w:rsidRPr="000E4556">
        <w:rPr>
          <w:lang w:val="en-GB"/>
        </w:rPr>
        <w:t xml:space="preserve">hese regional </w:t>
      </w:r>
      <w:r>
        <w:rPr>
          <w:lang w:val="en-GB"/>
        </w:rPr>
        <w:t xml:space="preserve">discrepancies </w:t>
      </w:r>
      <w:r w:rsidR="00D94CBC">
        <w:rPr>
          <w:lang w:val="en-GB"/>
        </w:rPr>
        <w:t>corresponds to the</w:t>
      </w:r>
      <w:r>
        <w:rPr>
          <w:lang w:val="en-GB"/>
        </w:rPr>
        <w:t xml:space="preserve"> composition</w:t>
      </w:r>
      <w:r w:rsidR="00E722A1" w:rsidRPr="000E4556">
        <w:rPr>
          <w:lang w:val="en-GB"/>
        </w:rPr>
        <w:t xml:space="preserve"> </w:t>
      </w:r>
      <w:r w:rsidR="00D94CBC">
        <w:rPr>
          <w:lang w:val="en-GB"/>
        </w:rPr>
        <w:t xml:space="preserve">of long term care recipients </w:t>
      </w:r>
      <w:r>
        <w:rPr>
          <w:lang w:val="en-GB"/>
        </w:rPr>
        <w:t xml:space="preserve">in each local authority. </w:t>
      </w:r>
      <w:r w:rsidR="00D94CBC">
        <w:rPr>
          <w:lang w:val="en-GB"/>
        </w:rPr>
        <w:t>Hence, care homes may have</w:t>
      </w:r>
      <w:r>
        <w:rPr>
          <w:lang w:val="en-GB"/>
        </w:rPr>
        <w:t xml:space="preserve"> two types of clients d</w:t>
      </w:r>
      <w:r w:rsidR="00E722A1">
        <w:rPr>
          <w:lang w:val="en-GB"/>
        </w:rPr>
        <w:t>epending on how the</w:t>
      </w:r>
      <w:r>
        <w:rPr>
          <w:lang w:val="en-GB"/>
        </w:rPr>
        <w:t>y fund their</w:t>
      </w:r>
      <w:r w:rsidR="00E722A1">
        <w:rPr>
          <w:lang w:val="en-GB"/>
        </w:rPr>
        <w:t xml:space="preserve"> services</w:t>
      </w:r>
      <w:r w:rsidR="00E722A1" w:rsidRPr="000E4556">
        <w:rPr>
          <w:lang w:val="en-GB"/>
        </w:rPr>
        <w:t xml:space="preserve">. </w:t>
      </w:r>
      <w:r>
        <w:rPr>
          <w:lang w:val="en-GB"/>
        </w:rPr>
        <w:t>P</w:t>
      </w:r>
      <w:r w:rsidR="00E722A1" w:rsidRPr="000E4556">
        <w:rPr>
          <w:lang w:val="en-GB"/>
        </w:rPr>
        <w:t xml:space="preserve">rivate </w:t>
      </w:r>
      <w:r>
        <w:rPr>
          <w:lang w:val="en-GB"/>
        </w:rPr>
        <w:t>clients</w:t>
      </w:r>
      <w:r w:rsidR="00E722A1">
        <w:rPr>
          <w:lang w:val="en-GB"/>
        </w:rPr>
        <w:t xml:space="preserve"> </w:t>
      </w:r>
      <w:r w:rsidR="00E722A1" w:rsidRPr="000E4556">
        <w:rPr>
          <w:lang w:val="en-GB"/>
        </w:rPr>
        <w:t xml:space="preserve">purchase </w:t>
      </w:r>
      <w:r>
        <w:rPr>
          <w:lang w:val="en-GB"/>
        </w:rPr>
        <w:t xml:space="preserve">and self fund </w:t>
      </w:r>
      <w:r w:rsidR="00E722A1" w:rsidRPr="000E4556">
        <w:rPr>
          <w:lang w:val="en-GB"/>
        </w:rPr>
        <w:t xml:space="preserve">their care according to market rules and their willingness to pay for different types of services. </w:t>
      </w:r>
      <w:r w:rsidR="00E722A1">
        <w:rPr>
          <w:lang w:val="en-GB"/>
        </w:rPr>
        <w:t>Likewise</w:t>
      </w:r>
      <w:r>
        <w:rPr>
          <w:lang w:val="en-GB"/>
        </w:rPr>
        <w:t xml:space="preserve">, there are also </w:t>
      </w:r>
      <w:r w:rsidR="00E722A1" w:rsidRPr="000E4556">
        <w:rPr>
          <w:lang w:val="en-GB"/>
        </w:rPr>
        <w:t>clients who</w:t>
      </w:r>
      <w:r>
        <w:rPr>
          <w:lang w:val="en-GB"/>
        </w:rPr>
        <w:t>se care is partially or fully funded</w:t>
      </w:r>
      <w:r w:rsidR="00E722A1">
        <w:rPr>
          <w:lang w:val="en-GB"/>
        </w:rPr>
        <w:t xml:space="preserve"> by the local authorities. The eligibility and degree of this</w:t>
      </w:r>
      <w:r>
        <w:rPr>
          <w:lang w:val="en-GB"/>
        </w:rPr>
        <w:t xml:space="preserve"> public</w:t>
      </w:r>
      <w:r w:rsidR="00E722A1">
        <w:rPr>
          <w:lang w:val="en-GB"/>
        </w:rPr>
        <w:t xml:space="preserve"> support is based on a means-test</w:t>
      </w:r>
      <w:r>
        <w:rPr>
          <w:lang w:val="en-GB"/>
        </w:rPr>
        <w:t xml:space="preserve"> that assesses their financial capacity</w:t>
      </w:r>
      <w:r w:rsidR="00E722A1">
        <w:rPr>
          <w:lang w:val="en-GB"/>
        </w:rPr>
        <w:t xml:space="preserve">. </w:t>
      </w:r>
      <w:r w:rsidR="00D94CBC">
        <w:rPr>
          <w:lang w:val="en-GB"/>
        </w:rPr>
        <w:t xml:space="preserve">The market </w:t>
      </w:r>
      <w:r w:rsidR="00E722A1">
        <w:rPr>
          <w:lang w:val="en-GB"/>
        </w:rPr>
        <w:t>for this</w:t>
      </w:r>
      <w:r w:rsidR="00E722A1" w:rsidRPr="000E4556">
        <w:rPr>
          <w:lang w:val="en-GB"/>
        </w:rPr>
        <w:t xml:space="preserve"> type of clients works as a quasi market</w:t>
      </w:r>
      <w:r w:rsidR="00E722A1">
        <w:rPr>
          <w:lang w:val="en-GB"/>
        </w:rPr>
        <w:t xml:space="preserve"> in which the </w:t>
      </w:r>
      <w:r w:rsidR="00D94CBC">
        <w:rPr>
          <w:lang w:val="en-GB"/>
        </w:rPr>
        <w:t>local</w:t>
      </w:r>
      <w:r w:rsidR="00E722A1">
        <w:rPr>
          <w:lang w:val="en-GB"/>
        </w:rPr>
        <w:t xml:space="preserve"> authorities purchase </w:t>
      </w:r>
      <w:r w:rsidR="00D94CBC">
        <w:rPr>
          <w:lang w:val="en-GB"/>
        </w:rPr>
        <w:t>the long term care services</w:t>
      </w:r>
      <w:r w:rsidR="00E722A1">
        <w:rPr>
          <w:lang w:val="en-GB"/>
        </w:rPr>
        <w:t xml:space="preserve"> to private providers on behalf of </w:t>
      </w:r>
      <w:r w:rsidR="00D94CBC">
        <w:rPr>
          <w:lang w:val="en-GB"/>
        </w:rPr>
        <w:t xml:space="preserve">the </w:t>
      </w:r>
      <w:r w:rsidR="00D94CBC">
        <w:rPr>
          <w:lang w:val="en-GB"/>
        </w:rPr>
        <w:lastRenderedPageBreak/>
        <w:t>clients</w:t>
      </w:r>
      <w:r w:rsidR="00E722A1">
        <w:rPr>
          <w:lang w:val="en-GB"/>
        </w:rPr>
        <w:t xml:space="preserve"> (Le Grand, 1991)</w:t>
      </w:r>
      <w:r w:rsidR="00E722A1" w:rsidRPr="000E4556">
        <w:rPr>
          <w:rStyle w:val="FootnoteReference"/>
          <w:lang w:val="en-GB"/>
        </w:rPr>
        <w:footnoteReference w:id="4"/>
      </w:r>
      <w:r w:rsidR="00E722A1" w:rsidRPr="000E4556">
        <w:rPr>
          <w:lang w:val="en-GB"/>
        </w:rPr>
        <w:t xml:space="preserve">. The proportion of publicly funded </w:t>
      </w:r>
      <w:r w:rsidR="00D94CBC">
        <w:rPr>
          <w:lang w:val="en-GB"/>
        </w:rPr>
        <w:t xml:space="preserve">clients is notably superior in comparison </w:t>
      </w:r>
      <w:r w:rsidR="00E722A1">
        <w:rPr>
          <w:lang w:val="en-GB"/>
        </w:rPr>
        <w:t>s</w:t>
      </w:r>
      <w:r w:rsidR="00E722A1" w:rsidRPr="000E4556">
        <w:rPr>
          <w:lang w:val="en-GB"/>
        </w:rPr>
        <w:t>elf-funded clients.</w:t>
      </w:r>
      <w:r w:rsidR="00E722A1" w:rsidRPr="000E4556">
        <w:rPr>
          <w:rStyle w:val="FootnoteReference"/>
          <w:lang w:val="en-GB"/>
        </w:rPr>
        <w:footnoteReference w:id="5"/>
      </w:r>
      <w:r w:rsidR="00E722A1" w:rsidRPr="000E4556">
        <w:rPr>
          <w:lang w:val="en-GB"/>
        </w:rPr>
        <w:t>.</w:t>
      </w:r>
    </w:p>
    <w:p w14:paraId="1329B917" w14:textId="3812546B" w:rsidR="00E722A1" w:rsidRPr="000E4556" w:rsidRDefault="00E722A1" w:rsidP="00E722A1">
      <w:pPr>
        <w:pStyle w:val="BodyText"/>
        <w:jc w:val="both"/>
        <w:rPr>
          <w:lang w:val="en-GB"/>
        </w:rPr>
      </w:pPr>
      <w:r>
        <w:rPr>
          <w:lang w:val="en-GB"/>
        </w:rPr>
        <w:t xml:space="preserve">The fact that </w:t>
      </w:r>
      <w:r w:rsidRPr="000E4556">
        <w:rPr>
          <w:lang w:val="en-GB"/>
        </w:rPr>
        <w:t xml:space="preserve">local authorities have to purchase care on behalf of a significant part of the demand, suggests that they may have certain buyer power when negotiating the fees applied to public funded clients. A consequence of the former is the potential cross </w:t>
      </w:r>
      <w:r w:rsidRPr="00882F3F">
        <w:rPr>
          <w:lang w:val="en-GB"/>
        </w:rPr>
        <w:t>subsidisation</w:t>
      </w:r>
      <w:r w:rsidRPr="000E4556">
        <w:rPr>
          <w:lang w:val="en-GB"/>
        </w:rPr>
        <w:t xml:space="preserve"> of privately funded clients in favour of the publicly supported</w:t>
      </w:r>
      <w:r>
        <w:rPr>
          <w:lang w:val="en-GB"/>
        </w:rPr>
        <w:t xml:space="preserve">. </w:t>
      </w:r>
      <w:r w:rsidRPr="000E4556">
        <w:rPr>
          <w:lang w:val="en-GB"/>
        </w:rPr>
        <w:t xml:space="preserve">These </w:t>
      </w:r>
      <w:r w:rsidR="00997A15">
        <w:rPr>
          <w:lang w:val="en-GB"/>
        </w:rPr>
        <w:t xml:space="preserve">situation has </w:t>
      </w:r>
      <w:r w:rsidRPr="000E4556">
        <w:rPr>
          <w:lang w:val="en-GB"/>
        </w:rPr>
        <w:t>been documented both in the English long term care market</w:t>
      </w:r>
      <w:r>
        <w:rPr>
          <w:lang w:val="en-GB"/>
        </w:rPr>
        <w:t xml:space="preserve"> (OFT, 2005; Hancock and </w:t>
      </w:r>
      <w:proofErr w:type="spellStart"/>
      <w:r>
        <w:rPr>
          <w:lang w:val="en-GB"/>
        </w:rPr>
        <w:t>Hviid</w:t>
      </w:r>
      <w:proofErr w:type="spellEnd"/>
      <w:r>
        <w:rPr>
          <w:lang w:val="en-GB"/>
        </w:rPr>
        <w:t xml:space="preserve">, 2010; </w:t>
      </w:r>
      <w:proofErr w:type="spellStart"/>
      <w:r>
        <w:rPr>
          <w:lang w:val="en-GB"/>
        </w:rPr>
        <w:t>Forden</w:t>
      </w:r>
      <w:proofErr w:type="spellEnd"/>
      <w:r>
        <w:rPr>
          <w:lang w:val="en-GB"/>
        </w:rPr>
        <w:t xml:space="preserve"> and Allan 2014)</w:t>
      </w:r>
      <w:r w:rsidRPr="000E4556">
        <w:rPr>
          <w:lang w:val="en-GB"/>
        </w:rPr>
        <w:t xml:space="preserve"> and in the US</w:t>
      </w:r>
      <w:r>
        <w:rPr>
          <w:lang w:val="en-GB"/>
        </w:rPr>
        <w:t xml:space="preserve"> (</w:t>
      </w:r>
      <w:proofErr w:type="spellStart"/>
      <w:r>
        <w:rPr>
          <w:lang w:val="en-GB"/>
        </w:rPr>
        <w:t>Mukamel</w:t>
      </w:r>
      <w:proofErr w:type="spellEnd"/>
      <w:r>
        <w:rPr>
          <w:lang w:val="en-GB"/>
        </w:rPr>
        <w:t xml:space="preserve"> and Spector, 2002; </w:t>
      </w:r>
      <w:proofErr w:type="spellStart"/>
      <w:r>
        <w:rPr>
          <w:lang w:val="en-GB"/>
        </w:rPr>
        <w:t>Gravowski</w:t>
      </w:r>
      <w:proofErr w:type="spellEnd"/>
      <w:r>
        <w:rPr>
          <w:lang w:val="en-GB"/>
        </w:rPr>
        <w:t xml:space="preserve"> 2004)</w:t>
      </w:r>
      <w:bookmarkStart w:id="2" w:name="urban-planning"/>
      <w:bookmarkEnd w:id="2"/>
      <w:r w:rsidR="00997A15">
        <w:rPr>
          <w:lang w:val="en-GB"/>
        </w:rPr>
        <w:t>.</w:t>
      </w:r>
    </w:p>
    <w:p w14:paraId="6D79B78F" w14:textId="372E7EA8" w:rsidR="00E722A1" w:rsidRDefault="000466D9" w:rsidP="00E722A1">
      <w:pPr>
        <w:pStyle w:val="BodyText"/>
        <w:jc w:val="both"/>
        <w:rPr>
          <w:lang w:val="en-GB"/>
        </w:rPr>
      </w:pPr>
      <w:r>
        <w:rPr>
          <w:lang w:val="en-GB"/>
        </w:rPr>
        <w:t>Unlike long term care, u</w:t>
      </w:r>
      <w:r w:rsidR="00E722A1">
        <w:rPr>
          <w:lang w:val="en-GB"/>
        </w:rPr>
        <w:t xml:space="preserve">rban </w:t>
      </w:r>
      <w:r w:rsidR="00E722A1" w:rsidRPr="000E4556">
        <w:rPr>
          <w:lang w:val="en-GB"/>
        </w:rPr>
        <w:t xml:space="preserve">planning </w:t>
      </w:r>
      <w:r w:rsidR="00E722A1">
        <w:rPr>
          <w:lang w:val="en-GB"/>
        </w:rPr>
        <w:t>is</w:t>
      </w:r>
      <w:r w:rsidR="00E722A1" w:rsidRPr="000E4556">
        <w:rPr>
          <w:lang w:val="en-GB"/>
        </w:rPr>
        <w:t xml:space="preserve"> managed at district level</w:t>
      </w:r>
      <w:r w:rsidR="00E722A1">
        <w:rPr>
          <w:lang w:val="en-GB"/>
        </w:rPr>
        <w:t xml:space="preserve">. The planning system entails activities aimed at meeting </w:t>
      </w:r>
      <w:r w:rsidR="00E722A1" w:rsidRPr="000E4556">
        <w:rPr>
          <w:lang w:val="en-GB"/>
        </w:rPr>
        <w:t>various strategic priorities for the areas</w:t>
      </w:r>
      <w:r w:rsidR="00E722A1">
        <w:rPr>
          <w:lang w:val="en-GB"/>
        </w:rPr>
        <w:t xml:space="preserve"> that compose the district. </w:t>
      </w:r>
      <w:r w:rsidR="00E722A1" w:rsidRPr="00C2183A">
        <w:rPr>
          <w:lang w:val="en-GB"/>
        </w:rPr>
        <w:t>These priorities are set out in the National Planning Framework - a national framework aimed at guiding policies that entail development decisions for meeting local needs</w:t>
      </w:r>
      <w:r w:rsidR="00E722A1">
        <w:rPr>
          <w:lang w:val="en-GB"/>
        </w:rPr>
        <w:t xml:space="preserve"> and</w:t>
      </w:r>
      <w:r w:rsidR="00E722A1" w:rsidRPr="000E4556">
        <w:rPr>
          <w:lang w:val="en-GB"/>
        </w:rPr>
        <w:t xml:space="preserve"> in</w:t>
      </w:r>
      <w:r w:rsidR="00E722A1">
        <w:rPr>
          <w:lang w:val="en-GB"/>
        </w:rPr>
        <w:t>volve</w:t>
      </w:r>
      <w:r w:rsidR="00E722A1" w:rsidRPr="000E4556">
        <w:rPr>
          <w:lang w:val="en-GB"/>
        </w:rPr>
        <w:t xml:space="preserve"> the fulfilment of</w:t>
      </w:r>
      <w:r w:rsidR="00E722A1">
        <w:rPr>
          <w:lang w:val="en-GB"/>
        </w:rPr>
        <w:t xml:space="preserve"> </w:t>
      </w:r>
      <w:r w:rsidR="00E722A1" w:rsidRPr="000E4556">
        <w:rPr>
          <w:lang w:val="en-GB"/>
        </w:rPr>
        <w:t xml:space="preserve">local needs at socio-economic, cultural, security and health level. </w:t>
      </w:r>
    </w:p>
    <w:p w14:paraId="7691E685" w14:textId="37590065" w:rsidR="008D6B8F" w:rsidRDefault="00997A15" w:rsidP="0027435F">
      <w:pPr>
        <w:pStyle w:val="BodyText"/>
        <w:jc w:val="both"/>
        <w:rPr>
          <w:lang w:val="en-GB"/>
        </w:rPr>
      </w:pPr>
      <w:r>
        <w:rPr>
          <w:lang w:val="en-GB"/>
        </w:rPr>
        <w:t>The design of local planning policies has been regarded as one of the main drivers</w:t>
      </w:r>
      <w:r w:rsidR="007A17D9">
        <w:rPr>
          <w:lang w:val="en-GB"/>
        </w:rPr>
        <w:t xml:space="preserve"> th</w:t>
      </w:r>
      <w:r w:rsidR="006F06D0">
        <w:rPr>
          <w:lang w:val="en-GB"/>
        </w:rPr>
        <w:t>at constrains</w:t>
      </w:r>
      <w:r w:rsidR="007A17D9">
        <w:rPr>
          <w:lang w:val="en-GB"/>
        </w:rPr>
        <w:t xml:space="preserve"> the housing supply and </w:t>
      </w:r>
      <w:r w:rsidR="00210FF5">
        <w:rPr>
          <w:lang w:val="en-GB"/>
        </w:rPr>
        <w:t xml:space="preserve">leads to increases in </w:t>
      </w:r>
      <w:r w:rsidR="007A17D9">
        <w:rPr>
          <w:lang w:val="en-GB"/>
        </w:rPr>
        <w:t xml:space="preserve">the house prices. </w:t>
      </w:r>
      <w:r w:rsidR="008D6B8F">
        <w:rPr>
          <w:lang w:val="en-GB"/>
        </w:rPr>
        <w:t xml:space="preserve">In addition of being more restrictive than other </w:t>
      </w:r>
      <w:r w:rsidR="007A17D9">
        <w:rPr>
          <w:lang w:val="en-GB"/>
        </w:rPr>
        <w:t>countries</w:t>
      </w:r>
      <w:r w:rsidR="008D6B8F">
        <w:rPr>
          <w:lang w:val="en-GB"/>
        </w:rPr>
        <w:t xml:space="preserve"> (Cheshire 2009, </w:t>
      </w:r>
      <w:proofErr w:type="spellStart"/>
      <w:r w:rsidR="008D6B8F">
        <w:rPr>
          <w:lang w:val="en-GB"/>
        </w:rPr>
        <w:t>Hilber</w:t>
      </w:r>
      <w:proofErr w:type="spellEnd"/>
      <w:r w:rsidR="008D6B8F">
        <w:rPr>
          <w:lang w:val="en-GB"/>
        </w:rPr>
        <w:t xml:space="preserve"> 2015)</w:t>
      </w:r>
      <w:r w:rsidR="007A17D9">
        <w:rPr>
          <w:lang w:val="en-GB"/>
        </w:rPr>
        <w:t xml:space="preserve">, </w:t>
      </w:r>
      <w:r w:rsidR="008D6B8F">
        <w:rPr>
          <w:lang w:val="en-GB"/>
        </w:rPr>
        <w:t xml:space="preserve">English planning </w:t>
      </w:r>
      <w:r w:rsidR="007A17D9">
        <w:rPr>
          <w:lang w:val="en-GB"/>
        </w:rPr>
        <w:t>regulations</w:t>
      </w:r>
      <w:r w:rsidR="008D6B8F">
        <w:rPr>
          <w:lang w:val="en-GB"/>
        </w:rPr>
        <w:t xml:space="preserve"> are complex</w:t>
      </w:r>
      <w:r w:rsidR="007A17D9">
        <w:rPr>
          <w:lang w:val="en-GB"/>
        </w:rPr>
        <w:t xml:space="preserve">. </w:t>
      </w:r>
      <w:r w:rsidR="008D6B8F">
        <w:rPr>
          <w:lang w:val="en-GB"/>
        </w:rPr>
        <w:t xml:space="preserve">For example, </w:t>
      </w:r>
      <w:r w:rsidR="006F06D0">
        <w:rPr>
          <w:lang w:val="en-GB"/>
        </w:rPr>
        <w:t xml:space="preserve">owners of </w:t>
      </w:r>
      <w:r w:rsidR="008D6B8F">
        <w:rPr>
          <w:lang w:val="en-GB"/>
        </w:rPr>
        <w:t xml:space="preserve">some areas may have </w:t>
      </w:r>
      <w:r w:rsidR="00E53EDE">
        <w:rPr>
          <w:lang w:val="en-GB"/>
        </w:rPr>
        <w:t xml:space="preserve">more incentives to promote “not in my backyard” policies </w:t>
      </w:r>
      <w:r w:rsidR="006F06D0">
        <w:rPr>
          <w:lang w:val="en-GB"/>
        </w:rPr>
        <w:t>that restrict the</w:t>
      </w:r>
      <w:r w:rsidR="008D6B8F">
        <w:rPr>
          <w:lang w:val="en-GB"/>
        </w:rPr>
        <w:t xml:space="preserve"> local development</w:t>
      </w:r>
      <w:r w:rsidR="00E53EDE">
        <w:rPr>
          <w:lang w:val="en-GB"/>
        </w:rPr>
        <w:t xml:space="preserve">. </w:t>
      </w:r>
      <w:r w:rsidR="008D6B8F">
        <w:rPr>
          <w:lang w:val="en-GB"/>
        </w:rPr>
        <w:t>The underlying rationale for that is that these tighter regulations lead to increases in the land value of those areas already developed. Conversely</w:t>
      </w:r>
      <w:r w:rsidR="006F06D0">
        <w:rPr>
          <w:lang w:val="en-GB"/>
        </w:rPr>
        <w:t>, for those owners in less developed areas, these policies imply a cost (</w:t>
      </w:r>
      <w:proofErr w:type="spellStart"/>
      <w:r w:rsidR="006F06D0">
        <w:rPr>
          <w:lang w:val="en-GB"/>
        </w:rPr>
        <w:t>Hilber</w:t>
      </w:r>
      <w:proofErr w:type="spellEnd"/>
      <w:r w:rsidR="006F06D0">
        <w:rPr>
          <w:lang w:val="en-GB"/>
        </w:rPr>
        <w:t xml:space="preserve"> and Robert-</w:t>
      </w:r>
      <w:proofErr w:type="spellStart"/>
      <w:r w:rsidR="006F06D0">
        <w:rPr>
          <w:lang w:val="en-GB"/>
        </w:rPr>
        <w:t>Nicoud</w:t>
      </w:r>
      <w:proofErr w:type="spellEnd"/>
      <w:r w:rsidR="006F06D0">
        <w:rPr>
          <w:lang w:val="en-GB"/>
        </w:rPr>
        <w:t xml:space="preserve">, 2013). </w:t>
      </w:r>
    </w:p>
    <w:p w14:paraId="33956484" w14:textId="5629CA26" w:rsidR="006F06D0" w:rsidRDefault="00210FF5" w:rsidP="0027435F">
      <w:pPr>
        <w:pStyle w:val="BodyText"/>
        <w:jc w:val="both"/>
        <w:rPr>
          <w:lang w:val="en-GB"/>
        </w:rPr>
      </w:pPr>
      <w:r>
        <w:rPr>
          <w:lang w:val="en-GB"/>
        </w:rPr>
        <w:t>In figure 1 we present evidence about the greater capitalization of the house values in more restrictive</w:t>
      </w:r>
      <w:r w:rsidR="0027435F">
        <w:rPr>
          <w:lang w:val="en-GB"/>
        </w:rPr>
        <w:t xml:space="preserve"> areas. Particularly we show</w:t>
      </w:r>
      <w:r>
        <w:rPr>
          <w:lang w:val="en-GB"/>
        </w:rPr>
        <w:t xml:space="preserve"> positive association between the </w:t>
      </w:r>
      <w:r w:rsidR="0027435F">
        <w:rPr>
          <w:lang w:val="en-GB"/>
        </w:rPr>
        <w:t>house prices and the historical of refusal of major projects.</w:t>
      </w:r>
    </w:p>
    <w:p w14:paraId="7183EDCB" w14:textId="7D0DE951" w:rsidR="00E722A1" w:rsidRDefault="0027435F" w:rsidP="0027435F">
      <w:pPr>
        <w:jc w:val="center"/>
      </w:pPr>
      <w:r>
        <w:t>[INSERT FIGURE 1 ABOUT HERE]</w:t>
      </w:r>
    </w:p>
    <w:p w14:paraId="6D4686E5" w14:textId="77777777" w:rsidR="00E722A1" w:rsidRDefault="00E722A1" w:rsidP="0027435F">
      <w:pPr>
        <w:jc w:val="both"/>
      </w:pPr>
    </w:p>
    <w:p w14:paraId="19BCD465" w14:textId="13428686" w:rsidR="0027435F" w:rsidRDefault="0027435F" w:rsidP="0027435F">
      <w:pPr>
        <w:jc w:val="both"/>
      </w:pPr>
      <w:r>
        <w:t xml:space="preserve">Besides the level of house prices has not evolved evenly across the different regions in England. Figure 2 plots the evolution of the average real house prices over the last two decades. Areas located in the South East, East and South West, in addition to London, have registered the higher increases. </w:t>
      </w:r>
    </w:p>
    <w:p w14:paraId="7A2F87E9" w14:textId="77777777" w:rsidR="0027435F" w:rsidRDefault="0027435F" w:rsidP="0027435F">
      <w:pPr>
        <w:jc w:val="both"/>
      </w:pPr>
    </w:p>
    <w:p w14:paraId="23CBA9B3" w14:textId="6813E55F" w:rsidR="0027435F" w:rsidRDefault="0027435F" w:rsidP="000466D9">
      <w:pPr>
        <w:jc w:val="center"/>
      </w:pPr>
      <w:r>
        <w:t>[INSERT FIGURE 2 ABOUT HERE]</w:t>
      </w:r>
    </w:p>
    <w:p w14:paraId="38F5B19A" w14:textId="77777777" w:rsidR="00941571" w:rsidRDefault="00941571" w:rsidP="00941571">
      <w:pPr>
        <w:jc w:val="both"/>
      </w:pPr>
    </w:p>
    <w:p w14:paraId="79B88EA5" w14:textId="77AF1DC6" w:rsidR="00941571" w:rsidRDefault="00941571" w:rsidP="00941571">
      <w:pPr>
        <w:jc w:val="both"/>
      </w:pPr>
      <w:r>
        <w:t xml:space="preserve">The effects of planning regulations have been studied also in other activities such as the retail sector for the UK (Griffith and </w:t>
      </w:r>
      <w:proofErr w:type="spellStart"/>
      <w:r>
        <w:t>Harmgart</w:t>
      </w:r>
      <w:proofErr w:type="spellEnd"/>
      <w:r>
        <w:t xml:space="preserve"> (2008),</w:t>
      </w:r>
      <w:r w:rsidR="00A804BC">
        <w:t xml:space="preserve"> </w:t>
      </w:r>
      <w:proofErr w:type="spellStart"/>
      <w:r w:rsidR="00A804BC">
        <w:t>Haskel</w:t>
      </w:r>
      <w:proofErr w:type="spellEnd"/>
      <w:r w:rsidR="00A804BC">
        <w:t xml:space="preserve"> and </w:t>
      </w:r>
      <w:proofErr w:type="spellStart"/>
      <w:r w:rsidR="00A804BC">
        <w:t>Sadun</w:t>
      </w:r>
      <w:proofErr w:type="spellEnd"/>
      <w:r w:rsidR="00A804BC">
        <w:t xml:space="preserve"> (2012), </w:t>
      </w:r>
      <w:r>
        <w:t>Cheshire et al (2015)</w:t>
      </w:r>
      <w:r w:rsidR="003A0A43">
        <w:t xml:space="preserve">, </w:t>
      </w:r>
      <w:proofErr w:type="spellStart"/>
      <w:r w:rsidR="003A0A43">
        <w:t>Sadun</w:t>
      </w:r>
      <w:proofErr w:type="spellEnd"/>
      <w:r w:rsidR="003A0A43">
        <w:t xml:space="preserve"> (2015)</w:t>
      </w:r>
      <w:r>
        <w:t>), France (</w:t>
      </w:r>
      <w:proofErr w:type="spellStart"/>
      <w:r>
        <w:t>Betrand</w:t>
      </w:r>
      <w:proofErr w:type="spellEnd"/>
      <w:r>
        <w:t xml:space="preserve"> and </w:t>
      </w:r>
      <w:proofErr w:type="spellStart"/>
      <w:r>
        <w:t>Kramarz</w:t>
      </w:r>
      <w:proofErr w:type="spellEnd"/>
      <w:r>
        <w:t xml:space="preserve"> (2002)), Italy </w:t>
      </w:r>
      <w:r w:rsidR="003A0A43">
        <w:t>(</w:t>
      </w:r>
      <w:proofErr w:type="spellStart"/>
      <w:r w:rsidR="003A0A43">
        <w:t>Schivardi</w:t>
      </w:r>
      <w:proofErr w:type="spellEnd"/>
      <w:r w:rsidR="003A0A43">
        <w:t xml:space="preserve"> and </w:t>
      </w:r>
      <w:proofErr w:type="spellStart"/>
      <w:r w:rsidR="003A0A43">
        <w:t>Viviano</w:t>
      </w:r>
      <w:proofErr w:type="spellEnd"/>
      <w:r w:rsidR="003A0A43">
        <w:t xml:space="preserve"> (2011)) or Spain (Sanchez Vidal, 2015)</w:t>
      </w:r>
    </w:p>
    <w:p w14:paraId="44AB4666" w14:textId="77777777" w:rsidR="00941571" w:rsidRDefault="00941571" w:rsidP="00941571">
      <w:pPr>
        <w:jc w:val="both"/>
      </w:pPr>
    </w:p>
    <w:sectPr w:rsidR="00941571" w:rsidSect="00A1246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136EB1" w14:textId="77777777" w:rsidR="00B8650F" w:rsidRDefault="00B8650F" w:rsidP="00E722A1">
      <w:r>
        <w:separator/>
      </w:r>
    </w:p>
  </w:endnote>
  <w:endnote w:type="continuationSeparator" w:id="0">
    <w:p w14:paraId="1841E4EC" w14:textId="77777777" w:rsidR="00B8650F" w:rsidRDefault="00B8650F" w:rsidP="00E72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817C9" w14:textId="77777777" w:rsidR="00B8650F" w:rsidRDefault="00B8650F" w:rsidP="00E722A1">
      <w:r>
        <w:separator/>
      </w:r>
    </w:p>
  </w:footnote>
  <w:footnote w:type="continuationSeparator" w:id="0">
    <w:p w14:paraId="1CAC10BA" w14:textId="77777777" w:rsidR="00B8650F" w:rsidRDefault="00B8650F" w:rsidP="00E722A1">
      <w:r>
        <w:continuationSeparator/>
      </w:r>
    </w:p>
  </w:footnote>
  <w:footnote w:id="1">
    <w:p w14:paraId="41D966B0" w14:textId="77777777" w:rsidR="00E722A1" w:rsidRPr="000E4556" w:rsidRDefault="00E722A1" w:rsidP="00E722A1">
      <w:pPr>
        <w:pStyle w:val="FootnoteText"/>
        <w:rPr>
          <w:sz w:val="20"/>
          <w:szCs w:val="20"/>
        </w:rPr>
      </w:pPr>
      <w:r w:rsidRPr="000E4556">
        <w:rPr>
          <w:rStyle w:val="FootnoteReference"/>
          <w:sz w:val="20"/>
          <w:szCs w:val="20"/>
        </w:rPr>
        <w:footnoteRef/>
      </w:r>
      <w:r w:rsidRPr="000E4556">
        <w:rPr>
          <w:sz w:val="20"/>
          <w:szCs w:val="20"/>
        </w:rPr>
        <w:t xml:space="preserve"> Some areas of England have another tier that includes town and parish councils. This level of local government rules smaller local services.</w:t>
      </w:r>
    </w:p>
  </w:footnote>
  <w:footnote w:id="2">
    <w:p w14:paraId="4C453BA3" w14:textId="77777777" w:rsidR="00E722A1" w:rsidRDefault="00E722A1" w:rsidP="00E722A1">
      <w:pPr>
        <w:pStyle w:val="FootnoteText"/>
      </w:pPr>
      <w:r w:rsidRPr="000E4556">
        <w:rPr>
          <w:rStyle w:val="FootnoteReference"/>
          <w:sz w:val="20"/>
          <w:szCs w:val="20"/>
        </w:rPr>
        <w:footnoteRef/>
      </w:r>
      <w:r w:rsidRPr="000E4556">
        <w:rPr>
          <w:sz w:val="20"/>
          <w:szCs w:val="20"/>
        </w:rPr>
        <w:t xml:space="preserve"> Before 2008, these activities were managed by </w:t>
      </w:r>
      <w:proofErr w:type="spellStart"/>
      <w:r w:rsidRPr="000E4556">
        <w:rPr>
          <w:sz w:val="20"/>
          <w:szCs w:val="20"/>
        </w:rPr>
        <w:t>Primare</w:t>
      </w:r>
      <w:proofErr w:type="spellEnd"/>
      <w:r w:rsidRPr="000E4556">
        <w:rPr>
          <w:sz w:val="20"/>
          <w:szCs w:val="20"/>
        </w:rPr>
        <w:t xml:space="preserve"> Care Trusts (PCT). The Health and Social Care Act (2008) </w:t>
      </w:r>
      <w:r w:rsidRPr="00882F3F">
        <w:rPr>
          <w:sz w:val="20"/>
          <w:szCs w:val="20"/>
        </w:rPr>
        <w:t>transferred</w:t>
      </w:r>
      <w:r w:rsidRPr="000E4556">
        <w:rPr>
          <w:sz w:val="20"/>
          <w:szCs w:val="20"/>
        </w:rPr>
        <w:t xml:space="preserve"> public health matters</w:t>
      </w:r>
      <w:r>
        <w:rPr>
          <w:sz w:val="20"/>
          <w:szCs w:val="20"/>
        </w:rPr>
        <w:t xml:space="preserve"> – which included long term care activities among others,</w:t>
      </w:r>
      <w:r w:rsidRPr="000E4556">
        <w:rPr>
          <w:sz w:val="20"/>
          <w:szCs w:val="20"/>
        </w:rPr>
        <w:t xml:space="preserve"> from these PCT to local authorities. Other issues where PCT were responsible for, such as clinical and health issues, became responsibility of the clinical commissioning groups (CCG).</w:t>
      </w:r>
    </w:p>
  </w:footnote>
  <w:footnote w:id="3">
    <w:p w14:paraId="170DC3EB" w14:textId="77777777" w:rsidR="00E722A1" w:rsidRPr="000E4556" w:rsidRDefault="00E722A1" w:rsidP="00E722A1">
      <w:pPr>
        <w:pStyle w:val="FootnoteText"/>
        <w:rPr>
          <w:sz w:val="20"/>
          <w:szCs w:val="20"/>
          <w:lang w:val="en-GB"/>
        </w:rPr>
      </w:pPr>
      <w:r w:rsidRPr="000E4556">
        <w:rPr>
          <w:rStyle w:val="FootnoteReference"/>
          <w:sz w:val="20"/>
          <w:szCs w:val="20"/>
          <w:lang w:val="en-GB"/>
        </w:rPr>
        <w:footnoteRef/>
      </w:r>
      <w:r w:rsidRPr="000E4556">
        <w:rPr>
          <w:sz w:val="20"/>
          <w:szCs w:val="20"/>
          <w:lang w:val="en-GB"/>
        </w:rPr>
        <w:t xml:space="preserve"> Considering registered care homes in all sectors, the South East is the region that has more registered care homes (currently more than 1,000</w:t>
      </w:r>
      <w:bookmarkStart w:id="1" w:name="_GoBack"/>
      <w:r w:rsidRPr="000E4556">
        <w:rPr>
          <w:sz w:val="20"/>
          <w:szCs w:val="20"/>
          <w:lang w:val="en-GB"/>
        </w:rPr>
        <w:t>). T</w:t>
      </w:r>
      <w:bookmarkEnd w:id="1"/>
      <w:r w:rsidRPr="000E4556">
        <w:rPr>
          <w:sz w:val="20"/>
          <w:szCs w:val="20"/>
          <w:lang w:val="en-GB"/>
        </w:rPr>
        <w:t>his proportion of care homes contrasts with the North East where there are about 360 registered care homes.</w:t>
      </w:r>
    </w:p>
  </w:footnote>
  <w:footnote w:id="4">
    <w:p w14:paraId="0621D0D6" w14:textId="77777777" w:rsidR="00E722A1" w:rsidRPr="000E4556" w:rsidRDefault="00E722A1" w:rsidP="00E722A1">
      <w:pPr>
        <w:pStyle w:val="FootnoteText"/>
        <w:rPr>
          <w:sz w:val="20"/>
          <w:szCs w:val="20"/>
          <w:lang w:val="en-GB"/>
        </w:rPr>
      </w:pPr>
      <w:r w:rsidRPr="000E4556">
        <w:rPr>
          <w:rStyle w:val="FootnoteReference"/>
          <w:sz w:val="20"/>
          <w:szCs w:val="20"/>
          <w:lang w:val="en-GB"/>
        </w:rPr>
        <w:footnoteRef/>
      </w:r>
      <w:r w:rsidRPr="00794E27">
        <w:rPr>
          <w:sz w:val="20"/>
          <w:szCs w:val="20"/>
          <w:lang w:val="en-GB"/>
        </w:rPr>
        <w:t>This formula has been applied for</w:t>
      </w:r>
      <w:r w:rsidRPr="000E4556">
        <w:rPr>
          <w:sz w:val="20"/>
          <w:szCs w:val="20"/>
          <w:lang w:val="en-GB"/>
        </w:rPr>
        <w:t xml:space="preserve"> the delivery of various public services in the </w:t>
      </w:r>
      <w:proofErr w:type="gramStart"/>
      <w:r w:rsidRPr="000E4556">
        <w:rPr>
          <w:sz w:val="20"/>
          <w:szCs w:val="20"/>
          <w:lang w:val="en-GB"/>
        </w:rPr>
        <w:t>UK .</w:t>
      </w:r>
      <w:proofErr w:type="gramEnd"/>
      <w:r>
        <w:rPr>
          <w:sz w:val="20"/>
          <w:szCs w:val="20"/>
          <w:lang w:val="en-GB"/>
        </w:rPr>
        <w:t xml:space="preserve"> Using the nursing and residential care market,</w:t>
      </w:r>
      <w:r w:rsidRPr="000E4556">
        <w:rPr>
          <w:sz w:val="20"/>
          <w:szCs w:val="20"/>
          <w:lang w:val="en-GB"/>
        </w:rPr>
        <w:t xml:space="preserve"> Barron and West (2017) analyse the performance</w:t>
      </w:r>
      <w:r>
        <w:rPr>
          <w:sz w:val="20"/>
          <w:szCs w:val="20"/>
          <w:lang w:val="en-GB"/>
        </w:rPr>
        <w:t xml:space="preserve"> in terms quality standards</w:t>
      </w:r>
      <w:r w:rsidRPr="000E4556">
        <w:rPr>
          <w:sz w:val="20"/>
          <w:szCs w:val="20"/>
          <w:lang w:val="en-GB"/>
        </w:rPr>
        <w:t xml:space="preserve"> of different types of provide</w:t>
      </w:r>
      <w:r>
        <w:rPr>
          <w:sz w:val="20"/>
          <w:szCs w:val="20"/>
          <w:lang w:val="en-GB"/>
        </w:rPr>
        <w:t>rs.  Their main result suggests that facilities that operate in quasi markets are, on average, of higher quality.</w:t>
      </w:r>
      <w:r w:rsidRPr="00C7604C">
        <w:rPr>
          <w:vanish/>
        </w:rPr>
        <w:t>1 es have evaluated the effect  e associatio g tions and the housing markets. e UK k for d importn for de in this course. Anothe</w:t>
      </w:r>
    </w:p>
  </w:footnote>
  <w:footnote w:id="5">
    <w:p w14:paraId="5A5559A3" w14:textId="77777777" w:rsidR="00E722A1" w:rsidRDefault="00E722A1" w:rsidP="00E722A1">
      <w:pPr>
        <w:pStyle w:val="FootnoteText"/>
      </w:pPr>
      <w:r w:rsidRPr="000E4556">
        <w:rPr>
          <w:rStyle w:val="FootnoteReference"/>
          <w:sz w:val="20"/>
          <w:szCs w:val="20"/>
          <w:lang w:val="en-GB"/>
        </w:rPr>
        <w:footnoteRef/>
      </w:r>
      <w:r w:rsidRPr="000E4556">
        <w:rPr>
          <w:sz w:val="20"/>
          <w:szCs w:val="20"/>
          <w:lang w:val="en-GB"/>
        </w:rPr>
        <w:t xml:space="preserve"> Using information from Laing Buisson market reports, Jarret (2017) argue that publicly funded clients would be about a 50% more than private clients in 2014.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2A1"/>
    <w:rsid w:val="000466D9"/>
    <w:rsid w:val="001A476F"/>
    <w:rsid w:val="00210FF5"/>
    <w:rsid w:val="002348B3"/>
    <w:rsid w:val="0027435F"/>
    <w:rsid w:val="00366938"/>
    <w:rsid w:val="003A0A43"/>
    <w:rsid w:val="006F06D0"/>
    <w:rsid w:val="007A17D9"/>
    <w:rsid w:val="008D6B8F"/>
    <w:rsid w:val="00941571"/>
    <w:rsid w:val="00997A15"/>
    <w:rsid w:val="00A12460"/>
    <w:rsid w:val="00A804BC"/>
    <w:rsid w:val="00B8650F"/>
    <w:rsid w:val="00CB0377"/>
    <w:rsid w:val="00CB6A8D"/>
    <w:rsid w:val="00D85810"/>
    <w:rsid w:val="00D94CBC"/>
    <w:rsid w:val="00E53EDE"/>
    <w:rsid w:val="00E722A1"/>
    <w:rsid w:val="00F414DA"/>
    <w:rsid w:val="00F54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F3D2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BodyText"/>
    <w:link w:val="Heading1Char"/>
    <w:uiPriority w:val="9"/>
    <w:qFormat/>
    <w:rsid w:val="00E722A1"/>
    <w:pPr>
      <w:keepNext/>
      <w:keepLines/>
      <w:spacing w:before="480"/>
      <w:outlineLvl w:val="0"/>
    </w:pPr>
    <w:rPr>
      <w:rFonts w:asciiTheme="majorHAnsi" w:eastAsiaTheme="majorEastAsia" w:hAnsiTheme="majorHAnsi" w:cstheme="majorBidi"/>
      <w:b/>
      <w:bCs/>
      <w:color w:val="2C6EAB" w:themeColor="accent1" w:themeShade="B5"/>
      <w:sz w:val="32"/>
      <w:szCs w:val="32"/>
      <w:lang w:val="en-US"/>
    </w:rPr>
  </w:style>
  <w:style w:type="paragraph" w:styleId="Heading2">
    <w:name w:val="heading 2"/>
    <w:basedOn w:val="Normal"/>
    <w:next w:val="BodyText"/>
    <w:link w:val="Heading2Char"/>
    <w:uiPriority w:val="9"/>
    <w:unhideWhenUsed/>
    <w:qFormat/>
    <w:rsid w:val="00E722A1"/>
    <w:pPr>
      <w:keepNext/>
      <w:keepLines/>
      <w:spacing w:before="200"/>
      <w:outlineLvl w:val="1"/>
    </w:pPr>
    <w:rPr>
      <w:rFonts w:asciiTheme="majorHAnsi" w:eastAsiaTheme="majorEastAsia" w:hAnsiTheme="majorHAnsi" w:cstheme="majorBidi"/>
      <w:b/>
      <w:bCs/>
      <w:color w:val="5B9BD5"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2A1"/>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722A1"/>
    <w:rPr>
      <w:rFonts w:asciiTheme="majorHAnsi" w:eastAsiaTheme="majorEastAsia" w:hAnsiTheme="majorHAnsi" w:cstheme="majorBidi"/>
      <w:b/>
      <w:bCs/>
      <w:color w:val="5B9BD5" w:themeColor="accent1"/>
      <w:sz w:val="32"/>
      <w:szCs w:val="32"/>
    </w:rPr>
  </w:style>
  <w:style w:type="paragraph" w:styleId="BodyText">
    <w:name w:val="Body Text"/>
    <w:basedOn w:val="Normal"/>
    <w:link w:val="BodyTextChar"/>
    <w:qFormat/>
    <w:rsid w:val="00E722A1"/>
    <w:pPr>
      <w:spacing w:before="180" w:after="180"/>
    </w:pPr>
    <w:rPr>
      <w:lang w:val="en-US"/>
    </w:rPr>
  </w:style>
  <w:style w:type="character" w:customStyle="1" w:styleId="BodyTextChar">
    <w:name w:val="Body Text Char"/>
    <w:basedOn w:val="DefaultParagraphFont"/>
    <w:link w:val="BodyText"/>
    <w:rsid w:val="00E722A1"/>
  </w:style>
  <w:style w:type="paragraph" w:customStyle="1" w:styleId="FirstParagraph">
    <w:name w:val="First Paragraph"/>
    <w:basedOn w:val="BodyText"/>
    <w:next w:val="BodyText"/>
    <w:qFormat/>
    <w:rsid w:val="00E722A1"/>
  </w:style>
  <w:style w:type="paragraph" w:styleId="FootnoteText">
    <w:name w:val="footnote text"/>
    <w:basedOn w:val="Normal"/>
    <w:link w:val="FootnoteTextChar"/>
    <w:uiPriority w:val="9"/>
    <w:unhideWhenUsed/>
    <w:qFormat/>
    <w:rsid w:val="00E722A1"/>
    <w:pPr>
      <w:spacing w:after="200"/>
    </w:pPr>
    <w:rPr>
      <w:lang w:val="en-US"/>
    </w:rPr>
  </w:style>
  <w:style w:type="character" w:customStyle="1" w:styleId="FootnoteTextChar">
    <w:name w:val="Footnote Text Char"/>
    <w:basedOn w:val="DefaultParagraphFont"/>
    <w:link w:val="FootnoteText"/>
    <w:uiPriority w:val="9"/>
    <w:rsid w:val="00E722A1"/>
  </w:style>
  <w:style w:type="character" w:styleId="FootnoteReference">
    <w:name w:val="footnote reference"/>
    <w:basedOn w:val="DefaultParagraphFont"/>
    <w:rsid w:val="00E722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819</Words>
  <Characters>4674</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English local government</vt:lpstr>
    </vt:vector>
  </TitlesOfParts>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2017-05-11T07:11:00Z</dcterms:created>
  <dcterms:modified xsi:type="dcterms:W3CDTF">2017-05-11T10:11:00Z</dcterms:modified>
</cp:coreProperties>
</file>