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Claude Code Project Prompt</w:t>
      </w:r>
    </w:p>
    <w:p>
      <w:pPr>
        <w:spacing w:after="240"/>
        <w:jc w:val="center"/>
      </w:pPr>
      <w:r>
        <w:rPr>
          <w:sz w:val="24"/>
          <w:szCs w:val="24"/>
        </w:rPr>
        <w:t xml:space="preserve">X-System — Ekush Wealth Management back-office accounting + selling-agent module</w:t>
      </w:r>
    </w:p>
    <w:p>
      <w:pPr>
        <w:spacing w:after="120" w:line="300"/>
      </w:pPr>
      <w:r>
        <w:t xml:space="preserve">Owner: Ekush Wealth Management Limited</w:t>
      </w:r>
    </w:p>
    <w:p>
      <w:pPr>
        <w:spacing w:after="120" w:line="300"/>
      </w:pPr>
      <w:r>
        <w:t xml:space="preserve">Source workbook this system replicates: F_S_March_2026.xlsx</w:t>
      </w:r>
    </w:p>
    <w:p>
      <w:pPr>
        <w:spacing w:after="120" w:line="300"/>
      </w:pPr>
      <w:r>
        <w:t xml:space="preserve">Existing siblings (DO NOT TOUCH for this project): ekushwml-web, ekush-portal.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0. How to use this prompt</w:t>
      </w:r>
    </w:p>
    <w:p>
      <w:pPr>
        <w:spacing w:after="120" w:line="300"/>
      </w:pPr>
      <w:r>
        <w:t xml:space="preserve">Paste the entire document into Claude Code as the project brief. Do not skip sections — the financial-statement logic in §4 and §5 is taken line-by-line from the user's existing Excel workbook and must be replicated exactly. When in doubt about a formula, open the source workbook and copy the cell formula verbatim before changing it.</w:t>
      </w:r>
    </w:p>
    <w:p>
      <w:pPr>
        <w:spacing w:after="120" w:line="300"/>
      </w:pPr>
      <w:r>
        <w:t xml:space="preserve">Do not invent accounting logic. Do not 'simplify' the chart of accounts, the trial-balance computation, or the Notes layout. The auditor's acceptance test is: open the year-end Excel export and see the same sheets, same column meanings, and the same totals as the existing March 2026 workbook.</w:t>
      </w:r>
    </w:p>
    <w:p>
      <w:pPr>
        <w:spacing w:after="120" w:line="300"/>
      </w:pPr>
      <w:r>
        <w:t xml:space="preserve">If something is genuinely ambiguous, ask the user before coding.</w:t>
      </w:r>
    </w:p>
    <w:p>
      <w:pPr>
        <w:pStyle w:val="Heading1"/>
        <w:spacing w:after="180" w:before="360"/>
      </w:pPr>
      <w:r>
        <w:t xml:space="preserve">1. Goal</w:t>
      </w:r>
    </w:p>
    <w:p>
      <w:pPr>
        <w:spacing w:after="120" w:line="300"/>
      </w:pPr>
      <w:r>
        <w:t xml:space="preserve">Build a web application (the "X-System") that: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Replaces the F_S_March_2026.xlsx workbook as the day-to-day book of account for Ekush Wealth Management Limited (the AMC, not the funds it manages).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Lets accountants enter journals through a UI; the system auto-derives Trial Balance, General Ledger, Income Statement, Balance Sheet, Statement of Changes in Equity, Notes, and Annexures using the exact same logic as the workbook.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At year-end, exports a single .xlsx file that mirrors the existing workbook: same sheet names, same column layout, same SUMIFS-style formulas. The auditor opens it and cannot tell it was generated from a database.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Adds a separate selling-agent portal where approved agents log in, see investors they sourced (data fetched from the existing Ekush Web project via API), and see daily-accrued and quarter-paid commissions per the Selling Agent Agreement clause 6.</w:t>
      </w:r>
    </w:p>
    <w:p>
      <w:pPr>
        <w:spacing w:after="120" w:line="300"/>
      </w:pPr>
      <w:r>
        <w:t xml:space="preserve">Out of scope for this project: merging with ekushwml-web or ekush-portal. Note their existence; do not touch them.</w:t>
      </w:r>
    </w:p>
    <w:p>
      <w:pPr>
        <w:pStyle w:val="Heading1"/>
        <w:spacing w:after="180" w:before="360"/>
      </w:pPr>
      <w:r>
        <w:t xml:space="preserve">2. Recommended stack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Frontend &amp; API: Next.js 15 (App Router) + TypeScript + Tailwind + shadcn/ui.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Server-side data layer: Postgres on Supabase, accessed via Supabase JS in the browser (read paths) and via the service-role key in Next.js Route Handlers / Server Actions (write paths).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Auth: Supabase Auth, two roles — staff (accountants, admins) and selling_agent. Distinct login pages: /login (staff) and /agent/login (selling agents).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Excel export: SheetJS (xlsx) on the server. Build the workbook by populating a Journals sheet from DB and writing the same formulas the original file used in TB-C, BS., IS., CE, Notes., Annexure march. Let Excel/LibreOffice recalc on open.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Background jobs: Supabase Cron (or pg_cron) for the quarterly commission run; Edge Function for the daily commission accrual snapshot.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Hosting: Vercel for the Next.js app (same account as the existing two projects).</w:t>
      </w:r>
    </w:p>
    <w:p>
      <w:pPr>
        <w:pStyle w:val="Heading1"/>
        <w:spacing w:after="180" w:before="360"/>
      </w:pPr>
      <w:r>
        <w:t xml:space="preserve">3. Database — Supabase vs standalone, recommendation</w:t>
      </w:r>
    </w:p>
    <w:p>
      <w:pPr>
        <w:pStyle w:val="Heading3"/>
        <w:spacing w:after="100" w:before="200"/>
      </w:pPr>
      <w:r>
        <w:t xml:space="preserve">Option A — Supabase (recommended for v1)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Pros: already in use by the user; managed Postgres with row-level security maps cleanly to per-agent data scoping; built-in Auth, Storage and Realtime; daily backups and point-in-time recovery on paid tier; zero ops; browser can read tables directly under RLS, which simplifies the agent dashboard.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Cons: data resides on AWS regions outside Bangladesh — confirm BSEC / NBR data-localisation requirements before go-live; vendor lock-in (mitigated because it's stock Postgres — pg_dump exports cleanly); cost scales with rows + bandwidth on heavy use.</w:t>
      </w:r>
    </w:p>
    <w:p>
      <w:pPr>
        <w:pStyle w:val="Heading3"/>
        <w:spacing w:after="100" w:before="200"/>
      </w:pPr>
      <w:r>
        <w:t xml:space="preserve">Option B — Self-hosted Postgres on a remote PC / VPS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Pros: full data sovereignty (server can sit in Dhaka); no per-row SaaS pricing; easier to physically lock down for regulatory inspection.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Cons: user is now responsible for backups, TLS certs, OS patching, schema migration tooling, auth (e.g. NextAuth + a users table), connection pooling (PgBouncer); a single PC failure = nobody works; harder to wire up Realtime and edge-cached reads.</w:t>
      </w:r>
    </w:p>
    <w:p>
      <w:pPr>
        <w:pStyle w:val="Heading3"/>
        <w:spacing w:after="100" w:before="200"/>
      </w:pPr>
      <w:r>
        <w:t xml:space="preserve">Recommendation</w:t>
      </w:r>
    </w:p>
    <w:p>
      <w:pPr>
        <w:spacing w:after="120" w:line="300"/>
      </w:pPr>
      <w:r>
        <w:t xml:space="preserve">Stay on Supabase for v1. Add nightly pg_dump backups encrypted with age and shipped to a server inside Bangladesh (or a local NAS) so an offline copy always exists. Re-evaluate self-hosting only if BSEC, NBR, or the auditor explicitly requires data residency in Bangladesh. The schema below is plain Postgres and portable either way.</w:t>
      </w:r>
    </w:p>
    <w:p>
      <w:pPr>
        <w:pStyle w:val="Heading1"/>
        <w:spacing w:after="180" w:before="360"/>
      </w:pPr>
      <w:r>
        <w:t xml:space="preserve">4. Reverse-engineering the source workbook</w:t>
      </w:r>
    </w:p>
    <w:p>
      <w:pPr>
        <w:spacing w:after="120" w:line="300"/>
      </w:pPr>
      <w:r>
        <w:t xml:space="preserve">The Excel file F_S_March_2026.xlsx is the back-office book of Ekush Wealth Management Limited (the AMC). Sheets relevant to this project, in dependency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Sheet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 of Accounts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Cols: SL, Accounts Name, Normal Balance (DEBIT / CREDIT). ~120 accounts. Use as the seed for the chart_of_accounts table.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Journals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 row at row 7. Cols A:Year, B:Month, C:Day, D=DATE(A,B,C), E:Transaction (description), F:Transaction Type ('OB' for opening balance, 'c' for cash, 'j' for journal, etc.), G:Account Name, H:Debit, I:Credit. Data starts row 8.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TB-C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Trial balance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E7=DATE(B7,C7,D7)-1 = period start ; E8=DATE(B8,C8,D8)+1 = period end. Each account row: H = MAX(0, SUMIFS(Journals!H, dates between E7 and E8, account=name)), I = same against credit column. K = H-I (net debit), L = I-H (net credit). This is the core formula pattern; replicate it as SQL views.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Pulls 'TB-C'!K… for assets and 'TB-C'!L… for equity / liabilities; cross-references IS.!H25 for Retained Earnings. As at March 31, 2026 vs June 30, 2025 (prior year). Title: "Statement of Financial Position".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Income statement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Statement of Profit or Loss and Other Comprehensive Income. Operating income (Mgmt Fees, Capital Gain, Interest, Advisory, Dividend) minus operating expenses minus financial expenses; provision for tax; OCI = unrealised fair-value movement on listed shares × (1−15%) deferred-tax effect.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Statement of Changes in Equity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Cols: Paid-up Capital, Fair Value Reserve, Retained Earnings, Total. Rows: opening, dividend paid, share issue, comprehensive income, OCI, closing. CE!I20 = IS.!H25 etc.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 to FS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 4–27. Each note pulls from TB-C and IS. with explicit cell references. See §5.6 for the full mapping.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Annexure march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Investments schedule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Annexure-B: instrument-level investment book (BRACBANK, BSCCL, BANK ASIA, etc.) with quantity, average cost, total cost, market rate, market value, unrealised gain/loss. Drives Note 6 and the Fair Value Reserve.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INVESTORS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Investor master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 cross-reference for the agent module. Investor codes live in column F (e.g. 'A2', 'A21'). The agent module gets investor data from the Ekush Web API, NOT from this sheet.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Sheets to ignore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IS, BS, E, CF, Notes, Annexure, Notes. (2), Sheet1–5, SIP-I, SIP-U, Portfolio, Price, Trading record, Stock Investment, Weekly charges &amp; Income — these are old fund-level templates with #REF! errors. Do NOT replicate. The dotted versions (BS., IS., Notes.) are authoritative.</w:t>
            </w:r>
          </w:p>
        </w:tc>
      </w:tr>
    </w:tbl>
    <w:p>
      <w:pPr>
        <w:pStyle w:val="Heading1"/>
        <w:spacing w:after="180" w:before="360"/>
      </w:pPr>
      <w:r>
        <w:t xml:space="preserve">5. Database schema</w:t>
      </w:r>
    </w:p>
    <w:p>
      <w:pPr>
        <w:spacing w:after="120" w:line="300"/>
      </w:pPr>
      <w:r>
        <w:t xml:space="preserve">All tables have id uuid primary key default gen_random_uuid(), created_at timestamptz default now(), updated_at timestamptz default now(). RLS is enabled on every table; policies are listed in §5.10.</w:t>
      </w:r>
    </w:p>
    <w:p>
      <w:pPr>
        <w:pStyle w:val="Heading2"/>
        <w:spacing w:after="140" w:before="280"/>
      </w:pPr>
      <w:r>
        <w:t xml:space="preserve">5.1 chart_of_accounts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chart_of_accounts (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sl int not null,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name text not null unique,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normal_balance text not null check (normal_balance in ('DEBIT','CREDIT')),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category text,           -- e.g. 'Current Asset', 'Operating Expense'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is_active boolean default true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20" w:line="300"/>
      </w:pPr>
      <w:r>
        <w:t xml:space="preserve">Seed from the Chart of Accounts sheet — preserve casing exactly (account names are foreign-keyed by string from Journals).</w:t>
      </w:r>
    </w:p>
    <w:p>
      <w:pPr>
        <w:pStyle w:val="Heading2"/>
        <w:spacing w:after="140" w:before="280"/>
      </w:pPr>
      <w:r>
        <w:t xml:space="preserve">5.2 fiscal_years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fiscal_years (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label text not null,           -- e.g. 'FY2025-26'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starts_on date not null,       -- 2025-07-01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ends_on date not null,         -- 2026-06-30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is_closed boolean default false,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closed_at timestamptz,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closed_by uuid references auth.users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20" w:line="300"/>
      </w:pPr>
      <w:r>
        <w:t xml:space="preserve">Bangladesh financial year is July 1 – June 30. The system locks journals once is_closed = true.</w:t>
      </w:r>
    </w:p>
    <w:p>
      <w:pPr>
        <w:pStyle w:val="Heading2"/>
        <w:spacing w:after="140" w:before="280"/>
      </w:pPr>
      <w:r>
        <w:t xml:space="preserve">5.3 journals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journals (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entry_date date not null,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                       -- col E in Excel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txn_type text,                          -- 'OB','c','j' etc., col F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account_name text not null references chart_of_accounts(name),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debit numeric(18,2) default 0,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credit numeric(18,2) default 0,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fiscal_year_id uuid not null references fiscal_years(id),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batch_id uuid,                          -- groups the lines of one compound entry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investor_code text,                     -- nullable, links to Ekush Web investor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agent_id uuid references selling_agents(id),  -- nullable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fund_code text,                         -- 'EFUF','EGF','ESRF' for fund-related lines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created_by uuid references auth.users,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on journals(entry_date);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on journals(account_name);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on journals(fiscal_year_id);</w:t>
      </w:r>
    </w:p>
    <w:p>
      <w:pPr>
        <w:spacing w:after="120" w:line="300"/>
      </w:pPr>
      <w:r>
        <w:t xml:space="preserve">Compound entries (a journal that touches &gt;2 accounts) share a batch_id. Validation rule: SUM(debit) for a batch = SUM(credit) for the batch (raise on save).</w:t>
      </w:r>
    </w:p>
    <w:p>
      <w:pPr>
        <w:pStyle w:val="Heading2"/>
        <w:spacing w:after="140" w:before="280"/>
      </w:pPr>
      <w:r>
        <w:t xml:space="preserve">5.4 selling_agents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selling_agents (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code text not null unique,              -- 'SB0001'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full_name text not null,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email text not null unique,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phone text,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 not null default 'pending' check (status in ('pending','approved','suspended','terminated')),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user_id uuid references auth.users,     -- set when approved + Supabase user created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approved_at timestamptz,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approved_by uuid references auth.users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2"/>
        <w:spacing w:after="140" w:before="280"/>
      </w:pPr>
      <w:r>
        <w:t xml:space="preserve">5.5 agent_terms</w:t>
      </w:r>
    </w:p>
    <w:p>
      <w:pPr>
        <w:spacing w:after="120" w:line="300"/>
      </w:pPr>
      <w:r>
        <w:t xml:space="preserve">Each agent can have different rates. New rates apply prospectively to new subscriptions sourced after effective_from (per agreement clause 6.6).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agent_terms (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agent_id uuid not null references selling_agents(id),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fund_category text not null check (fund_category in ('equity','fixed_income')),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upfront_pct numeric(6,4) not null,       -- 0.0020 = 0.20%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trail_y1_pct_pa numeric(6,4) not null,   -- 0.0040 = 0.40% p.a.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trail_y2plus_pct_pa numeric(6,4) not null,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trail_frequency text not null default 'quarterly',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clawback_months int not null default 6,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clawback_pct numeric(5,4) not null default 1.0000,  -- 100%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effective_from date not null,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effective_to date,                       -- null = current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created_by uuid references auth.users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20" w:line="300"/>
      </w:pPr>
      <w:r>
        <w:t xml:space="preserve">Defaults to seed for every newly-approved agent (per the contract):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Fund category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Upfront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Trail Y1 p.a.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Trail Y2+ p.a.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Equity (EFUF, EGF)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0.35%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Income (ESRF)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0.15%</w:t>
            </w:r>
          </w:p>
        </w:tc>
      </w:tr>
    </w:tbl>
    <w:p>
      <w:pPr>
        <w:pStyle w:val="Heading2"/>
        <w:spacing w:after="140" w:before="280"/>
      </w:pPr>
      <w:r>
        <w:t xml:space="preserve">5.6 agent_investors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agent_investors (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agent_id uuid not null references selling_agents(id),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investor_code text not null,               -- 'A00021', matches Ekush Web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fund_code text not null check (fund_code in ('EFUF','EGF','ESRF')),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sourced_on date not null,                  -- date of original investment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initial_units numeric(18,4) not null,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initial_gross_amount numeric(18,2) not null,  -- for upfront commission base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unit_price_at_sourcing numeric(10,4) not null,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is_direct_subscription boolean default false   -- if true, no commission ever (clause 6.5)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unique index on agent_investors(investor_code, fund_code, sourced_on);</w:t>
      </w:r>
    </w:p>
    <w:p>
      <w:pPr>
        <w:pStyle w:val="Heading2"/>
        <w:spacing w:after="140" w:before="280"/>
      </w:pPr>
      <w:r>
        <w:t xml:space="preserve">5.7 nav_snapshots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nav_snapshots (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fund_code text not null,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snapshot_date date not null,           -- weekly cadence (e.g. every Thursday)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unit_nav numeric(10,4) not null,       -- NAV per unit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source text default 'manual',          -- or 'feed', 'ekush_web'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created_by uuid references auth.users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unique index on nav_snapshots(fund_code, snapshot_date);</w:t>
      </w:r>
    </w:p>
    <w:p>
      <w:pPr>
        <w:pStyle w:val="Heading2"/>
        <w:spacing w:after="140" w:before="280"/>
      </w:pPr>
      <w:r>
        <w:t xml:space="preserve">5.8 commission_runs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commission_runs (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agent_id uuid not null references selling_agents(id),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agent_investor_id uuid references agent_investors(id),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type text not null check (type in ('upfront','trail','clawback')),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period_start date,                          -- null for upfront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period_end date,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base_amount numeric(18,2) not null,         -- gross investment OR weekly-avg NAV value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rate_applied numeric(8,6) not null,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amount numeric(18,2) not null,              -- base * rate (sign convention: clawback negative)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 not null default 'accrued' check (status in ('accrued','approved','paid','reversed')),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paid_on date,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journal_batch_id uuid,                      -- set when posted to journals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notes text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2"/>
        <w:spacing w:after="140" w:before="280"/>
      </w:pPr>
      <w:r>
        <w:t xml:space="preserve">5.9 audit_log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audit_log (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id bigserial primary key,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at timestamptz default now(),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actor uuid references auth.users,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action text not null,                       -- 'journal.create','journal.update','agent.approve', etc.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target_table text,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target_id uuid,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before jsonb,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after jsonb,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ip text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20" w:line="300"/>
      </w:pPr>
      <w:r>
        <w:t xml:space="preserve">Required: every mutation (insert/update/delete) on journals, agent_terms, commission_runs, fiscal_years writes to audit_log via a Postgres trigger. Auditors will ask for it.</w:t>
      </w:r>
    </w:p>
    <w:p>
      <w:pPr>
        <w:pStyle w:val="Heading2"/>
        <w:spacing w:after="140" w:before="280"/>
      </w:pPr>
      <w:r>
        <w:t xml:space="preserve">5.10 Row-level security policies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staff role: full read/write on all tables.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selling_agent role: SELECT only on selling_agents WHERE id = auth.uid()-mapped agent; SELECT on agent_terms, agent_investors, commission_runs, nav_snapshots filtered by agent_id; no access to journals, chart_of_accounts, fiscal_years, audit_log.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After a fiscal_year is closed, all INSERT/UPDATE/DELETE on journals scoped to that year are denied (enforced in trigger, not just RLS).</w:t>
      </w:r>
    </w:p>
    <w:p>
      <w:pPr>
        <w:pStyle w:val="Heading2"/>
        <w:spacing w:after="140" w:before="280"/>
      </w:pPr>
      <w:r>
        <w:t xml:space="preserve">5.11 Derived views</w:t>
      </w:r>
    </w:p>
    <w:p>
      <w:pPr>
        <w:spacing w:after="120" w:line="300"/>
      </w:pPr>
      <w:r>
        <w:t xml:space="preserve">Implement these as SQL views or Postgres functions; they replace the Excel formulas.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view trial_balance_v as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select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fy.id as fiscal_year_id,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coa.name as account_name,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coa.normal_balance,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greatest(0, coalesce(sum(j.debit), 0)) as period_debit,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greatest(0, coalesce(sum(j.credit), 0)) as period_credit,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coalesce(sum(j.debit),0) - coalesce(sum(j.credit),0) as net_debit,    -- mirrors col K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coalesce(sum(j.credit),0) - coalesce(sum(j.debit),0) as net_credit    -- mirrors col L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from chart_of_accounts coa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cross join fiscal_years fy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left join journals j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on j.account_name = coa.name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and j.entry_date &gt;= fy.starts_on - interval '1 day'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and j.entry_date &lt;= fy.ends_on + interval '1 day'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group by fy.id, coa.name, coa.normal_balance;</w:t>
      </w:r>
    </w:p>
    <w:p>
      <w:pPr>
        <w:spacing w:after="120" w:line="300"/>
      </w:pPr>
      <w:r>
        <w:t xml:space="preserve">Then ledger_v (per-account running balance over journals), and stored functions get_income_statement(fiscal_year_id), get_balance_sheet(fiscal_year_id), get_changes_in_equity(fiscal_year_id), get_note(fiscal_year_id, note_no).</w:t>
      </w:r>
    </w:p>
    <w:p>
      <w:pPr>
        <w:spacing w:after="120" w:line="300"/>
      </w:pPr>
      <w:r>
        <w:t xml:space="preserve">These functions encode the exact same line-mapping the workbook uses; for example get_income_statement returns rows derived from these TB-C cells: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Management Fees = TB-C!L17 (net credit on 'Management Fee')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Capital Gain = TB-C!I101 − TB-C!H102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Interest Income = TB-C!I34 + TB-C!I100 − TB-C!H34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Advisory Fees = TB-C!L36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Dividend Income = TB-C!L35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General &amp; Administrative Expenses = −SUM('TB-C'!K37:K42, K44:K73, K75:K80, K88:K96) − K108 − K118 − H119 + K71 + K73 − K124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Financial Expenses = −(H74 + H103 − I103) + L88 − K71 − K73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Income tax expense = computed from Notes.(2)!F12 (Current Tax Provision)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OCI: Unrealised loss on investment in stocks = −Annexure march!K27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Deferred Tax expense = −OCI × 15%</w:t>
      </w:r>
    </w:p>
    <w:p>
      <w:pPr>
        <w:spacing w:after="120" w:line="300"/>
      </w:pPr>
      <w:r>
        <w:t xml:space="preserve">And get_balance_sheet returns lines mapped to: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Property, Plant &amp; Equipment = TB-C!K7 + K8 + K9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Security Deposit-Office Rent = 200,000 (or TB-C!K… for the deposit account)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Investment in Securities = TB-C!K10 + K11 + K13 + K29 + K30 + K12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Sundry Receivables = TB-C!K16 + K19 + K31 + K32 + K33 + K120 + (Annexure!M131 / fair-value adjustment)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AIT Receivables against Mgmt Fee = TB-C!K18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Cash and Cash Equivalents = TB-C!K81 + K82 + K84 + K85 + K86 + K83 + K106 + K110 + K107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Advance, Deposit and Pre-payment = TB-C!K87 + K98 + K125 + K104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Share Capital = TB-C!L20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Retained Earnings = TB-C!L21 + IS.!H25 (current-year profit)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Fair Value Reserve = TB-C!L22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Deferred Tax Liability = TB-C!L26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Provision for Income Tax = TB-C!L27 − IS.!H24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Margin Loan to UCB = −(TB-C!K105 + TB-C!K123)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Liability for Other Expenses = TB-C!L23 + L38 + L115 + L121 + L122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Liab. For Provident Fund = TB-C!I112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Withholding VAT &amp; TDs = TB-C!L113 + L114</w:t>
      </w:r>
    </w:p>
    <w:p>
      <w:pPr>
        <w:spacing w:after="120" w:line="300"/>
      </w:pPr>
      <w:r>
        <w:t xml:space="preserve">Implementation note: do not hard-code these as Excel-style cell references in code. Map them to chart_of_accounts.name in a small static config file (statement_mapping.ts) so when an account is renamed or added the mapping is one place.</w:t>
      </w:r>
    </w:p>
    <w:p>
      <w:pPr>
        <w:pStyle w:val="Heading1"/>
        <w:spacing w:after="180" w:before="360"/>
      </w:pPr>
      <w:r>
        <w:t xml:space="preserve">6. UI / pages</w:t>
      </w:r>
    </w:p>
    <w:p>
      <w:pPr>
        <w:pStyle w:val="Heading2"/>
        <w:spacing w:after="140" w:before="280"/>
      </w:pPr>
      <w:r>
        <w:t xml:space="preserve">6.1 Staff portal (accountants and admins)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/login — email + password, redirects to /dashboard.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/dashboard — current FY summary card (assets total, liabilities total, equity, YTD profit), open fiscal year status, last 10 journal entries, alerts (TB out of balance, BS out of balance, suspense &gt; 0).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/journals — paginated table of all journal lines, filter by date range, account, txn type, batch. Columns: date, txn type, account, debit, credit, description, batch link. Edit &amp; delete protected by RLS + audit-log.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/journals/new — compound journal entry form. One header (date, description, txn type), N lines (account, debit, credit). Live running total at bottom shows Σdebit and Σcredit; Save disabled until equal. Account picker is a typeahead over chart_of_accounts.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/chart-of-accounts — CRUD on chart_of_accounts. Adding an account is allowed; renaming opens a confirmation that warns it will rewrite journals.account_name (use a single transaction).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/trial-balance — table from trial_balance_v for the selected fiscal year, columns: account, period debit, period credit, net debit (K), net credit (L), prior-year (J). Total row at bottom must show Σdebit = Σcredit (highlight red if not).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/ledger/[account] — every journal line for the account, running balance column.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/income-statement — report view of get_income_statement for selected FY, with prior-year column.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/balance-sheet — same shape, prior-year column.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/changes-in-equity — replicates the CE sheet.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/notes — collapsible list of Notes 4–27 from the workbook. Each note is a small SQL function or templated Python/TS that pulls from TB-C and IS.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/annexures — investment schedule (Annexure-B) editor. Per-instrument: name, quantity, average cost, market rate. Computes total cost, market value, unrealised gain/loss, drives Note 6 and Fair Value Reserve.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/agents — admin list of selling agents. Approve / suspend / view terms history.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/agents/[id]/terms — manage that agent's terms history with effective_from/to.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/year-end — pick a closed (or about-to-close) fiscal year; "Download Excel" runs the export. "Close year" sets is_closed = true (irreversible without admin override).</w:t>
      </w:r>
    </w:p>
    <w:p>
      <w:pPr>
        <w:pStyle w:val="Heading2"/>
        <w:spacing w:after="140" w:before="280"/>
      </w:pPr>
      <w:r>
        <w:t xml:space="preserve">6.2 Selling agent portal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/agent/login — separate login page, branded; uses Supabase Auth with a check that profiles.role = 'selling_agent'.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/agent — dashboard showing: (a) my agent code (e.g. SB0001) and approval status; (b) AUM under my code, broken down by fund; (c) commission accrued today, this quarter to date, last paid quarter; (d) clawback exposure (units sourced in the last 6 months, with their current redemption status).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/agent/investors — table of all investors I've sourced, fetched live from Ekush Web (see §7) joined with agent_investors. Cols: investor code, name, fund, sourced date, units sourced, units outstanding, gross investment, current value, redeemed-within-6-months flag.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/agent/commissions — list of commission_runs filtered to this agent. Cols: period, type (upfront/trail/clawback), base, rate, amount, status, paid_on. Download as CSV.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/agent/terms — read-only view of currently effective terms; history shown below.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/agent/profile — change password, contact info.</w:t>
      </w:r>
    </w:p>
    <w:p>
      <w:pPr>
        <w:pStyle w:val="Heading1"/>
        <w:spacing w:after="180" w:before="360"/>
      </w:pPr>
      <w:r>
        <w:t xml:space="preserve">7. Integration with the existing Ekush Web project</w:t>
      </w:r>
    </w:p>
    <w:p>
      <w:pPr>
        <w:spacing w:after="120" w:line="300"/>
      </w:pPr>
      <w:r>
        <w:t xml:space="preserve">Ekush Web (https://vercel.com/heros-projects-3dbd8962/ekushwml-web) holds investor master data. The user will share its repo so we can confirm the table names. For this brief, assume Ekush Web exposes — or will be extended to expose — a JSON API that the X-System server consumes: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/api/v1/investors?agent_code=SB0001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Headers: Authorization: Bearer &lt;signed-service-token&gt;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Returns: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[{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investor_code: 'A00021',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full_name: 'Sadia Ahmed',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fund_code: 'EGF',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sourced_on: '2025-08-12',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initial_units: 1500.00,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unit_price_at_sourcing: 10.6800,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units_outstanding: 1200.00,         // after any redemptions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redemptions: [{ date: '2026-01-05', units: 300, gross: 3825.60 }],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is_direct_subscription: false,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management_fee_charged_ytd: 4250.00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}, ...]</w:t>
      </w:r>
    </w:p>
    <w:p>
      <w:pPr>
        <w:spacing w:after="120" w:line="300"/>
      </w:pPr>
      <w:r>
        <w:t xml:space="preserve">Implementation rules: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Ekush Web reads happen server-side in Next.js Route Handlers. Never call from the browser — the service token must not leak.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Cache responses for 5 minutes per agent_code with Vercel's data cache; manual refresh button on /agent/investors that bypasses the cache.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Mirror the data into agent_investors only when an investor first appears (sourced_on, initial_units). Live fields (units_outstanding, redemptions) are read-through; do not duplicate state we don't own.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If Ekush Web doesn't yet expose this endpoint, prompt the user before mocking — the user owns both repos and can add the endpoint.</w:t>
      </w:r>
    </w:p>
    <w:p>
      <w:pPr>
        <w:pStyle w:val="Heading1"/>
        <w:spacing w:after="180" w:before="360"/>
      </w:pPr>
      <w:r>
        <w:t xml:space="preserve">8. Commission engine — exact rules from agreement clause 6</w:t>
      </w:r>
    </w:p>
    <w:p>
      <w:pPr>
        <w:pStyle w:val="Heading2"/>
        <w:spacing w:after="140" w:before="280"/>
      </w:pPr>
      <w:r>
        <w:t xml:space="preserve">8.1 Upfront commission</w:t>
      </w:r>
    </w:p>
    <w:p>
      <w:pPr>
        <w:spacing w:after="120" w:line="300"/>
      </w:pPr>
      <w:r>
        <w:t xml:space="preserve">Trigger: a row appears in agent_investors with is_direct_subscription = false (i.e. an investor was sourced through this agent).</w:t>
      </w:r>
    </w:p>
    <w:p>
      <w:pPr>
        <w:spacing w:after="120" w:line="300"/>
      </w:pPr>
      <w:r>
        <w:t xml:space="preserve">Calc: amount = initial_gross_amount × upfront_pct (from the agent_terms row whose effective_from ≤ sourced_on &lt; effective_to).</w:t>
      </w:r>
    </w:p>
    <w:p>
      <w:pPr>
        <w:spacing w:after="120" w:line="300"/>
      </w:pPr>
      <w:r>
        <w:t xml:space="preserve">Action: insert one row in commission_runs (type='upfront', status='accrued', period_start=null, period_end=sourced_on, base_amount=initial_gross_amount, rate_applied=upfront_pct).</w:t>
      </w:r>
    </w:p>
    <w:p>
      <w:pPr>
        <w:spacing w:after="120" w:line="300"/>
      </w:pPr>
      <w:r>
        <w:t xml:space="preserve">Pays as a one-off.</w:t>
      </w:r>
    </w:p>
    <w:p>
      <w:pPr>
        <w:pStyle w:val="Heading2"/>
        <w:spacing w:after="140" w:before="280"/>
      </w:pPr>
      <w:r>
        <w:t xml:space="preserve">8.2 Trail commission — quarterly</w:t>
      </w:r>
    </w:p>
    <w:p>
      <w:pPr>
        <w:spacing w:after="120" w:line="300"/>
      </w:pPr>
      <w:r>
        <w:t xml:space="preserve">Quarter ends: Sep 30, Dec 31, Mar 31, Jun 30. Pay within 30 days of quarter end.</w:t>
      </w:r>
    </w:p>
    <w:p>
      <w:pPr>
        <w:spacing w:after="120" w:line="300"/>
      </w:pPr>
      <w:r>
        <w:t xml:space="preserve">For every (agent_investor, fund) with units outstanding during the quarter: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Compute the weekly average NAV value held under the agent's sourcing code: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weekly_avg_value = avg over weeks in quarter of (units_outstanding_on_week × unit_nav_on_week)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Determine the year tier: Y1 if quarter midpoint &lt; sourced_on + 12 months, else Y2+.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Pick the rate from agent_terms by fund_category and tier. Convert annual rate to quarter: rate_quarter = rate_pa / 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amount = weekly_avg_value × rate_quarter.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Insert one commission_runs row per agent_investor per quarter (type='trail').</w:t>
      </w:r>
    </w:p>
    <w:p>
      <w:pPr>
        <w:spacing w:after="120" w:line="300"/>
      </w:pPr>
      <w:r>
        <w:t xml:space="preserve">Trail commission accrues only on units that are still outstanding under the agent's code; redeemed units stop earning trail from the redemption date forward (clause 6.3).</w:t>
      </w:r>
    </w:p>
    <w:p>
      <w:pPr>
        <w:pStyle w:val="Heading2"/>
        <w:spacing w:after="140" w:before="280"/>
      </w:pPr>
      <w:r>
        <w:t xml:space="preserve">8.3 Clawback on early redemption</w:t>
      </w:r>
    </w:p>
    <w:p>
      <w:pPr>
        <w:spacing w:after="120" w:line="300"/>
      </w:pPr>
      <w:r>
        <w:t xml:space="preserve">Per clause 6.4: if any units sourced by the agent are redeemed within 6 months from the date of original investment, 100% of the upfront commission paid on those redeemed units is clawed back. Trail already paid up to the redemption date is NOT clawed back.</w:t>
      </w:r>
    </w:p>
    <w:p>
      <w:pPr>
        <w:spacing w:after="120" w:line="300"/>
      </w:pPr>
      <w:r>
        <w:t xml:space="preserve">Engine: nightly job scans recent redemptions from the Ekush Web feed. For each redemption_date − sourced_on ≤ 6 months: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Redeemed_units / initial_units gives the redemption ratio.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Clawback amount = upfront_amount × redemption_ratio × clawback_pct (default 1.0).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Insert commission_runs row (type='clawback', amount = negative).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Settlement: prefer netting against the next pending commission payment; if none within 30 days, the system flags it for the admin to demand directly (clause 6.4).</w:t>
      </w:r>
    </w:p>
    <w:p>
      <w:pPr>
        <w:pStyle w:val="Heading2"/>
        <w:spacing w:after="140" w:before="280"/>
      </w:pPr>
      <w:r>
        <w:t xml:space="preserve">8.4 Direct subscriptions excluded</w:t>
      </w:r>
    </w:p>
    <w:p>
      <w:pPr>
        <w:spacing w:after="120" w:line="300"/>
      </w:pPr>
      <w:r>
        <w:t xml:space="preserve">If is_direct_subscription = true on agent_investors, NO upfront and NO trail is ever calculated, regardless of any prior relationship between the investor and the agent (clause 6.5).</w:t>
      </w:r>
    </w:p>
    <w:p>
      <w:pPr>
        <w:pStyle w:val="Heading2"/>
        <w:spacing w:after="140" w:before="280"/>
      </w:pPr>
      <w:r>
        <w:t xml:space="preserve">8.5 Posting to general ledger</w:t>
      </w:r>
    </w:p>
    <w:p>
      <w:pPr>
        <w:spacing w:after="120" w:line="300"/>
      </w:pPr>
      <w:r>
        <w:t xml:space="preserve">When commission_runs.status moves from 'approved' to 'paid', the system creates a balanced journal batch: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DR  Selling Agent Fees (expense)            amount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  Bank account from which paid             amount</w:t>
      </w:r>
    </w:p>
    <w:p>
      <w:pPr>
        <w:spacing w:after="120" w:line="300"/>
      </w:pPr>
      <w:r>
        <w:t xml:space="preserve">For clawback (negative amount), the entry reverses. The batch_id is written back to commission_runs.journal_batch_id so the audit trail is closed.</w:t>
      </w:r>
    </w:p>
    <w:p>
      <w:pPr>
        <w:pStyle w:val="Heading2"/>
        <w:spacing w:after="140" w:before="280"/>
      </w:pPr>
      <w:r>
        <w:t xml:space="preserve">8.6 Daily accrual display</w:t>
      </w:r>
    </w:p>
    <w:p>
      <w:pPr>
        <w:spacing w:after="120" w:line="300"/>
      </w:pPr>
      <w:r>
        <w:t xml:space="preserve">The agent dashboard shows daily accrued commission. Implementation: a scheduled job (Edge Function, runs daily at 23:30 BST) inserts/updates a row in a small commission_accruals table with that day's accrual snapshot (upfront for new sourced + pro-rata daily slice of the running quarterly trail). The agent UI reads this table; it is informational only and is reconciled against commission_runs at quarter close.</w:t>
      </w:r>
    </w:p>
    <w:p>
      <w:pPr>
        <w:pStyle w:val="Heading2"/>
        <w:spacing w:after="140" w:before="280"/>
      </w:pPr>
      <w:r>
        <w:t xml:space="preserve">8.7 Quarterly review of rates</w:t>
      </w:r>
    </w:p>
    <w:p>
      <w:pPr>
        <w:spacing w:after="120" w:line="300"/>
      </w:pPr>
      <w:r>
        <w:t xml:space="preserve">Per clause 6.6, the AMC may revise rates with 60 days' written notice; new rates apply prospectively. Implementation: admin creates a new agent_terms row with effective_from = old_terms.effective_to + 1 day; existing AUM stays on the old rate — the engine in §8.2 already picks the term whose effective window contains sourced_on, so existing investors keep their original rate. New sourced_on dates after the cutover get the new rate.</w:t>
      </w:r>
    </w:p>
    <w:p>
      <w:pPr>
        <w:pStyle w:val="Heading1"/>
        <w:spacing w:after="180" w:before="360"/>
      </w:pPr>
      <w:r>
        <w:t xml:space="preserve">9. Year-end Excel export</w:t>
      </w:r>
    </w:p>
    <w:p>
      <w:pPr>
        <w:spacing w:after="120" w:line="300"/>
      </w:pPr>
      <w:r>
        <w:t xml:space="preserve">Endpoint: POST /api/exports/year-end?fiscalYearId=…  →  responds with a streaming xlsx download.</w:t>
      </w:r>
    </w:p>
    <w:p>
      <w:pPr>
        <w:spacing w:after="120" w:line="300"/>
      </w:pPr>
      <w:r>
        <w:t xml:space="preserve">Build with SheetJS in a Node.js runtime (not Edge — Edge has memory limits).</w:t>
      </w:r>
    </w:p>
    <w:p>
      <w:pPr>
        <w:spacing w:after="120" w:line="300"/>
      </w:pPr>
      <w:r>
        <w:t xml:space="preserve">Required sheets, in this order, mirroring the source workbook: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Chart of Accounts — exact dump of the table, three columns: SL, Accounts Name, Normal Balance.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Journals — header row at row 7 exactly as in source: A=Year, B=Month, C=Day, D=DATE(A,B,C) formula, E=description, F=txn type, G=account name, H=debit, I=credit. Top rows 1-6 reproduce the four "check of" cells (sum diffs) so the auditor sees the same balance checks.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TB-C — date range cells E7 (-1 from start) and E8 (+1 from end) populated. Each account row writes the SUMIFS formula by string, e.g. =MAX(0,SUMIFS(Journals!$H$8:$H$50000,Journals!$D$8:$D$50000,"&gt;"&amp;$E$7,Journals!$D$8:$D$50000,"&lt;"&amp;$E$8,Journals!$G$8:$G$50000,"Computers")). Cols K = H − I, L = I − 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BS. — exactly the layout of the source BS. sheet (Statement of Financial Position): two date columns (current period, prior period), formulas referencing 'TB-C'!K… and 'TB-C'!L… as listed in §5.11.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IS. — same as BS. but for the income statement.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CE — Statement of Changes in Equity, columns Paid-up Capital, Fair Value Reserve, Retained Earnings, Total.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Notes. — Notes 4–27, formulas referencing 'TB-C', 'IS.', 'Annexure march' and 'CE'.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Annexure march — Annexure-B investment schedule pulled from the annexures table.</w:t>
      </w:r>
    </w:p>
    <w:p>
      <w:pPr>
        <w:spacing w:after="120" w:line="300"/>
      </w:pPr>
      <w:r>
        <w:t xml:space="preserve">Implementation hints: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Build a JSON description of each sheet first (list of (cell, formula|value, style)). Render it to xlsx with a single helper function. This makes the export testable — snapshot-test the JSON against the original workbook.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For dates use Excel date serial numbers, not strings, so the auditor's Excel can re-format if needed.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Apply styles: bold for header rows, BDT thousand-separator for amounts, blue for input cells (the source workbook uses this convention).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Validate: open the generated file with LibreOffice headless and run a recalc; assert no #REF!, #VALUE!, #DIV/0! errors.</w:t>
      </w:r>
    </w:p>
    <w:p>
      <w:pPr>
        <w:pStyle w:val="Heading1"/>
        <w:spacing w:after="180" w:before="360"/>
      </w:pPr>
      <w:r>
        <w:t xml:space="preserve">10. Auth, roles, and access control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Two Supabase Auth user types live in the same auth.users table; differentiated by a profiles row with role enum ('admin','accountant','selling_agent','auditor').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Auditor role: read-only, sees all financial pages (TB, ledger, IS, BS, Notes, year-end export) but no agent details and no edit affordances.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Staff login at /login. Selling-agent login at /agent/login — also Supabase Auth, same auth.users; the page just rejects logins where profiles.role != 'selling_agent' and redirects.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MFA via Supabase TOTP for admin and accountant roles; recommended for selling_agent.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Admin can rotate an agent's password via the agent management UI (issues a Supabase password-recovery link).</w:t>
      </w:r>
    </w:p>
    <w:p>
      <w:pPr>
        <w:pStyle w:val="Heading1"/>
        <w:spacing w:after="180" w:before="360"/>
      </w:pPr>
      <w:r>
        <w:t xml:space="preserve">11. Validations and guardrails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 journal save: Σdebit = Σcredit (per batch). Reject otherwise.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 journal save: account_name must exist in chart_of_accounts. Auto-suggest closest match if typo.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 journal save: entry_date must fall in an open fiscal year. Block if year is closed.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Trial balance must balance every time it's queried (Σ K = Σ L for the selected period). If not, dashboard shows a red banner with a suspense link.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Balance sheet check: Total Assets = Total Equity + Total Liabilities. If not, banner.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Account renames are atomic — single transaction updates chart_of_accounts.name and all journals.account_name.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Closing a fiscal year freezes journals (trigger raises on insert/update/delete); admins can re-open with a written reason that goes in audit_log.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Commission engine runs idempotently — re-running the quarterly job for the same period must not produce duplicate commission_runs rows. Use a uniqueness constraint on (agent_investor_id, type, period_start, period_end).</w:t>
      </w:r>
    </w:p>
    <w:p>
      <w:pPr>
        <w:pStyle w:val="Heading1"/>
        <w:spacing w:after="180" w:before="360"/>
      </w:pPr>
      <w:r>
        <w:t xml:space="preserve">12. Operational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Backups: enable Supabase point-in-time recovery; additionally, a Vercel Cron at 02:00 BST runs a Supabase pg_dump and uploads encrypted (age) to a configurable destination.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Migrations: use supabase db push with versioned SQL files in /supabase/migrations. No prod schema change without a migration in version control.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Environments: dev, staging (with anonymised data dump), prod. Year-end Excel export must be run against staging before prod each quarter close.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Logging: all server actions write to audit_log; Vercel Log Drains push to Logtail or BetterStack.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Locale: BDT throughout, en-BD number formatting (1,23,45,000 not 12,345,000 — use the Indian numbering system used in Bangladesh, matching the source workbook).</w:t>
      </w:r>
    </w:p>
    <w:p>
      <w:pPr>
        <w:pStyle w:val="Heading1"/>
        <w:spacing w:after="180" w:before="360"/>
      </w:pPr>
      <w:r>
        <w:t xml:space="preserve">13. Suggested build order for Claude Code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Bootstrap Next.js + Supabase + Tailwind + shadcn/ui. Wire staff auth and a stub /dashboard.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Migrations for chart_of_accounts, fiscal_years, journals, audit_log. Seed Chart of Accounts from §4.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/journals/new and /journals (CRUD + balance check + audit-log trigger). Verify by entering the OB rows from the source workbook (rows 8–67) and reproducing the opening balances.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trial_balance_v and /trial-balance. Verify totals match the source workbook for FY2024-25 and FY2025-26 cut-offs.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get_income_statement, get_balance_sheet, get_changes_in_equity functions and the corresponding pages. Verify against the source IS., BS., CE sheets.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the Notes pages (Notes 4–27).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/annexures with the investment schedule editor.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the year-end Excel export. Diff the output workbook against F_S_March_2026.xlsx — totals must agree to the rupee.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agent tables (selling_agents, agent_terms, agent_investors, nav_snapshots, commission_runs). Build admin UI at /agents.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the Ekush Web integration in §7. Confirm the API contract with the user before mocking.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the agent portal /agent/* and the commission engine (§8). Run end-to-end with one test agent and one test investor.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MFA, backups, log drains. Write the README.</w:t>
      </w:r>
    </w:p>
    <w:p>
      <w:pPr>
        <w:pStyle w:val="Heading1"/>
        <w:spacing w:after="180" w:before="360"/>
      </w:pPr>
      <w:r>
        <w:t xml:space="preserve">14. Acceptance test</w:t>
      </w:r>
    </w:p>
    <w:p>
      <w:pPr>
        <w:spacing w:after="120" w:line="300"/>
      </w:pPr>
      <w:r>
        <w:t xml:space="preserve">Before declaring done: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Re-enter every journal from F_S_March_2026.xlsx into the system through the UI.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Generate the year-end Excel export for FY2025-26.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 both the original workbook and the exported one in Excel. For TB-C, BS., IS., CE, and every Note: every total must match exactly. Differences &gt; BDT 1 are bugs.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Approve one selling agent. Through the Ekush Web API mock, source one investor on 2025-08-01 with BDT 100,000 in EGF. The agent dashboard must show: upfront commission BDT 200, trail accruing daily.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Simulate a redemption on 2025-12-01 (within 6 months). The agent's commission_runs must show a clawback row of −BDT 200 (assuming full redemption) and trail accrual must stop on that fund.</w:t>
      </w:r>
    </w:p>
    <w:p>
      <w:pPr>
        <w:pStyle w:val="Heading1"/>
        <w:spacing w:after="180" w:before="360"/>
      </w:pPr>
      <w:r>
        <w:t xml:space="preserve">15. Out of scope (do not start)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Merging this back-office system with ekushwml-web or ekush-portal.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Investor onboarding flows — those live in Ekush Web.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Automated NAV calculation from individual fund holdings (the funds publish weekly NAV; this system consumes it).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Tax filing automation — the system records tax provisions; filing happens outside.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Mobile apps. Mobile-responsive web is enough.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Appendix — Open questions for the user before coding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Confirm the exact Ekush Web API endpoint shape (or grant access to the repo so we can extend it).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Confirm the fund_code values used internally — assumed EFUF, EGF, ESRF — and which are equity vs fixed-income.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Confirm Bangladesh data-residency posture: is Supabase (US/EU) acceptable, or must data sit in-country?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Confirm whether the auditor needs a separate read-only login or just the Excel export.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Confirm the day of the week for weekly NAV snapshots used as the trail-commission 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Provide login for the existing ekushwml-web Vercel project so we can wire the API.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X-System project prompt</dc:title>
  <dc:creator>Claude</dc:creator>
  <dc:description>Claude Code project prompt for Ekush back-office X-System</dc:description>
  <cp:lastModifiedBy>Un-named</cp:lastModifiedBy>
  <cp:revision>1</cp:revision>
  <dcterms:created xsi:type="dcterms:W3CDTF">2026-05-09T16:04:38.319Z</dcterms:created>
  <dcterms:modified xsi:type="dcterms:W3CDTF">2026-05-09T16:04:38.319Z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