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36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FACULDADE DE TECNOLOGIA DE VOTORANTIM – FATEC VOTORANTIM</w:t>
      </w:r>
    </w:p>
    <w:p>
      <w:pPr>
        <w:spacing w:after="0" w:before="0" w:line="36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CENTRO PAULA SOUZA</w:t>
      </w:r>
    </w:p>
    <w:p>
      <w:pPr>
        <w:spacing w:after="0" w:before="0" w:line="36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CURSO SUPERIOR DE TECNOLOGIA EM DESENVOLVIMENTO DE SOFTWARE MULTIPLATAFORMA</w:t>
      </w:r>
    </w:p>
    <w:p>
      <w:pPr>
        <w:spacing w:after="0" w:before="1800" w:line="360"/>
        <w:jc w:val="center"/>
      </w:pPr>
      <w:r>
        <w:rPr>
          <w:rFonts w:ascii="Arial" w:cs="Arial" w:eastAsia="Arial" w:hAnsi="Arial"/>
          <w:sz w:val="24"/>
          <w:szCs w:val="24"/>
        </w:rPr>
        <w:t xml:space="preserve">EDUARDO KAMO IGUEI</w:t>
      </w:r>
    </w:p>
    <w:p>
      <w:pPr>
        <w:spacing w:after="0" w:before="2400" w:line="36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CARTEIRA DE VACINAÇÃO DIGITAL COM LEMBRETES E ASSISTENTE POR VOZ</w:t>
      </w:r>
    </w:p>
    <w:p>
      <w:pPr>
        <w:spacing w:after="0" w:before="240" w:line="360"/>
        <w:jc w:val="center"/>
      </w:pPr>
      <w:r>
        <w:rPr>
          <w:rFonts w:ascii="Arial" w:cs="Arial" w:eastAsia="Arial" w:hAnsi="Arial"/>
          <w:sz w:val="24"/>
          <w:szCs w:val="24"/>
        </w:rPr>
        <w:t xml:space="preserve">Documento de Visão e Escopo – Fase 0</w:t>
      </w:r>
    </w:p>
    <w:p>
      <w:pPr>
        <w:spacing w:after="0" w:before="2400" w:line="360"/>
        <w:jc w:val="center"/>
      </w:pPr>
      <w:r>
        <w:rPr>
          <w:rFonts w:ascii="Arial" w:cs="Arial" w:eastAsia="Arial" w:hAnsi="Arial"/>
          <w:sz w:val="24"/>
          <w:szCs w:val="24"/>
        </w:rPr>
        <w:t xml:space="preserve">Votorantim</w:t>
      </w:r>
    </w:p>
    <w:p>
      <w:pPr>
        <w:spacing w:after="0" w:before="0" w:line="360"/>
        <w:jc w:val="center"/>
      </w:pPr>
      <w:r>
        <w:rPr>
          <w:rFonts w:ascii="Arial" w:cs="Arial" w:eastAsia="Arial" w:hAnsi="Arial"/>
          <w:sz w:val="24"/>
          <w:szCs w:val="24"/>
        </w:rPr>
        <w:t xml:space="preserve">2026</w:t>
      </w:r>
    </w:p>
    <w:p>
      <w:pPr>
        <w:sectPr>
          <w:pgSz w:w="11906" w:h="16838" w:orient="portrait"/>
          <w:pgMar w:top="1701" w:right="1134" w:bottom="1134" w:left="1701" w:header="1134" w:footer="567" w:gutter="0"/>
          <w:pgNumType/>
          <w:docGrid w:linePitch="360"/>
        </w:sectPr>
      </w:pPr>
    </w:p>
    <w:p>
      <w:pPr>
        <w:spacing w:after="0" w:before="0" w:line="360"/>
        <w:jc w:val="center"/>
      </w:pPr>
      <w:r>
        <w:rPr>
          <w:rFonts w:ascii="Arial" w:cs="Arial" w:eastAsia="Arial" w:hAnsi="Arial"/>
          <w:sz w:val="24"/>
          <w:szCs w:val="24"/>
        </w:rPr>
        <w:t xml:space="preserve">EDUARDO KAMO IGUEI</w:t>
      </w:r>
    </w:p>
    <w:p>
      <w:pPr>
        <w:spacing w:after="0" w:before="0" w:line="360"/>
        <w:jc w:val="center"/>
      </w:pPr>
      <w:r>
        <w:rPr>
          <w:rFonts w:ascii="Arial" w:cs="Arial" w:eastAsia="Arial" w:hAnsi="Arial"/>
          <w:sz w:val="24"/>
          <w:szCs w:val="24"/>
        </w:rPr>
        <w:t xml:space="preserve">RA: </w:t>
      </w:r>
      <w:r>
        <w:rPr>
          <w:rFonts w:ascii="Arial" w:cs="Arial" w:eastAsia="Arial" w:hAnsi="Arial"/>
          <w:sz w:val="24"/>
          <w:szCs w:val="24"/>
          <w:shd w:fill="FFFF00" w:color="auto" w:val="clear"/>
        </w:rPr>
        <w:t xml:space="preserve">XXXXXXX</w:t>
      </w:r>
    </w:p>
    <w:p>
      <w:pPr>
        <w:spacing w:after="0" w:before="2200" w:line="36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CARTEIRA DE VACINAÇÃO DIGITAL COM LEMBRETES E ASSISTENTE POR VOZ</w:t>
      </w:r>
    </w:p>
    <w:p>
      <w:pPr>
        <w:spacing w:after="0" w:before="240" w:line="360"/>
        <w:jc w:val="center"/>
      </w:pPr>
      <w:r>
        <w:rPr>
          <w:rFonts w:ascii="Arial" w:cs="Arial" w:eastAsia="Arial" w:hAnsi="Arial"/>
          <w:sz w:val="24"/>
          <w:szCs w:val="24"/>
        </w:rPr>
        <w:t xml:space="preserve">Documento de Visão e Escopo – Fase 0</w:t>
      </w:r>
    </w:p>
    <w:p>
      <w:pPr>
        <w:spacing w:before="2200" w:line="240"/>
        <w:ind w:left="4535"/>
        <w:jc w:val="both"/>
      </w:pPr>
      <w:r>
        <w:rPr>
          <w:rFonts w:ascii="Arial" w:cs="Arial" w:eastAsia="Arial" w:hAnsi="Arial"/>
          <w:sz w:val="22"/>
          <w:szCs w:val="22"/>
        </w:rPr>
        <w:t xml:space="preserve">Documento de Visão e Escopo (Fase 0) elaborado como parte das atividades do Projeto Interdisciplinar VI (PI-VI), tendo como disciplina-chave Laboratório de Desenvolvimento Multiplataforma e como disciplinas satélites Computação em Nuvem II, Processamento de Linguagem Natural e Qualidade e Testes de Software, do Curso Superior de Tecnologia em Desenvolvimento de Software Multiplataforma da Faculdade de Tecnologia de Votorantim.</w:t>
      </w:r>
    </w:p>
    <w:p>
      <w:pPr>
        <w:spacing w:before="240" w:line="240"/>
        <w:ind w:left="4535"/>
        <w:jc w:val="both"/>
      </w:pPr>
      <w:r>
        <w:rPr>
          <w:rFonts w:ascii="Arial" w:cs="Arial" w:eastAsia="Arial" w:hAnsi="Arial"/>
          <w:sz w:val="22"/>
          <w:szCs w:val="22"/>
        </w:rPr>
        <w:t xml:space="preserve">Orientador: Prof. Dr. Cassio R. F. Riedo</w:t>
      </w:r>
    </w:p>
    <w:p>
      <w:pPr>
        <w:spacing w:after="0" w:before="1800" w:line="360"/>
        <w:jc w:val="center"/>
      </w:pPr>
      <w:r>
        <w:rPr>
          <w:rFonts w:ascii="Arial" w:cs="Arial" w:eastAsia="Arial" w:hAnsi="Arial"/>
          <w:sz w:val="24"/>
          <w:szCs w:val="24"/>
        </w:rPr>
        <w:t xml:space="preserve">Votorantim</w:t>
      </w:r>
    </w:p>
    <w:p>
      <w:pPr>
        <w:spacing w:after="0" w:before="0" w:line="360"/>
        <w:jc w:val="center"/>
      </w:pPr>
      <w:r>
        <w:rPr>
          <w:rFonts w:ascii="Arial" w:cs="Arial" w:eastAsia="Arial" w:hAnsi="Arial"/>
          <w:sz w:val="24"/>
          <w:szCs w:val="24"/>
        </w:rPr>
        <w:t xml:space="preserve">2026</w:t>
      </w:r>
    </w:p>
    <w:p>
      <w:pPr>
        <w:spacing w:after="0" w:before="120" w:line="360"/>
        <w:jc w:val="center"/>
      </w:pPr>
      <w:r>
        <w:rPr>
          <w:rFonts w:ascii="Arial" w:cs="Arial" w:eastAsia="Arial" w:hAnsi="Arial"/>
          <w:sz w:val="20"/>
          <w:szCs w:val="20"/>
        </w:rPr>
        <w:t xml:space="preserve">Versão 1.0 – 06/10/2026</w:t>
      </w:r>
    </w:p>
    <w:p>
      <w:pPr>
        <w:pageBreakBefore/>
        <w:spacing w:after="360" w:before="0" w:line="36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RESUMO</w:t>
      </w:r>
    </w:p>
    <w:p>
      <w:pPr>
        <w:spacing w:after="240" w:line="240"/>
        <w:jc w:val="both"/>
      </w:pPr>
      <w:r>
        <w:rPr>
          <w:rFonts w:ascii="Arial" w:cs="Arial" w:eastAsia="Arial" w:hAnsi="Arial"/>
        </w:rPr>
        <w:t xml:space="preserve">Este documento apresenta a fase de fundação (Fase 0) de um projeto de software multiplataforma desenvolvido individualmente no Projeto Interdisciplinar VI do Curso Superior de Tecnologia em Desenvolvimento de Software Multiplataforma da Fatec Votorantim. O projeto propõe uma carteira de vacinação digital que permite a famílias organizar o calendário vacinal de seus membros, registrar doses, receber lembretes e esclarecer dúvidas por meio de busca por voz e de um chatbot de intenções, hospedada integralmente na plataforma Microsoft Azure. São apresentados o problema, a justificativa baseada em dados do Programa Nacional de Imunizações, o alinhamento com os Objetivos de Desenvolvimento Sustentável 3 e 10 (e 11, na versão completa), os objetivos, as personas, o escopo do produto mínimo viável, os requisitos funcionais e não funcionais, as premissas e restrições, as decisões técnicas preliminares, o cronograma e os riscos. O documento serve de base para o Product Backlog, a modelagem UML e o planejamento de testes.</w:t>
      </w:r>
    </w:p>
    <w:p>
      <w:pPr>
        <w:spacing w:line="240"/>
        <w:jc w:val="both"/>
      </w:pPr>
      <w:r>
        <w:rPr>
          <w:rFonts w:ascii="Arial" w:cs="Arial" w:eastAsia="Arial" w:hAnsi="Arial"/>
          <w:b/>
          <w:bCs/>
        </w:rPr>
        <w:t xml:space="preserve">Palavras-chave:</w:t>
      </w:r>
      <w:r>
        <w:rPr>
          <w:rFonts w:ascii="Arial" w:cs="Arial" w:eastAsia="Arial" w:hAnsi="Arial"/>
        </w:rPr>
        <w:t xml:space="preserve"> vacinação; saúde digital; aplicativo multiplataforma; Azure; processamento de linguagem natural.</w:t>
      </w:r>
    </w:p>
    <w:p>
      <w:pPr>
        <w:pageBreakBefore/>
        <w:spacing w:after="360" w:before="0" w:line="36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SUMÁRIO</w:t>
      </w:r>
    </w:p>
    <w:p>
      <w:pPr>
        <w:tabs>
          <w:tab w:val="right" w:pos="9071" w:leader="dot"/>
        </w:tabs>
        <w:spacing w:after="60" w:line="276"/>
        <w:ind w:left="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 INTRODUÇÃO	4</w:t>
      </w:r>
    </w:p>
    <w:p>
      <w:pPr>
        <w:tabs>
          <w:tab w:val="right" w:pos="9071" w:leader="dot"/>
        </w:tabs>
        <w:spacing w:after="60" w:line="276"/>
        <w:ind w:left="34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1.1 Contexto e finalidade do documento	4</w:t>
      </w:r>
    </w:p>
    <w:p>
      <w:pPr>
        <w:tabs>
          <w:tab w:val="right" w:pos="9071" w:leader="dot"/>
        </w:tabs>
        <w:spacing w:after="60" w:line="276"/>
        <w:ind w:left="34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1.2 Organização do documento	4</w:t>
      </w:r>
    </w:p>
    <w:p>
      <w:pPr>
        <w:tabs>
          <w:tab w:val="right" w:pos="9071" w:leader="dot"/>
        </w:tabs>
        <w:spacing w:after="60" w:line="276"/>
        <w:ind w:left="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 PROBLEMA E JUSTIFICATIVA	5</w:t>
      </w:r>
    </w:p>
    <w:p>
      <w:pPr>
        <w:tabs>
          <w:tab w:val="right" w:pos="9071" w:leader="dot"/>
        </w:tabs>
        <w:spacing w:after="60" w:line="276"/>
        <w:ind w:left="34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2.1 Problema a ser resolvido	5</w:t>
      </w:r>
    </w:p>
    <w:p>
      <w:pPr>
        <w:tabs>
          <w:tab w:val="right" w:pos="9071" w:leader="dot"/>
        </w:tabs>
        <w:spacing w:after="60" w:line="276"/>
        <w:ind w:left="34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2.2 Justificativa	5</w:t>
      </w:r>
    </w:p>
    <w:p>
      <w:pPr>
        <w:tabs>
          <w:tab w:val="right" w:pos="9071" w:leader="dot"/>
        </w:tabs>
        <w:spacing w:after="60" w:line="276"/>
        <w:ind w:left="34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2.3 Alinhamento com os Objetivos de Desenvolvimento Sustentável	6</w:t>
      </w:r>
    </w:p>
    <w:p>
      <w:pPr>
        <w:tabs>
          <w:tab w:val="right" w:pos="9071" w:leader="dot"/>
        </w:tabs>
        <w:spacing w:after="60" w:line="276"/>
        <w:ind w:left="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 OBJETIVOS	8</w:t>
      </w:r>
    </w:p>
    <w:p>
      <w:pPr>
        <w:tabs>
          <w:tab w:val="right" w:pos="9071" w:leader="dot"/>
        </w:tabs>
        <w:spacing w:after="60" w:line="276"/>
        <w:ind w:left="34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3.1 Objetivo geral	8</w:t>
      </w:r>
    </w:p>
    <w:p>
      <w:pPr>
        <w:tabs>
          <w:tab w:val="right" w:pos="9071" w:leader="dot"/>
        </w:tabs>
        <w:spacing w:after="60" w:line="276"/>
        <w:ind w:left="34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3.2 Objetivos específicos	8</w:t>
      </w:r>
    </w:p>
    <w:p>
      <w:pPr>
        <w:tabs>
          <w:tab w:val="right" w:pos="9071" w:leader="dot"/>
        </w:tabs>
        <w:spacing w:after="60" w:line="276"/>
        <w:ind w:left="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 PÚBLICO-ALVO E PERSONAS	9</w:t>
      </w:r>
    </w:p>
    <w:p>
      <w:pPr>
        <w:tabs>
          <w:tab w:val="right" w:pos="9071" w:leader="dot"/>
        </w:tabs>
        <w:spacing w:after="60" w:line="276"/>
        <w:ind w:left="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 ESCOPO	10</w:t>
      </w:r>
    </w:p>
    <w:p>
      <w:pPr>
        <w:tabs>
          <w:tab w:val="right" w:pos="9071" w:leader="dot"/>
        </w:tabs>
        <w:spacing w:after="60" w:line="276"/>
        <w:ind w:left="34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5.1 Escopo do MVP	10</w:t>
      </w:r>
    </w:p>
    <w:p>
      <w:pPr>
        <w:tabs>
          <w:tab w:val="right" w:pos="9071" w:leader="dot"/>
        </w:tabs>
        <w:spacing w:after="60" w:line="276"/>
        <w:ind w:left="34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5.2 Versão completa	10</w:t>
      </w:r>
    </w:p>
    <w:p>
      <w:pPr>
        <w:tabs>
          <w:tab w:val="right" w:pos="9071" w:leader="dot"/>
        </w:tabs>
        <w:spacing w:after="60" w:line="276"/>
        <w:ind w:left="34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5.3 Fora do escopo	10</w:t>
      </w:r>
    </w:p>
    <w:p>
      <w:pPr>
        <w:tabs>
          <w:tab w:val="right" w:pos="9071" w:leader="dot"/>
        </w:tabs>
        <w:spacing w:after="60" w:line="276"/>
        <w:ind w:left="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6 REQUISITOS	11</w:t>
      </w:r>
    </w:p>
    <w:p>
      <w:pPr>
        <w:tabs>
          <w:tab w:val="right" w:pos="9071" w:leader="dot"/>
        </w:tabs>
        <w:spacing w:after="60" w:line="276"/>
        <w:ind w:left="34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6.1 Requisitos funcionais	11</w:t>
      </w:r>
    </w:p>
    <w:p>
      <w:pPr>
        <w:tabs>
          <w:tab w:val="right" w:pos="9071" w:leader="dot"/>
        </w:tabs>
        <w:spacing w:after="60" w:line="276"/>
        <w:ind w:left="34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6.2 Requisitos não funcionais	12</w:t>
      </w:r>
    </w:p>
    <w:p>
      <w:pPr>
        <w:tabs>
          <w:tab w:val="right" w:pos="9071" w:leader="dot"/>
        </w:tabs>
        <w:spacing w:after="60" w:line="276"/>
        <w:ind w:left="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7 PREMISSAS E RESTRIÇÕES	13</w:t>
      </w:r>
    </w:p>
    <w:p>
      <w:pPr>
        <w:tabs>
          <w:tab w:val="right" w:pos="9071" w:leader="dot"/>
        </w:tabs>
        <w:spacing w:after="60" w:line="276"/>
        <w:ind w:left="34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7.1 Premissas	13</w:t>
      </w:r>
    </w:p>
    <w:p>
      <w:pPr>
        <w:tabs>
          <w:tab w:val="right" w:pos="9071" w:leader="dot"/>
        </w:tabs>
        <w:spacing w:after="60" w:line="276"/>
        <w:ind w:left="34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7.2 Restrições	13</w:t>
      </w:r>
    </w:p>
    <w:p>
      <w:pPr>
        <w:tabs>
          <w:tab w:val="right" w:pos="9071" w:leader="dot"/>
        </w:tabs>
        <w:spacing w:after="60" w:line="276"/>
        <w:ind w:left="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8 DECISÕES TÉCNICAS PRELIMINARES	14</w:t>
      </w:r>
    </w:p>
    <w:p>
      <w:pPr>
        <w:tabs>
          <w:tab w:val="right" w:pos="9071" w:leader="dot"/>
        </w:tabs>
        <w:spacing w:after="60" w:line="276"/>
        <w:ind w:left="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9 ENTREGAS E CRONOGRAMA	15</w:t>
      </w:r>
    </w:p>
    <w:p>
      <w:pPr>
        <w:tabs>
          <w:tab w:val="right" w:pos="9071" w:leader="dot"/>
        </w:tabs>
        <w:spacing w:after="60" w:line="276"/>
        <w:ind w:left="34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9.1 Entregas obrigatórias	15</w:t>
      </w:r>
    </w:p>
    <w:p>
      <w:pPr>
        <w:tabs>
          <w:tab w:val="right" w:pos="9071" w:leader="dot"/>
        </w:tabs>
        <w:spacing w:after="60" w:line="276"/>
        <w:ind w:left="34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9.2 Plano semanal	15</w:t>
      </w:r>
    </w:p>
    <w:p>
      <w:pPr>
        <w:tabs>
          <w:tab w:val="right" w:pos="9071" w:leader="dot"/>
        </w:tabs>
        <w:spacing w:after="60" w:line="276"/>
        <w:ind w:left="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10 RISCOS E MITIGAÇÕES	17</w:t>
      </w:r>
    </w:p>
    <w:p>
      <w:pPr>
        <w:tabs>
          <w:tab w:val="right" w:pos="9071" w:leader="dot"/>
        </w:tabs>
        <w:spacing w:after="60" w:line="276"/>
        <w:ind w:left="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11 CONSIDERAÇÕES FINAIS E PRÓXIMOS PASSOS	18</w:t>
      </w:r>
    </w:p>
    <w:p>
      <w:pPr>
        <w:tabs>
          <w:tab w:val="right" w:pos="9071" w:leader="dot"/>
        </w:tabs>
        <w:spacing w:after="60" w:line="276"/>
        <w:ind w:left="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REFERÊNCIAS	19</w:t>
      </w:r>
    </w:p>
    <w:p>
      <w:pPr>
        <w:sectPr>
          <w:type w:val="nextPage"/>
          <w:pgSz w:w="11906" w:h="16838" w:orient="portrait"/>
          <w:pgMar w:top="1701" w:right="1134" w:bottom="1134" w:left="1701" w:header="1134" w:footer="567" w:gutter="0"/>
          <w:pgNumType w:start="1" w:fmt="decimal"/>
          <w:docGrid w:linePitch="360"/>
        </w:sectPr>
      </w:pP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1 INTRODUÇÃO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1.1 Contexto e finalidade do documento</w:t>
      </w:r>
    </w:p>
    <w:p>
      <w:pPr>
        <w:spacing w:after="0" w:before="0" w:line="360"/>
        <w:ind w:firstLine="709"/>
        <w:jc w:val="both"/>
      </w:pPr>
      <w:r>
        <w:rPr>
          <w:rFonts w:ascii="Arial" w:cs="Arial" w:eastAsia="Arial" w:hAnsi="Arial"/>
        </w:rPr>
        <w:t xml:space="preserve">Este documento apresenta a Fase 0 (Fundação) do projeto desenvolvido no Projeto Interdisciplinar VI (PI-VI) do Curso Superior de Tecnologia em Desenvolvimento de Software Multiplataforma da Fatec Votorantim. O PI-VI tem como objetivo desenvolver uma solução multiplataforma que atenda a demandas reais e contribua com os Objetivos de Desenvolvimento Sustentável (ODS), integrando plataforma web e dispositivos móveis, arquitetura em nuvem, qualidade e testes de software e Processamento de Linguagem Natural (PLN) (FACULDADE DE TECNOLOGIA DE VOTORANTIM, 2026).</w:t>
      </w:r>
    </w:p>
    <w:p>
      <w:pPr>
        <w:spacing w:after="0" w:before="0" w:line="360"/>
        <w:ind w:firstLine="709"/>
        <w:jc w:val="both"/>
      </w:pPr>
      <w:r>
        <w:rPr>
          <w:rFonts w:ascii="Arial" w:cs="Arial" w:eastAsia="Arial" w:hAnsi="Arial"/>
        </w:rPr>
        <w:t xml:space="preserve">O projeto, realizado de forma individual, propõe uma carteira de vacinação digital com lembretes, busca por voz e chatbot de dúvidas, hospedada integralmente na plataforma Microsoft Azure. Antes de qualquer implementação, este documento fixa a visão do produto, a justificativa, o escopo e os requisitos, de modo que as etapas seguintes (Product Backlog, modelagem UML, design system, plano de testes e codificação) partam de decisões registradas.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1.2 Organização do documento</w:t>
      </w:r>
    </w:p>
    <w:p>
      <w:pPr>
        <w:spacing w:after="0" w:before="0" w:line="360"/>
        <w:ind w:firstLine="709"/>
        <w:jc w:val="both"/>
      </w:pPr>
      <w:r>
        <w:rPr>
          <w:rFonts w:ascii="Arial" w:cs="Arial" w:eastAsia="Arial" w:hAnsi="Arial"/>
        </w:rPr>
        <w:t xml:space="preserve">A seção 2 descreve o problema, a justificativa e o alinhamento com os ODS. A seção 3 apresenta os objetivos e a seção 4, o público-alvo. As seções 5 e 6 definem o escopo e os requisitos funcionais e não funcionais. A seção 7 reúne premissas e restrições, a seção 8 registra as decisões técnicas preliminares, a seção 9 detalha as entregas e o cronograma e a seção 10 identifica riscos e mitigações. A seção 11 indica os próximos passos. A organização dos conteúdos de problemas, expectativas, personas e funcionalidades segue o canvas de Product Backlog Building adotado na disciplina (AGUIAR; CAROLI, 2021).</w:t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2 PROBLEMA E JUSTIFICATIVA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2.1 Problema a ser resolvido</w:t>
      </w:r>
    </w:p>
    <w:p>
      <w:pPr>
        <w:spacing w:after="0" w:before="0" w:line="360"/>
        <w:ind w:firstLine="709"/>
        <w:jc w:val="both"/>
      </w:pPr>
      <w:r>
        <w:rPr>
          <w:rFonts w:ascii="Arial" w:cs="Arial" w:eastAsia="Arial" w:hAnsi="Arial"/>
        </w:rPr>
        <w:t xml:space="preserve">As famílias precisam acompanhar um calendário vacinal que varia conforme a idade e a condição de cada pessoa, e esse acompanhamento ainda depende, em grande parte, da caderneta de papel e da memória de quem cuida. O Quadro 1 relaciona os problemas identificados às expectativas de solução, de modo que cada problema esteja associado a pelo menos uma expectativa. Os problemas são hipóteses de trabalho, a serem confirmadas em conversas com potenciais usuários nas primeiras semanas do projeto.</w:t>
      </w:r>
    </w:p>
    <w:p>
      <w:pPr>
        <w:keepNext/>
        <w:spacing w:after="120" w:before="240" w:line="2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Quadro 1 – Problemas, expectativas e metas propostas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700"/>
        <w:gridCol w:w="2900"/>
        <w:gridCol w:w="2771"/>
      </w:tblGrid>
      <w:tr>
        <w:trPr>
          <w:cantSplit/>
          <w:tblHeader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Problema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Expectativa</w:t>
            </w:r>
          </w:p>
        </w:tc>
        <w:tc>
          <w:tcPr>
            <w:tcW w:type="dxa" w:w="27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Meta proposta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PR1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Doses esquecidas ou atrasadas por falta de lembretes e de organização do calendário, sobretudo em famílias com vários membros.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EX1 – Notificar o usuário antes da data de cada dose pendente e sinalizar doses atrasadas.</w:t>
            </w:r>
          </w:p>
        </w:tc>
        <w:tc>
          <w:tcPr>
            <w:tcW w:type="dxa" w:w="27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Toda dose pendente com data prevista gera lembrete; antecedência configurável (padrão: 7 dias e 1 dia).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PR2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Caderneta de papel perdida, danificada ou indisponível no momento da consulta; informação dispersa.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EX2 – Manter um registro digital único por membro da família, consultável a qualquer momento.</w:t>
            </w:r>
          </w:p>
        </w:tc>
        <w:tc>
          <w:tcPr>
            <w:tcW w:type="dxa" w:w="27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Histórico de um membro acessível em até 3 toques a partir da tela inicial.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PR3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Dificuldade de saber quais vacinas são indicadas para cada idade e dúvidas frequentes, em um cenário de desinformação.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EX3 – Exibir o calendário por faixa etária com base no calendário oficial do PNI e responder dúvidas com conteúdo curado.</w:t>
            </w:r>
          </w:p>
        </w:tc>
        <w:tc>
          <w:tcPr>
            <w:tcW w:type="dxa" w:w="27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100% das vacinas exibidas com fonte e data de versão; F1 do classificador de intenções ≥ 0,85 em conjunto de teste (meta a validar).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PR4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Barreiras de acesso para pessoas com baixa familiaridade digital ou dificuldade de digitação, como muitos idosos.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EX4 – Permitir consulta por voz e oferecer interface acessível, em linguagem simples.</w:t>
            </w:r>
          </w:p>
        </w:tc>
        <w:tc>
          <w:tcPr>
            <w:tcW w:type="dxa" w:w="27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Resultado da busca por voz em até 3 s em 90% das requisições; telas principais em conformidade com WCAG 2.1 nível AA.</w:t>
            </w:r>
          </w:p>
        </w:tc>
      </w:tr>
    </w:tbl>
    <w:p>
      <w:pPr>
        <w:spacing w:after="240" w:before="80" w:line="240"/>
      </w:pPr>
      <w:r>
        <w:rPr>
          <w:rFonts w:ascii="Arial" w:cs="Arial" w:eastAsia="Arial" w:hAnsi="Arial"/>
          <w:sz w:val="20"/>
          <w:szCs w:val="20"/>
        </w:rPr>
        <w:t xml:space="preserve">Fonte: Elaborado pelo autor (2026).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2.2 Justificativa</w:t>
      </w:r>
    </w:p>
    <w:p>
      <w:pPr>
        <w:spacing w:after="0" w:before="0" w:line="360"/>
        <w:ind w:firstLine="709"/>
        <w:jc w:val="both"/>
      </w:pPr>
      <w:r>
        <w:rPr>
          <w:rFonts w:ascii="Arial" w:cs="Arial" w:eastAsia="Arial" w:hAnsi="Arial"/>
        </w:rPr>
        <w:t xml:space="preserve">O Programa Nacional de Imunizações (PNI) adota meta de cobertura de 95% para a maior parte das vacinas do calendário (BRASIL, [s. d.]). Dados preliminares do Painel de Cobertura Vacinal do Ministério da Saúde indicam que, em 2025, apenas a BCG (96,80%) e a hepatite B em recém-nascidos (95,11%) atingiram essa meta (BRASIL cumpre..., [s. d.]). A mesma reportagem registra a declaração do diretor do PNI de que o país não atinge a maior parte das metas de cobertura pelo menos desde 2014. Em 2023, nenhum estado brasileiro alcançou os 95% (UNIVERSIDADE FEDERAL DO RIO GRANDE DO SUL, [2025]).</w:t>
      </w:r>
    </w:p>
    <w:p>
      <w:pPr>
        <w:spacing w:after="0" w:before="0" w:line="360"/>
        <w:ind w:firstLine="709"/>
        <w:jc w:val="both"/>
      </w:pPr>
      <w:r>
        <w:rPr>
          <w:rFonts w:ascii="Arial" w:cs="Arial" w:eastAsia="Arial" w:hAnsi="Arial"/>
        </w:rPr>
        <w:t xml:space="preserve">Entre os fatores apontados para a queda estão a distância dos postos de saúde, a escassez de vacinas e a desinformação (UNIVERSIDADE FEDERAL DO RIO GRANDE DO SUL, [2025]). Um aplicativo não resolve causas estruturais, como o abastecimento, mas pode atuar sobre dois fatores ao alcance de um software: o esquecimento ou o atraso de doses, tratado por lembretes e pela organização do calendário, e o acesso a informação confiável, tratado por respostas curadas a partir de fonte oficial. Ao permitir consulta por voz e uma interface acessível, a solução também busca incluir pessoas com menor familiaridade digital.</w:t>
      </w:r>
    </w:p>
    <w:p>
      <w:pPr>
        <w:spacing w:after="0" w:before="0" w:line="360"/>
        <w:ind w:firstLine="709"/>
        <w:jc w:val="both"/>
      </w:pPr>
      <w:r>
        <w:rPr>
          <w:rFonts w:ascii="Arial" w:cs="Arial" w:eastAsia="Arial" w:hAnsi="Arial"/>
        </w:rPr>
        <w:t xml:space="preserve">A escolha por um chatbot baseado em regras e em classificação de intenções, em vez de IA generativa, é deliberada: em saúde, as respostas devem ser previsíveis e rastreáveis a uma fonte oficial. Do ponto de vista acadêmico, o tema integra de forma coerente as disciplinas do PI-VI: desenvolvimento multiplataforma, computação em nuvem (Azure), qualidade e testes (o ciclo de vida da dose possui mais de três estados) e PLN (busca por voz e chatbot).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2.3 Alinhamento com os Objetivos de Desenvolvimento Sustentável</w:t>
      </w:r>
    </w:p>
    <w:p>
      <w:pPr>
        <w:spacing w:after="0" w:before="0" w:line="360"/>
        <w:ind w:firstLine="709"/>
        <w:jc w:val="both"/>
      </w:pPr>
      <w:r>
        <w:rPr>
          <w:rFonts w:ascii="Arial" w:cs="Arial" w:eastAsia="Arial" w:hAnsi="Arial"/>
        </w:rPr>
        <w:t xml:space="preserve">O PI-VI exige que o projeto contribua com os ODS (FACULDADE DE TECNOLOGIA DE VOTORANTIM, 2026). O Quadro 2 indica os objetivos atendidos, a contribuição esperada e a parte do escopo que os sustenta. As metas mencionadas devem ser conferidas na redação oficial publicada pela Organização das Nações Unidas (ORGANIZAÇÃO DAS NAÇÕES UNIDAS NO BRASIL, [s. d.]).</w:t>
      </w:r>
    </w:p>
    <w:p>
      <w:pPr>
        <w:keepNext/>
        <w:spacing w:after="120" w:before="240" w:line="2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Quadro 2 – Alinhamento do projeto com os ODS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700"/>
        <w:gridCol w:w="2200"/>
        <w:gridCol w:w="1471"/>
      </w:tblGrid>
      <w:tr>
        <w:trPr>
          <w:cantSplit/>
          <w:tblHeader/>
        </w:trP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ODS</w:t>
            </w:r>
          </w:p>
        </w:tc>
        <w:tc>
          <w:tcPr>
            <w:tcW w:type="dxa" w:w="3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Contribuição do projeto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Funcionalidades</w:t>
            </w:r>
          </w:p>
        </w:tc>
        <w:tc>
          <w:tcPr>
            <w:tcW w:type="dxa" w:w="14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Escopo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ODS 3 – Saúde e Bem-Estar (meta 3.8, acesso a vacinas essenciais)</w:t>
            </w:r>
          </w:p>
        </w:tc>
        <w:tc>
          <w:tcPr>
            <w:tcW w:type="dxa" w:w="3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Ajuda as famílias a manter a vacinação em dia, reduzindo doses esquecidas e facilitando o acesso a informação confiável sobre o calendário.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RF02 a RF08</w:t>
            </w:r>
          </w:p>
        </w:tc>
        <w:tc>
          <w:tcPr>
            <w:tcW w:type="dxa" w:w="14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MVP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ODS 10 – Redução das Desigualdades (meta 10.2, inclusão)</w:t>
            </w:r>
          </w:p>
        </w:tc>
        <w:tc>
          <w:tcPr>
            <w:tcW w:type="dxa" w:w="3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Oferece acesso gratuito, interface acessível e consulta por voz, reduzindo barreiras para idosos e pessoas com baixa familiaridade digital.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RF06, RF07 e RNF04</w:t>
            </w:r>
          </w:p>
        </w:tc>
        <w:tc>
          <w:tcPr>
            <w:tcW w:type="dxa" w:w="14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MVP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ODS 11 – Cidades e Comunidades Sustentáveis</w:t>
            </w:r>
          </w:p>
        </w:tc>
        <w:tc>
          <w:tcPr>
            <w:tcW w:type="dxa" w:w="3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Facilita a localização de unidades de saúde próximas, aproximando o serviço da comunidade.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RF10</w:t>
            </w:r>
          </w:p>
        </w:tc>
        <w:tc>
          <w:tcPr>
            <w:tcW w:type="dxa" w:w="14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Versão completa</w:t>
            </w:r>
          </w:p>
        </w:tc>
      </w:tr>
    </w:tbl>
    <w:p>
      <w:pPr>
        <w:spacing w:after="240" w:before="80" w:line="240"/>
      </w:pPr>
      <w:r>
        <w:rPr>
          <w:rFonts w:ascii="Arial" w:cs="Arial" w:eastAsia="Arial" w:hAnsi="Arial"/>
          <w:sz w:val="20"/>
          <w:szCs w:val="20"/>
        </w:rPr>
        <w:t xml:space="preserve">Fonte: Elaborado pelo autor (2026).</w:t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3 OBJETIVOS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3.1 Objetivo geral</w:t>
      </w:r>
    </w:p>
    <w:p>
      <w:pPr>
        <w:spacing w:after="0" w:before="0" w:line="360"/>
        <w:ind w:firstLine="709"/>
        <w:jc w:val="both"/>
      </w:pPr>
      <w:r>
        <w:rPr>
          <w:rFonts w:ascii="Arial" w:cs="Arial" w:eastAsia="Arial" w:hAnsi="Arial"/>
        </w:rPr>
        <w:t xml:space="preserve">Desenvolver, de forma individual, uma solução multiplataforma (mobile e web), hospedada na Microsoft Azure, para gestão da carteira de vacinação de famílias, com calendário por faixa etária, lembretes, busca por voz e chatbot de dúvidas, contribuindo para os ODS 3 e 10.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3.2 Objetivos específicos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Arial" w:cs="Arial" w:eastAsia="Arial" w:hAnsi="Arial"/>
        </w:rPr>
        <w:t xml:space="preserve">levantar, documentar e priorizar os requisitos funcionais e não funcionais, organizados em um Product Backlog;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Arial" w:cs="Arial" w:eastAsia="Arial" w:hAnsi="Arial"/>
        </w:rPr>
        <w:t xml:space="preserve">modelar o sistema com diagramas UML e o diagrama de entidade-relacionamento;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Arial" w:cs="Arial" w:eastAsia="Arial" w:hAnsi="Arial"/>
        </w:rPr>
        <w:t xml:space="preserve">definir um design system acessível, com cores, tipografia, espaçamento e componentes para mobile e web;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Arial" w:cs="Arial" w:eastAsia="Arial" w:hAnsi="Arial"/>
        </w:rPr>
        <w:t xml:space="preserve">implementar uma API serverless em Azure Functions e um aplicativo multiplataforma em React Native com Expo, ambos em TypeScript;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Arial" w:cs="Arial" w:eastAsia="Arial" w:hAnsi="Arial"/>
        </w:rPr>
        <w:t xml:space="preserve">integrar busca semântica por voz utilizando serviço de reconhecimento de fala da Azure;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Arial" w:cs="Arial" w:eastAsia="Arial" w:hAnsi="Arial"/>
        </w:rPr>
        <w:t xml:space="preserve">desenvolver um chatbot baseado em regras com classificação de intenções por TF-IDF e SVM;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Arial" w:cs="Arial" w:eastAsia="Arial" w:hAnsi="Arial"/>
        </w:rPr>
        <w:t xml:space="preserve">garantir a qualidade com testes automatizados em Jest, 100% de aprovação no pipeline e cobertura de código com meta de 90% (mínimo exigido de 80%);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Arial" w:cs="Arial" w:eastAsia="Arial" w:hAnsi="Arial"/>
        </w:rPr>
        <w:t xml:space="preserve">produzir as documentações técnica, de desenvolvimento e para o usuário, além do panfleto de divulgação;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Arial" w:cs="Arial" w:eastAsia="Arial" w:hAnsi="Arial"/>
        </w:rPr>
        <w:t xml:space="preserve">disponibilizar o projeto em ambiente Azure e em contêiner Docker.</w:t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4 PÚBLICO-ALVO E PERSONAS</w:t>
      </w:r>
    </w:p>
    <w:p>
      <w:pPr>
        <w:spacing w:after="0" w:before="0" w:line="360"/>
        <w:ind w:firstLine="709"/>
        <w:jc w:val="both"/>
      </w:pPr>
      <w:r>
        <w:rPr>
          <w:rFonts w:ascii="Arial" w:cs="Arial" w:eastAsia="Arial" w:hAnsi="Arial"/>
        </w:rPr>
        <w:t xml:space="preserve">Os usuários finais são pais e responsáveis por crianças, idosos e cuidadores de familiares. A solução não é voltada a profissionais de saúde. O Quadro 3 apresenta personas hipotéticas, construídas a partir do problema descrito e que serão validadas por meio de conversas com potenciais usuários. Cada requisito funcional da seção 6 está associado a pelo menos uma delas.</w:t>
      </w:r>
    </w:p>
    <w:p>
      <w:pPr>
        <w:keepNext/>
        <w:spacing w:after="120" w:before="240" w:line="2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Quadro 3 – Personas do sistema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700"/>
        <w:gridCol w:w="2700"/>
        <w:gridCol w:w="1971"/>
      </w:tblGrid>
      <w:tr>
        <w:trPr>
          <w:cantSplit/>
          <w:tblHeader/>
        </w:trP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Persona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Perfil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Necessidades</w:t>
            </w:r>
          </w:p>
        </w:tc>
        <w:tc>
          <w:tcPr>
            <w:tcW w:type="dxa" w:w="19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Dificuldades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PE1 – Mariana, 32 anos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Mãe de duas crianças (3 anos e recém-nascido). Usa o smartphone no dia a dia e tem pouco tempo livre.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Saber quais vacinas e quando; receber lembretes; ter a carteira sempre à mão.</w:t>
            </w:r>
          </w:p>
        </w:tc>
        <w:tc>
          <w:tcPr>
            <w:tcW w:type="dxa" w:w="19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Rotina corrida; esquece datas; dúvida sobre o que é indicado em cada idade.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PE2 – Sr. José, 68 anos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Aposentado que usa o celular para ligações e mensagens; baixa familiaridade com aplicativos.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Consultar suas vacinas por voz; telas simples, letras grandes e poucos passos.</w:t>
            </w:r>
          </w:p>
        </w:tc>
        <w:tc>
          <w:tcPr>
            <w:tcW w:type="dxa" w:w="19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Dificuldade de digitar e de navegar por menus; receio de errar.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PE3 – Carla, 45 anos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Cuida do pai e da mãe idosos e acompanha a vacinação do filho adolescente.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Gerenciar vários membros em uma só conta; ver as pendências de todos de uma vez.</w:t>
            </w:r>
          </w:p>
        </w:tc>
        <w:tc>
          <w:tcPr>
            <w:tcW w:type="dxa" w:w="19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Controla muitas informações ao mesmo tempo; mistura datas de pessoas diferentes.</w:t>
            </w:r>
          </w:p>
        </w:tc>
      </w:tr>
    </w:tbl>
    <w:p>
      <w:pPr>
        <w:spacing w:after="240" w:before="80" w:line="240"/>
      </w:pPr>
      <w:r>
        <w:rPr>
          <w:rFonts w:ascii="Arial" w:cs="Arial" w:eastAsia="Arial" w:hAnsi="Arial"/>
          <w:sz w:val="20"/>
          <w:szCs w:val="20"/>
        </w:rPr>
        <w:t xml:space="preserve">Fonte: Elaborado pelo autor (2026).</w:t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5 ESCOPO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5.1 Escopo do MVP</w:t>
      </w:r>
    </w:p>
    <w:p>
      <w:pPr>
        <w:spacing w:after="0" w:before="0" w:line="360"/>
        <w:ind w:firstLine="709"/>
        <w:jc w:val="both"/>
      </w:pPr>
      <w:r>
        <w:rPr>
          <w:rFonts w:ascii="Arial" w:cs="Arial" w:eastAsia="Arial" w:hAnsi="Arial"/>
        </w:rPr>
        <w:t xml:space="preserve">O MVP concentra o que é necessário para entregar valor ao usuário e atender às exigências das disciplinas do PI-VI. O calendário vacinal tem como fonte o calendário oficial do PNI (BRASIL, [s. d.]). O MVP contempla:</w:t>
      </w:r>
    </w:p>
    <w:p>
      <w:pPr>
        <w:pStyle w:val="ListParagraph"/>
        <w:numPr>
          <w:ilvl w:val="0"/>
          <w:numId w:val="3"/>
        </w:numPr>
        <w:spacing w:line="360"/>
        <w:jc w:val="both"/>
      </w:pPr>
      <w:r>
        <w:rPr>
          <w:rFonts w:ascii="Arial" w:cs="Arial" w:eastAsia="Arial" w:hAnsi="Arial"/>
        </w:rPr>
        <w:t xml:space="preserve">cadastro e autenticação de usuário (RF01);</w:t>
      </w:r>
    </w:p>
    <w:p>
      <w:pPr>
        <w:pStyle w:val="ListParagraph"/>
        <w:numPr>
          <w:ilvl w:val="0"/>
          <w:numId w:val="3"/>
        </w:numPr>
        <w:spacing w:line="360"/>
        <w:jc w:val="both"/>
      </w:pPr>
      <w:r>
        <w:rPr>
          <w:rFonts w:ascii="Arial" w:cs="Arial" w:eastAsia="Arial" w:hAnsi="Arial"/>
        </w:rPr>
        <w:t xml:space="preserve">gerenciamento de membros da família (RF02);</w:t>
      </w:r>
    </w:p>
    <w:p>
      <w:pPr>
        <w:pStyle w:val="ListParagraph"/>
        <w:numPr>
          <w:ilvl w:val="0"/>
          <w:numId w:val="3"/>
        </w:numPr>
        <w:spacing w:line="360"/>
        <w:jc w:val="both"/>
      </w:pPr>
      <w:r>
        <w:rPr>
          <w:rFonts w:ascii="Arial" w:cs="Arial" w:eastAsia="Arial" w:hAnsi="Arial"/>
        </w:rPr>
        <w:t xml:space="preserve">calendário vacinal por faixa etária, com fonte e versão (RF03);</w:t>
      </w:r>
    </w:p>
    <w:p>
      <w:pPr>
        <w:pStyle w:val="ListParagraph"/>
        <w:numPr>
          <w:ilvl w:val="0"/>
          <w:numId w:val="3"/>
        </w:numPr>
        <w:spacing w:line="360"/>
        <w:jc w:val="both"/>
      </w:pPr>
      <w:r>
        <w:rPr>
          <w:rFonts w:ascii="Arial" w:cs="Arial" w:eastAsia="Arial" w:hAnsi="Arial"/>
        </w:rPr>
        <w:t xml:space="preserve">registro de doses e ciclo de vida da dose (RF04);</w:t>
      </w:r>
    </w:p>
    <w:p>
      <w:pPr>
        <w:pStyle w:val="ListParagraph"/>
        <w:numPr>
          <w:ilvl w:val="0"/>
          <w:numId w:val="3"/>
        </w:numPr>
        <w:spacing w:line="360"/>
        <w:jc w:val="both"/>
      </w:pPr>
      <w:r>
        <w:rPr>
          <w:rFonts w:ascii="Arial" w:cs="Arial" w:eastAsia="Arial" w:hAnsi="Arial"/>
        </w:rPr>
        <w:t xml:space="preserve">lembretes e sinalização de doses atrasadas (RF05);</w:t>
      </w:r>
    </w:p>
    <w:p>
      <w:pPr>
        <w:pStyle w:val="ListParagraph"/>
        <w:numPr>
          <w:ilvl w:val="0"/>
          <w:numId w:val="3"/>
        </w:numPr>
        <w:spacing w:line="360"/>
        <w:jc w:val="both"/>
      </w:pPr>
      <w:r>
        <w:rPr>
          <w:rFonts w:ascii="Arial" w:cs="Arial" w:eastAsia="Arial" w:hAnsi="Arial"/>
        </w:rPr>
        <w:t xml:space="preserve">busca semântica por voz (RF06);</w:t>
      </w:r>
    </w:p>
    <w:p>
      <w:pPr>
        <w:pStyle w:val="ListParagraph"/>
        <w:numPr>
          <w:ilvl w:val="0"/>
          <w:numId w:val="3"/>
        </w:numPr>
        <w:spacing w:line="360"/>
        <w:jc w:val="both"/>
      </w:pPr>
      <w:r>
        <w:rPr>
          <w:rFonts w:ascii="Arial" w:cs="Arial" w:eastAsia="Arial" w:hAnsi="Arial"/>
        </w:rPr>
        <w:t xml:space="preserve">chatbot de dúvidas com classificação de intenções (RF07);</w:t>
      </w:r>
    </w:p>
    <w:p>
      <w:pPr>
        <w:pStyle w:val="ListParagraph"/>
        <w:numPr>
          <w:ilvl w:val="0"/>
          <w:numId w:val="3"/>
        </w:numPr>
        <w:spacing w:line="360"/>
        <w:jc w:val="both"/>
      </w:pPr>
      <w:r>
        <w:rPr>
          <w:rFonts w:ascii="Arial" w:cs="Arial" w:eastAsia="Arial" w:hAnsi="Arial"/>
        </w:rPr>
        <w:t xml:space="preserve">histórico de doses (RF08);</w:t>
      </w:r>
    </w:p>
    <w:p>
      <w:pPr>
        <w:pStyle w:val="ListParagraph"/>
        <w:numPr>
          <w:ilvl w:val="0"/>
          <w:numId w:val="3"/>
        </w:numPr>
        <w:spacing w:line="360"/>
        <w:jc w:val="both"/>
      </w:pPr>
      <w:r>
        <w:rPr>
          <w:rFonts w:ascii="Arial" w:cs="Arial" w:eastAsia="Arial" w:hAnsi="Arial"/>
        </w:rPr>
        <w:t xml:space="preserve">consentimento, privacidade e exclusão de dados (RF09).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5.2 Versão completa</w:t>
      </w:r>
    </w:p>
    <w:p>
      <w:pPr>
        <w:spacing w:after="0" w:before="0" w:line="360"/>
        <w:ind w:firstLine="709"/>
        <w:jc w:val="both"/>
      </w:pPr>
      <w:r>
        <w:rPr>
          <w:rFonts w:ascii="Arial" w:cs="Arial" w:eastAsia="Arial" w:hAnsi="Arial"/>
        </w:rPr>
        <w:t xml:space="preserve">Funcionalidades desejáveis, a serem implementadas apenas se o cronograma permitir e sem comprometer as entregas do MVP: mapa de unidades de saúde próximas (RF10), exportação da carteira em PDF (RF11) e compartilhamento com outro cuidador autorizado (RF12).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5.3 Fora do escopo</w:t>
      </w:r>
    </w:p>
    <w:p>
      <w:pPr>
        <w:pStyle w:val="ListParagraph"/>
        <w:numPr>
          <w:ilvl w:val="0"/>
          <w:numId w:val="4"/>
        </w:numPr>
        <w:spacing w:line="360"/>
        <w:jc w:val="both"/>
      </w:pPr>
      <w:r>
        <w:rPr>
          <w:rFonts w:ascii="Arial" w:cs="Arial" w:eastAsia="Arial" w:hAnsi="Arial"/>
        </w:rPr>
        <w:t xml:space="preserve">diagnóstico, prescrição ou qualquer orientação médica individualizada;</w:t>
      </w:r>
    </w:p>
    <w:p>
      <w:pPr>
        <w:pStyle w:val="ListParagraph"/>
        <w:numPr>
          <w:ilvl w:val="0"/>
          <w:numId w:val="4"/>
        </w:numPr>
        <w:spacing w:line="360"/>
        <w:jc w:val="both"/>
      </w:pPr>
      <w:r>
        <w:rPr>
          <w:rFonts w:ascii="Arial" w:cs="Arial" w:eastAsia="Arial" w:hAnsi="Arial"/>
        </w:rPr>
        <w:t xml:space="preserve">substituição da caderneta oficial de vacinação ou de comprovante emitido pelo serviço de saúde;</w:t>
      </w:r>
    </w:p>
    <w:p>
      <w:pPr>
        <w:pStyle w:val="ListParagraph"/>
        <w:numPr>
          <w:ilvl w:val="0"/>
          <w:numId w:val="4"/>
        </w:numPr>
        <w:spacing w:line="360"/>
        <w:jc w:val="both"/>
      </w:pPr>
      <w:r>
        <w:rPr>
          <w:rFonts w:ascii="Arial" w:cs="Arial" w:eastAsia="Arial" w:hAnsi="Arial"/>
        </w:rPr>
        <w:t xml:space="preserve">integração com sistemas oficiais de registro de vacinação, por depender de disponibilidade e autorização de terceiros;</w:t>
      </w:r>
    </w:p>
    <w:p>
      <w:pPr>
        <w:pStyle w:val="ListParagraph"/>
        <w:numPr>
          <w:ilvl w:val="0"/>
          <w:numId w:val="4"/>
        </w:numPr>
        <w:spacing w:line="360"/>
        <w:jc w:val="both"/>
      </w:pPr>
      <w:r>
        <w:rPr>
          <w:rFonts w:ascii="Arial" w:cs="Arial" w:eastAsia="Arial" w:hAnsi="Arial"/>
        </w:rPr>
        <w:t xml:space="preserve">agendamento de vacinação em unidades de saúde;</w:t>
      </w:r>
    </w:p>
    <w:p>
      <w:pPr>
        <w:pStyle w:val="ListParagraph"/>
        <w:numPr>
          <w:ilvl w:val="0"/>
          <w:numId w:val="4"/>
        </w:numPr>
        <w:spacing w:line="360"/>
        <w:jc w:val="both"/>
      </w:pPr>
      <w:r>
        <w:rPr>
          <w:rFonts w:ascii="Arial" w:cs="Arial" w:eastAsia="Arial" w:hAnsi="Arial"/>
        </w:rPr>
        <w:t xml:space="preserve">respostas geradas por IA generativa;</w:t>
      </w:r>
    </w:p>
    <w:p>
      <w:pPr>
        <w:pStyle w:val="ListParagraph"/>
        <w:numPr>
          <w:ilvl w:val="0"/>
          <w:numId w:val="4"/>
        </w:numPr>
        <w:spacing w:line="360"/>
        <w:jc w:val="both"/>
      </w:pPr>
      <w:r>
        <w:rPr>
          <w:rFonts w:ascii="Arial" w:cs="Arial" w:eastAsia="Arial" w:hAnsi="Arial"/>
        </w:rPr>
        <w:t xml:space="preserve">uso offline completo.</w:t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6 REQUISITOS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6.1 Requisitos funcionais</w:t>
      </w:r>
    </w:p>
    <w:p>
      <w:pPr>
        <w:spacing w:after="0" w:before="0" w:line="360"/>
        <w:ind w:firstLine="709"/>
        <w:jc w:val="both"/>
      </w:pPr>
      <w:r>
        <w:rPr>
          <w:rFonts w:ascii="Arial" w:cs="Arial" w:eastAsia="Arial" w:hAnsi="Arial"/>
        </w:rPr>
        <w:t xml:space="preserve">Os requisitos funcionais (RF) descrevem o que o sistema fará. Cada RF está associado a pelo menos uma persona e a pelo menos um requisito não funcional (RNF), conforme o modelo de Documentação Técnica da disciplina. Os RNF06 (manutenibilidade) e RNF08 (portabilidade) são transversais e se aplicam a todo o sistema.</w:t>
      </w:r>
    </w:p>
    <w:p>
      <w:pPr>
        <w:keepNext/>
        <w:spacing w:after="120" w:before="240" w:line="2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Quadro 4 – Requisitos funcionais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071"/>
        <w:gridCol w:w="1400"/>
        <w:gridCol w:w="1700"/>
        <w:gridCol w:w="1100"/>
      </w:tblGrid>
      <w:tr>
        <w:trPr>
          <w:cantSplit/>
          <w:tblHeader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40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Requisito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Personas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RNF associados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Escopo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RF01</w:t>
            </w:r>
          </w:p>
        </w:tc>
        <w:tc>
          <w:tcPr>
            <w:tcW w:type="dxa" w:w="40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Cadastrar-se e autenticar-se no sistema (e-mail e senha), com sessão segura.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PE1, PE2, PE3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RNF02, RNF03, RNF09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MVP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RF02</w:t>
            </w:r>
          </w:p>
        </w:tc>
        <w:tc>
          <w:tcPr>
            <w:tcW w:type="dxa" w:w="40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Gerenciar membros da família (incluir, editar e excluir), informando nome, data de nascimento e, opcionalmente, grupo específico (como gestante).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PE1, PE3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RNF03, RNF04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MVP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RF03</w:t>
            </w:r>
          </w:p>
        </w:tc>
        <w:tc>
          <w:tcPr>
            <w:tcW w:type="dxa" w:w="40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Exibir o calendário vacinal de cada membro conforme a faixa etária, com base no calendário oficial do PNI, indicando fonte e versão.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PE1, PE2, PE3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RNF04, RNF10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MVP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RF04</w:t>
            </w:r>
          </w:p>
        </w:tc>
        <w:tc>
          <w:tcPr>
            <w:tcW w:type="dxa" w:w="40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Registrar doses e controlar seu ciclo de vida (pendente, agendada, aplicada, atrasada e cancelada).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PE1, PE3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RNF01, RNF07, RNF10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MVP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RF05</w:t>
            </w:r>
          </w:p>
        </w:tc>
        <w:tc>
          <w:tcPr>
            <w:tcW w:type="dxa" w:w="40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Enviar lembretes de doses próximas e sinalizar doses atrasadas.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PE1, PE2, PE3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RNF01, RNF05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MVP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RF06</w:t>
            </w:r>
          </w:p>
        </w:tc>
        <w:tc>
          <w:tcPr>
            <w:tcW w:type="dxa" w:w="40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Realizar busca semântica por voz sobre vacinas e calendário.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PE2, PE1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RNF01, RNF04, RNF09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MVP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RF07</w:t>
            </w:r>
          </w:p>
        </w:tc>
        <w:tc>
          <w:tcPr>
            <w:tcW w:type="dxa" w:w="40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Responder dúvidas frequentes por chatbot baseado em regras com classificação de intenções (TF-IDF e SVM).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PE1, PE2, PE3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RNF01, RNF04, RNF10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MVP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RF08</w:t>
            </w:r>
          </w:p>
        </w:tc>
        <w:tc>
          <w:tcPr>
            <w:tcW w:type="dxa" w:w="40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Consultar o histórico de doses de cada membro.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PE1, PE3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RNF01, RNF04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MVP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RF09</w:t>
            </w:r>
          </w:p>
        </w:tc>
        <w:tc>
          <w:tcPr>
            <w:tcW w:type="dxa" w:w="40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Gerenciar consentimento e privacidade, incluindo a exclusão da conta e dos dados.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PE1, PE2, PE3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RNF02, RNF03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MVP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RF10</w:t>
            </w:r>
          </w:p>
        </w:tc>
        <w:tc>
          <w:tcPr>
            <w:tcW w:type="dxa" w:w="40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Localizar unidades de saúde próximas em mapa.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PE1, PE3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RNF01, RNF04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Completa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RF11</w:t>
            </w:r>
          </w:p>
        </w:tc>
        <w:tc>
          <w:tcPr>
            <w:tcW w:type="dxa" w:w="40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Exportar a carteira de vacinação em PDF.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PE1, PE3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RNF03, RNF10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Completa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RF12</w:t>
            </w:r>
          </w:p>
        </w:tc>
        <w:tc>
          <w:tcPr>
            <w:tcW w:type="dxa" w:w="40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Compartilhar a carteira com outro cuidador autorizado.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PE3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RNF02, RNF03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Completa</w:t>
            </w:r>
          </w:p>
        </w:tc>
      </w:tr>
    </w:tbl>
    <w:p>
      <w:pPr>
        <w:spacing w:after="240" w:before="80" w:line="240"/>
      </w:pPr>
      <w:r>
        <w:rPr>
          <w:rFonts w:ascii="Arial" w:cs="Arial" w:eastAsia="Arial" w:hAnsi="Arial"/>
          <w:sz w:val="20"/>
          <w:szCs w:val="20"/>
        </w:rPr>
        <w:t xml:space="preserve">Fonte: Elaborado pelo autor (2026).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6.2 Requisitos não funcionais</w:t>
      </w:r>
    </w:p>
    <w:p>
      <w:pPr>
        <w:spacing w:after="0" w:before="0" w:line="360"/>
        <w:ind w:firstLine="709"/>
        <w:jc w:val="both"/>
      </w:pPr>
      <w:r>
        <w:rPr>
          <w:rFonts w:ascii="Arial" w:cs="Arial" w:eastAsia="Arial" w:hAnsi="Arial"/>
        </w:rPr>
        <w:t xml:space="preserve">Os requisitos não funcionais (RNF) descrevem como o sistema deve se comportar e como cada qualidade será verificada. A acessibilidade segue as diretrizes WCAG 2.1 (WORLD WIDE WEB CONSORTIUM, 2018) e o tratamento de dados segue a Lei Geral de Proteção de Dados Pessoais (BRASIL, 2018).</w:t>
      </w:r>
    </w:p>
    <w:p>
      <w:pPr>
        <w:keepNext/>
        <w:spacing w:after="120" w:before="240" w:line="2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Quadro 5 – Requisitos não funcionais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"/>
        <w:gridCol w:w="1650"/>
        <w:gridCol w:w="4271"/>
        <w:gridCol w:w="2200"/>
      </w:tblGrid>
      <w:tr>
        <w:trPr>
          <w:cantSplit/>
          <w:tblHeader/>
        </w:trP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Categoria</w:t>
            </w:r>
          </w:p>
        </w:tc>
        <w:tc>
          <w:tcPr>
            <w:tcW w:type="dxa" w:w="42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Descrição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Verificação</w:t>
            </w:r>
          </w:p>
        </w:tc>
      </w:tr>
      <w:tr>
        <w:trPr>
          <w:cantSplit/>
        </w:trP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RNF01</w:t>
            </w:r>
          </w:p>
        </w:tc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Desempenho</w:t>
            </w:r>
          </w:p>
        </w:tc>
        <w:tc>
          <w:tcPr>
            <w:tcW w:type="dxa" w:w="42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Pelo menos 90% das requisições da API devem responder em menos de 3 segundos.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Métricas do Application Insights e testes de carga leves.</w:t>
            </w:r>
          </w:p>
        </w:tc>
      </w:tr>
      <w:tr>
        <w:trPr>
          <w:cantSplit/>
        </w:trP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RNF02</w:t>
            </w:r>
          </w:p>
        </w:tc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Segurança</w:t>
            </w:r>
          </w:p>
        </w:tc>
        <w:tc>
          <w:tcPr>
            <w:tcW w:type="dxa" w:w="42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Comunicação por HTTPS; autenticação gerenciada pela plataforma de identidade; tokens em armazenamento seguro no app; segredos no Key Vault; validação de entradas; checklist OWASP Top 10.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Testes de segurança básicos e revisão de configuração.</w:t>
            </w:r>
          </w:p>
        </w:tc>
      </w:tr>
      <w:tr>
        <w:trPr>
          <w:cantSplit/>
        </w:trP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RNF03</w:t>
            </w:r>
          </w:p>
        </w:tc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Privacidade e LGPD</w:t>
            </w:r>
          </w:p>
        </w:tc>
        <w:tc>
          <w:tcPr>
            <w:tcW w:type="dxa" w:w="42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Coleta mínima de dados, sem CPF nem Cartão Nacional de Saúde; consentimento explícito; exclusão de conta e dados.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Revisão do modelo de dados e testes dos fluxos de consentimento e exclusão.</w:t>
            </w:r>
          </w:p>
        </w:tc>
      </w:tr>
      <w:tr>
        <w:trPr>
          <w:cantSplit/>
        </w:trP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RNF04</w:t>
            </w:r>
          </w:p>
        </w:tc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Usabilidade e acessibilidade</w:t>
            </w:r>
          </w:p>
        </w:tc>
        <w:tc>
          <w:tcPr>
            <w:tcW w:type="dxa" w:w="42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Contraste, tamanho de fonte e áreas de toque conforme WCAG 2.1 nível AA; linguagem simples; fonte ampliável.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Checklist de acessibilidade nas telas principais.</w:t>
            </w:r>
          </w:p>
        </w:tc>
      </w:tr>
      <w:tr>
        <w:trPr>
          <w:cantSplit/>
        </w:trP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RNF05</w:t>
            </w:r>
          </w:p>
        </w:tc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Disponibilidade e monitoramento</w:t>
            </w:r>
          </w:p>
        </w:tc>
        <w:tc>
          <w:tcPr>
            <w:tcW w:type="dxa" w:w="42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Logs, métricas e alertas básicos em serviço de monitoramento da nuvem.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Painéis e alertas no Application Insights.</w:t>
            </w:r>
          </w:p>
        </w:tc>
      </w:tr>
      <w:tr>
        <w:trPr>
          <w:cantSplit/>
        </w:trP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RNF06</w:t>
            </w:r>
          </w:p>
        </w:tc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Manutenibilidade</w:t>
            </w:r>
          </w:p>
        </w:tc>
        <w:tc>
          <w:tcPr>
            <w:tcW w:type="dxa" w:w="42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TypeScript em modo estrito, ESLint e Prettier, documentação TSDoc gerada com TypeDoc e decisões registradas em ADRs.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Pipeline de CI (lint, build e documentação).</w:t>
            </w:r>
          </w:p>
        </w:tc>
      </w:tr>
      <w:tr>
        <w:trPr>
          <w:cantSplit/>
        </w:trP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RNF07</w:t>
            </w:r>
          </w:p>
        </w:tc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Testabilidade e qualidade</w:t>
            </w:r>
          </w:p>
        </w:tc>
        <w:tc>
          <w:tcPr>
            <w:tcW w:type="dxa" w:w="42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Testes automatizados em Jest com 100% de aprovação no pipeline e cobertura mínima de 80% (meta própria: 90%).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Relatório de cobertura do Jest no GitHub Actions.</w:t>
            </w:r>
          </w:p>
        </w:tc>
      </w:tr>
      <w:tr>
        <w:trPr>
          <w:cantSplit/>
        </w:trP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RNF08</w:t>
            </w:r>
          </w:p>
        </w:tc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Portabilidade</w:t>
            </w:r>
          </w:p>
        </w:tc>
        <w:tc>
          <w:tcPr>
            <w:tcW w:type="dxa" w:w="42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Execução do projeto em contêiner Docker.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Subida do ambiente local por Docker.</w:t>
            </w:r>
          </w:p>
        </w:tc>
      </w:tr>
      <w:tr>
        <w:trPr>
          <w:cantSplit/>
        </w:trP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RNF09</w:t>
            </w:r>
          </w:p>
        </w:tc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Multiplataforma</w:t>
            </w:r>
          </w:p>
        </w:tc>
        <w:tc>
          <w:tcPr>
            <w:tcW w:type="dxa" w:w="42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Aplicativo para Android, iOS e web a partir de uma base de código única.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Execução em emulador, dispositivo e navegador.</w:t>
            </w:r>
          </w:p>
        </w:tc>
      </w:tr>
      <w:tr>
        <w:trPr>
          <w:cantSplit/>
        </w:trP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RNF10</w:t>
            </w:r>
          </w:p>
        </w:tc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Integridade dos dados vacinais</w:t>
            </w:r>
          </w:p>
        </w:tc>
        <w:tc>
          <w:tcPr>
            <w:tcW w:type="dxa" w:w="42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Calendário versionado, com fonte e data; respostas do chatbot curadas, sem conteúdo gerado livremente; aviso de que o app não substitui a caderneta nem a orientação profissional.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Testes de conteúdo do calendário e das respostas do chatbot.</w:t>
            </w:r>
          </w:p>
        </w:tc>
      </w:tr>
    </w:tbl>
    <w:p>
      <w:pPr>
        <w:spacing w:after="240" w:before="80" w:line="240"/>
      </w:pPr>
      <w:r>
        <w:rPr>
          <w:rFonts w:ascii="Arial" w:cs="Arial" w:eastAsia="Arial" w:hAnsi="Arial"/>
          <w:sz w:val="20"/>
          <w:szCs w:val="20"/>
        </w:rPr>
        <w:t xml:space="preserve">Fonte: Elaborado pelo autor (2026).</w:t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7 PREMISSAS E RESTRIÇÕES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7.1 Premissas</w:t>
      </w:r>
    </w:p>
    <w:p>
      <w:pPr>
        <w:pStyle w:val="ListParagraph"/>
        <w:numPr>
          <w:ilvl w:val="0"/>
          <w:numId w:val="5"/>
        </w:numPr>
        <w:spacing w:line="360"/>
        <w:jc w:val="both"/>
      </w:pPr>
      <w:r>
        <w:rPr>
          <w:rFonts w:ascii="Arial" w:cs="Arial" w:eastAsia="Arial" w:hAnsi="Arial"/>
        </w:rPr>
        <w:t xml:space="preserve">o projeto será desenvolvido individualmente, com aceite do orientador;</w:t>
      </w:r>
    </w:p>
    <w:p>
      <w:pPr>
        <w:pStyle w:val="ListParagraph"/>
        <w:numPr>
          <w:ilvl w:val="0"/>
          <w:numId w:val="5"/>
        </w:numPr>
        <w:spacing w:line="360"/>
        <w:jc w:val="both"/>
      </w:pPr>
      <w:r>
        <w:rPr>
          <w:rFonts w:ascii="Arial" w:cs="Arial" w:eastAsia="Arial" w:hAnsi="Arial"/>
        </w:rPr>
        <w:t xml:space="preserve">as datas de entrega consideradas são 12/11 (Qualidade e Testes), 16/11 (PLN) e 19/11 (entrega total), conforme informado pelo autor;</w:t>
      </w:r>
    </w:p>
    <w:p>
      <w:pPr>
        <w:pStyle w:val="ListParagraph"/>
        <w:numPr>
          <w:ilvl w:val="0"/>
          <w:numId w:val="5"/>
        </w:numPr>
        <w:spacing w:line="360"/>
        <w:jc w:val="both"/>
      </w:pPr>
      <w:r>
        <w:rPr>
          <w:rFonts w:ascii="Arial" w:cs="Arial" w:eastAsia="Arial" w:hAnsi="Arial"/>
        </w:rPr>
        <w:t xml:space="preserve">a infraestrutura utilizará a plataforma Microsoft Azure em sua totalidade;</w:t>
      </w:r>
    </w:p>
    <w:p>
      <w:pPr>
        <w:pStyle w:val="ListParagraph"/>
        <w:numPr>
          <w:ilvl w:val="0"/>
          <w:numId w:val="5"/>
        </w:numPr>
        <w:spacing w:line="360"/>
        <w:jc w:val="both"/>
      </w:pPr>
      <w:r>
        <w:rPr>
          <w:rFonts w:ascii="Arial" w:cs="Arial" w:eastAsia="Arial" w:hAnsi="Arial"/>
        </w:rPr>
        <w:t xml:space="preserve">os testes automatizados serão escritos em Jest;</w:t>
      </w:r>
    </w:p>
    <w:p>
      <w:pPr>
        <w:pStyle w:val="ListParagraph"/>
        <w:numPr>
          <w:ilvl w:val="0"/>
          <w:numId w:val="5"/>
        </w:numPr>
        <w:spacing w:line="360"/>
        <w:jc w:val="both"/>
      </w:pPr>
      <w:r>
        <w:rPr>
          <w:rFonts w:ascii="Arial" w:cs="Arial" w:eastAsia="Arial" w:hAnsi="Arial"/>
        </w:rPr>
        <w:t xml:space="preserve">o usuário dispõe de smartphone ou navegador com acesso à internet.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7.2 Restrições</w:t>
      </w:r>
    </w:p>
    <w:p>
      <w:pPr>
        <w:pStyle w:val="ListParagraph"/>
        <w:numPr>
          <w:ilvl w:val="0"/>
          <w:numId w:val="6"/>
        </w:numPr>
        <w:spacing w:line="360"/>
        <w:jc w:val="both"/>
      </w:pPr>
      <w:r>
        <w:rPr>
          <w:rFonts w:ascii="Arial" w:cs="Arial" w:eastAsia="Arial" w:hAnsi="Arial"/>
        </w:rPr>
        <w:t xml:space="preserve">prazo de aproximadamente seis semanas até a entrega total;</w:t>
      </w:r>
    </w:p>
    <w:p>
      <w:pPr>
        <w:pStyle w:val="ListParagraph"/>
        <w:numPr>
          <w:ilvl w:val="0"/>
          <w:numId w:val="6"/>
        </w:numPr>
        <w:spacing w:line="360"/>
        <w:jc w:val="both"/>
      </w:pPr>
      <w:r>
        <w:rPr>
          <w:rFonts w:ascii="Arial" w:cs="Arial" w:eastAsia="Arial" w:hAnsi="Arial"/>
        </w:rPr>
        <w:t xml:space="preserve">equipe de uma única pessoa, responsável por todos os papéis do processo;</w:t>
      </w:r>
    </w:p>
    <w:p>
      <w:pPr>
        <w:pStyle w:val="ListParagraph"/>
        <w:numPr>
          <w:ilvl w:val="0"/>
          <w:numId w:val="6"/>
        </w:numPr>
        <w:spacing w:line="360"/>
        <w:jc w:val="both"/>
      </w:pPr>
      <w:r>
        <w:rPr>
          <w:rFonts w:ascii="Arial" w:cs="Arial" w:eastAsia="Arial" w:hAnsi="Arial"/>
        </w:rPr>
        <w:t xml:space="preserve">custos controlados, priorizando camadas gratuitas ou de baixo custo da Azure;</w:t>
      </w:r>
    </w:p>
    <w:p>
      <w:pPr>
        <w:pStyle w:val="ListParagraph"/>
        <w:numPr>
          <w:ilvl w:val="0"/>
          <w:numId w:val="6"/>
        </w:numPr>
        <w:spacing w:line="360"/>
        <w:jc w:val="both"/>
      </w:pPr>
      <w:r>
        <w:rPr>
          <w:rFonts w:ascii="Arial" w:cs="Arial" w:eastAsia="Arial" w:hAnsi="Arial"/>
        </w:rPr>
        <w:t xml:space="preserve">o sistema não oferece diagnóstico nem orientação médica individualizada e não substitui a caderneta oficial;</w:t>
      </w:r>
    </w:p>
    <w:p>
      <w:pPr>
        <w:pStyle w:val="ListParagraph"/>
        <w:numPr>
          <w:ilvl w:val="0"/>
          <w:numId w:val="6"/>
        </w:numPr>
        <w:spacing w:line="360"/>
        <w:jc w:val="both"/>
      </w:pPr>
      <w:r>
        <w:rPr>
          <w:rFonts w:ascii="Arial" w:cs="Arial" w:eastAsia="Arial" w:hAnsi="Arial"/>
        </w:rPr>
        <w:t xml:space="preserve">dados de vacinação são dados pessoais sobre saúde e, portanto, sensíveis; o tratamento deve seguir a LGPD, com coleta mínima, consentimento e, no caso de crianças e adolescentes, consentimento de responsável e tratamento em seu melhor interesse (BRASIL, 2018);</w:t>
      </w:r>
    </w:p>
    <w:p>
      <w:pPr>
        <w:pStyle w:val="ListParagraph"/>
        <w:numPr>
          <w:ilvl w:val="0"/>
          <w:numId w:val="6"/>
        </w:numPr>
        <w:spacing w:line="360"/>
        <w:jc w:val="both"/>
      </w:pPr>
      <w:r>
        <w:rPr>
          <w:rFonts w:ascii="Arial" w:cs="Arial" w:eastAsia="Arial" w:hAnsi="Arial"/>
        </w:rPr>
        <w:t xml:space="preserve">todo o código será escrito em TypeScript, com exceção do serviço de PLN, que utilizará Python.</w:t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8 DECISÕES TÉCNICAS PRELIMINARES</w:t>
      </w:r>
    </w:p>
    <w:p>
      <w:pPr>
        <w:spacing w:after="0" w:before="0" w:line="360"/>
        <w:ind w:firstLine="709"/>
        <w:jc w:val="both"/>
      </w:pPr>
      <w:r>
        <w:rPr>
          <w:rFonts w:ascii="Arial" w:cs="Arial" w:eastAsia="Arial" w:hAnsi="Arial"/>
        </w:rPr>
        <w:t xml:space="preserve">O Quadro 6 reúne as decisões técnicas tomadas até o momento. Cada uma será detalhada em um registro de decisão de arquitetura (ADR) e, depois de implementada, na Documentação Técnica, com as versões efetivamente utilizadas.</w:t>
      </w:r>
    </w:p>
    <w:p>
      <w:pPr>
        <w:keepNext/>
        <w:spacing w:after="120" w:before="240" w:line="2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Quadro 6 – Decisões técnicas preliminares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0"/>
        <w:gridCol w:w="3500"/>
        <w:gridCol w:w="3321"/>
        <w:gridCol w:w="1100"/>
      </w:tblGrid>
      <w:tr>
        <w:trPr>
          <w:cantSplit/>
          <w:tblHeader/>
        </w:trPr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Decisão</w:t>
            </w:r>
          </w:p>
        </w:tc>
        <w:tc>
          <w:tcPr>
            <w:tcW w:type="dxa" w:w="33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Justificativa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ADR-001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API em Azure Functions (Node.js com TypeScript), sem Express.</w:t>
            </w:r>
          </w:p>
        </w:tc>
        <w:tc>
          <w:tcPr>
            <w:tcW w:type="dxa" w:w="33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Alinha-se ao requisito de usar a Azure por completo; modelo serverless; gatilho por tempo para os lembretes; execução local em Docker.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Proposta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ADR-002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Serviço de PLN separado, em Azure Function com Python e scikit-learn.</w:t>
            </w:r>
          </w:p>
        </w:tc>
        <w:tc>
          <w:tcPr>
            <w:tcW w:type="dxa" w:w="33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TF-IDF e SVM são usuais em Python; separação de responsabilidades em relação à API principal.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Proposta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ADR-003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Reconhecimento de voz com Azure AI Speech.</w:t>
            </w:r>
          </w:p>
        </w:tc>
        <w:tc>
          <w:tcPr>
            <w:tcW w:type="dxa" w:w="33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Serviço gerenciado na mesma nuvem; evita treinar um modelo próprio de fala.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Proposta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ADR-004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Banco relacional Azure SQL Database.</w:t>
            </w:r>
          </w:p>
        </w:tc>
        <w:tc>
          <w:tcPr>
            <w:tcW w:type="dxa" w:w="33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Dados relacionais (usuário, membro, vacina, dose) e DER claro para a documentação.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Proposta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ADR-005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Autenticação com Microsoft Entra External ID.</w:t>
            </w:r>
          </w:p>
        </w:tc>
        <w:tc>
          <w:tcPr>
            <w:tcW w:type="dxa" w:w="33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Identidade gerenciada na nuvem, conforme o requisito de autenticação pela plataforma.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 verificar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ADR-006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App com Expo, NativeWind e Expo Router; Context API para sessão e tema; TanStack Query para dados da API.</w:t>
            </w:r>
          </w:p>
        </w:tc>
        <w:tc>
          <w:tcPr>
            <w:tcW w:type="dxa" w:w="33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Base única para Android, iOS e web; separa estado global leve do cache de dados do servidor.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Proposta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ADR-007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Monorepo com npm workspaces e pacote compartilhado de tipos e esquemas Zod.</w:t>
            </w:r>
          </w:p>
        </w:tc>
        <w:tc>
          <w:tcPr>
            <w:tcW w:type="dxa" w:w="33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Contratos únicos entre app e API; manutenção simplificada.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Proposta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ADR-008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Segredos no Azure Key Vault e monitoramento no Application Insights.</w:t>
            </w:r>
          </w:p>
        </w:tc>
        <w:tc>
          <w:tcPr>
            <w:tcW w:type="dxa" w:w="33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Segurança e observabilidade gerenciadas na nuvem.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Proposta</w:t>
            </w:r>
          </w:p>
        </w:tc>
      </w:tr>
    </w:tbl>
    <w:p>
      <w:pPr>
        <w:spacing w:after="240" w:before="80" w:line="240"/>
      </w:pPr>
      <w:r>
        <w:rPr>
          <w:rFonts w:ascii="Arial" w:cs="Arial" w:eastAsia="Arial" w:hAnsi="Arial"/>
          <w:sz w:val="20"/>
          <w:szCs w:val="20"/>
        </w:rPr>
        <w:t xml:space="preserve">Fonte: Elaborado pelo autor (2026).</w:t>
      </w:r>
    </w:p>
    <w:p>
      <w:pPr>
        <w:spacing w:after="0" w:before="0" w:line="360"/>
        <w:ind w:firstLine="709"/>
        <w:jc w:val="both"/>
      </w:pPr>
      <w:r>
        <w:rPr>
          <w:rFonts w:ascii="Arial" w:cs="Arial" w:eastAsia="Arial" w:hAnsi="Arial"/>
        </w:rPr>
        <w:t xml:space="preserve">Antes de confirmar cada decisão, devem ser verificadas no portal da Azure as condições de uso e de custo dos serviços, como as camadas gratuitas do Azure SQL Database e a disponibilidade do Microsoft Entra External ID.</w:t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9 ENTREGAS E CRONOGRAMA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9.1 Entregas obrigatórias</w:t>
      </w:r>
    </w:p>
    <w:p>
      <w:pPr>
        <w:spacing w:after="0" w:before="0" w:line="360"/>
        <w:ind w:firstLine="709"/>
        <w:jc w:val="both"/>
      </w:pPr>
      <w:r>
        <w:rPr>
          <w:rFonts w:ascii="Arial" w:cs="Arial" w:eastAsia="Arial" w:hAnsi="Arial"/>
        </w:rPr>
        <w:t xml:space="preserve">O Quadro 7 consolida as entregas exigidas pelas disciplinas do PI-VI (FACULDADE DE TECNOLOGIA DE VOTORANTIM, 2026), com as datas informadas pelo autor.</w:t>
      </w:r>
    </w:p>
    <w:p>
      <w:pPr>
        <w:keepNext/>
        <w:spacing w:after="120" w:before="240" w:line="2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Quadro 7 – Entregas obrigatórias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200"/>
        <w:gridCol w:w="5771"/>
      </w:tblGrid>
      <w:tr>
        <w:trPr>
          <w:cantSplit/>
          <w:tblHeader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Disciplina</w:t>
            </w:r>
          </w:p>
        </w:tc>
        <w:tc>
          <w:tcPr>
            <w:tcW w:type="dxa" w:w="57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Entregáveis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12/11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Qualidade e Testes de Software</w:t>
            </w:r>
          </w:p>
        </w:tc>
        <w:tc>
          <w:tcPr>
            <w:tcW w:type="dxa" w:w="57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Requisitos funcionais e não funcionais; plano de teste (objetivo, itens, estratégia, critérios de entrada e saída, recursos e cronograma); papéis do processo de teste; teste de caixa preta por partição de equivalência ou análise de valor limite, com casos e tabela de execução; diagrama UML de estados de uma funcionalidade com mais de três estados (exceto login) e casos de teste de estados, transições e caminhos; pipeline no GitHub com workflow a cada push; testes automatizados com cobertura mínima de 80%.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16/11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Processamento de Linguagem Natural</w:t>
            </w:r>
          </w:p>
        </w:tc>
        <w:tc>
          <w:tcPr>
            <w:tcW w:type="dxa" w:w="57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Reconhecimento de voz com busca semântica por voz; chatbot baseado em regras com classificação de intenções por TF-IDF e SVM.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19/11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Laboratório de Desenvolvimento Multiplataforma (entrega total)</w:t>
            </w:r>
          </w:p>
        </w:tc>
        <w:tc>
          <w:tcPr>
            <w:tcW w:type="dxa" w:w="57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Projeto funcional, preferencialmente na Azure e em contêiner Docker; Product Backlog e cerimônias Scrum documentados; documentações técnica, de desenvolvimento e para o usuário em PDF na pasta doctos do repositório; panfleto em uma folha A4; arquivo zip do repositório; apresentação no formato mostra.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 confirmar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Computação em Nuvem II</w:t>
            </w:r>
          </w:p>
        </w:tc>
        <w:tc>
          <w:tcPr>
            <w:tcW w:type="dxa" w:w="57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Análise situacional e documentação técnica final em PDF, com estimativa de custo mensal em produção (datas a confirmar com o professor).</w:t>
            </w:r>
          </w:p>
        </w:tc>
      </w:tr>
    </w:tbl>
    <w:p>
      <w:pPr>
        <w:spacing w:after="240" w:before="80" w:line="240"/>
      </w:pPr>
      <w:r>
        <w:rPr>
          <w:rFonts w:ascii="Arial" w:cs="Arial" w:eastAsia="Arial" w:hAnsi="Arial"/>
          <w:sz w:val="20"/>
          <w:szCs w:val="20"/>
        </w:rPr>
        <w:t xml:space="preserve">Fonte: Elaborado pelo autor (2026).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9.2 Plano semanal</w:t>
      </w:r>
    </w:p>
    <w:p>
      <w:pPr>
        <w:spacing w:after="0" w:before="0" w:line="360"/>
        <w:ind w:firstLine="709"/>
        <w:jc w:val="both"/>
      </w:pPr>
      <w:r>
        <w:rPr>
          <w:rFonts w:ascii="Arial" w:cs="Arial" w:eastAsia="Arial" w:hAnsi="Arial"/>
        </w:rPr>
        <w:t xml:space="preserve">O Quadro 8 distribui o trabalho em seis semanas, planejadas de trás para frente a partir das datas de entrega. A documentação de desenvolvimento (horas, atividades, reuniões e aprendizados) será preenchida ao longo do projeto, e não apenas ao final.</w:t>
      </w:r>
    </w:p>
    <w:p>
      <w:pPr>
        <w:keepNext/>
        <w:spacing w:after="120" w:before="240" w:line="2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Quadro 8 – Plano semanal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700"/>
        <w:gridCol w:w="5471"/>
      </w:tblGrid>
      <w:tr>
        <w:trPr>
          <w:cantSplit/>
          <w:tblHeader/>
        </w:trP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Semana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Período</w:t>
            </w:r>
          </w:p>
        </w:tc>
        <w:tc>
          <w:tcPr>
            <w:tcW w:type="dxa" w:w="54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Foco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Semana 1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06/10 a 12/10</w:t>
            </w:r>
          </w:p>
        </w:tc>
        <w:tc>
          <w:tcPr>
            <w:tcW w:type="dxa" w:w="54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Fundação: visão e escopo, requisitos, Product Backlog, ADRs, UML de estados e plano de teste.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Semana 2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13/10 a 19/10</w:t>
            </w:r>
          </w:p>
        </w:tc>
        <w:tc>
          <w:tcPr>
            <w:tcW w:type="dxa" w:w="54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Repositório, infraestrutura na Azure, pipeline de CI, autenticação e banco de dados.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Semana 3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20/10 a 26/10</w:t>
            </w:r>
          </w:p>
        </w:tc>
        <w:tc>
          <w:tcPr>
            <w:tcW w:type="dxa" w:w="54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Membros, calendário vacinal e ciclo de vida da dose; casos de teste de caixa preta.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Semana 4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27/10 a 02/11</w:t>
            </w:r>
          </w:p>
        </w:tc>
        <w:tc>
          <w:tcPr>
            <w:tcW w:type="dxa" w:w="54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Lembretes, busca por voz, testes automatizados com Jest e pipeline em execução.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Semana 5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03/11 a 09/11</w:t>
            </w:r>
          </w:p>
        </w:tc>
        <w:tc>
          <w:tcPr>
            <w:tcW w:type="dxa" w:w="54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Chatbot (dataset de intenções, treino e avaliação), cobertura de 90% e documentação técnica.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Semana 6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10/11 a 19/11</w:t>
            </w:r>
          </w:p>
        </w:tc>
        <w:tc>
          <w:tcPr>
            <w:tcW w:type="dxa" w:w="54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Fechamento de Qualidade (12/11) e PLN (16/11); depois, Docker, documentações de usuário e de desenvolvimento, panfleto, zip e ensaio da apresentação.</w:t>
            </w:r>
          </w:p>
        </w:tc>
      </w:tr>
    </w:tbl>
    <w:p>
      <w:pPr>
        <w:spacing w:after="240" w:before="80" w:line="240"/>
      </w:pPr>
      <w:r>
        <w:rPr>
          <w:rFonts w:ascii="Arial" w:cs="Arial" w:eastAsia="Arial" w:hAnsi="Arial"/>
          <w:sz w:val="20"/>
          <w:szCs w:val="20"/>
        </w:rPr>
        <w:t xml:space="preserve">Fonte: Elaborado pelo autor (2026).</w:t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10 RISCOS E MITIGAÇÕES</w:t>
      </w:r>
    </w:p>
    <w:p>
      <w:pPr>
        <w:spacing w:after="0" w:before="0" w:line="360"/>
        <w:ind w:firstLine="709"/>
        <w:jc w:val="both"/>
      </w:pPr>
      <w:r>
        <w:rPr>
          <w:rFonts w:ascii="Arial" w:cs="Arial" w:eastAsia="Arial" w:hAnsi="Arial"/>
        </w:rPr>
        <w:t xml:space="preserve">O Quadro 9 lista os principais riscos técnicos, de prazo e de conformidade, com probabilidade, impacto e ações de mitigação. A lista será revisada a cada semana.</w:t>
      </w:r>
    </w:p>
    <w:p>
      <w:pPr>
        <w:keepNext/>
        <w:spacing w:after="120" w:before="240" w:line="2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Quadro 9 – Riscos e mitigações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700"/>
        <w:gridCol w:w="1100"/>
        <w:gridCol w:w="4671"/>
      </w:tblGrid>
      <w:tr>
        <w:trPr>
          <w:cantSplit/>
          <w:tblHeader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Risco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Prob. / Impacto</w:t>
            </w:r>
          </w:p>
        </w:tc>
        <w:tc>
          <w:tcPr>
            <w:tcW w:type="dxa" w:w="46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Mitigação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R1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Prazo curto com um único desenvolvedor.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Alta / Alto</w:t>
            </w:r>
          </w:p>
        </w:tc>
        <w:tc>
          <w:tcPr>
            <w:tcW w:type="dxa" w:w="46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Escopo enxuto (MVP); priorização no backlog; funcionalidades extras apenas se houver folga; revisão semanal do cronograma.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R2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Curva de aprendizado na Azure (Functions, SQL, Entra External ID e Speech).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Média / Alto</w:t>
            </w:r>
          </w:p>
        </w:tc>
        <w:tc>
          <w:tcPr>
            <w:tcW w:type="dxa" w:w="46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Protótipo ponta a ponta na semana 2; uso da documentação oficial; simplificação de serviços, registrada em ADR, se necessário.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R3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Custos inesperados na Azure.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Média / Médio</w:t>
            </w:r>
          </w:p>
        </w:tc>
        <w:tc>
          <w:tcPr>
            <w:tcW w:type="dxa" w:w="46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Camadas gratuitas ou de menor custo; alertas de orçamento; revisão semanal dos recursos ativos.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R4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Conjunto de dados pequeno para o classificador de intenções.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Alta / Médio</w:t>
            </w:r>
          </w:p>
        </w:tc>
        <w:tc>
          <w:tcPr>
            <w:tcW w:type="dxa" w:w="46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Criar e revisar manualmente exemplos por intenção; validação cruzada; relatar F1 e limitações; resposta padrão quando a confiança for baixa.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R5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Erro ou desatualização do calendário vacinal.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Média / Alto</w:t>
            </w:r>
          </w:p>
        </w:tc>
        <w:tc>
          <w:tcPr>
            <w:tcW w:type="dxa" w:w="46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Usar apenas fonte oficial, com versão e data; dados do calendário isolados e versionados; aviso de que o app não substitui a caderneta nem a orientação profissional.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R6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Exposição de dados pessoais e de saúde.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Baixa / Alto</w:t>
            </w:r>
          </w:p>
        </w:tc>
        <w:tc>
          <w:tcPr>
            <w:tcW w:type="dxa" w:w="46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Coleta mínima (sem CPF e CNS); criptografia em trânsito e em repouso; segredos no Key Vault; consentimento e exclusão de conta.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R7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Divergência de exigências entre disciplinas, como a ferramenta de testes.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Média / Médio</w:t>
            </w:r>
          </w:p>
        </w:tc>
        <w:tc>
          <w:tcPr>
            <w:tcW w:type="dxa" w:w="46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Registrar por escrito a confirmação do professor sobre o uso de Jest; manter as exigências de cada disciplina no backlog.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R8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Mudança de condições ou indisponibilidade de serviços da Azure.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Baixa / Médio</w:t>
            </w:r>
          </w:p>
        </w:tc>
        <w:tc>
          <w:tcPr>
            <w:tcW w:type="dxa" w:w="46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Verificar as condições no portal antes de decidir; documentar alternativas nos ADRs.</w:t>
            </w:r>
          </w:p>
        </w:tc>
      </w:tr>
    </w:tbl>
    <w:p>
      <w:pPr>
        <w:spacing w:after="240" w:before="80" w:line="240"/>
      </w:pPr>
      <w:r>
        <w:rPr>
          <w:rFonts w:ascii="Arial" w:cs="Arial" w:eastAsia="Arial" w:hAnsi="Arial"/>
          <w:sz w:val="20"/>
          <w:szCs w:val="20"/>
        </w:rPr>
        <w:t xml:space="preserve">Fonte: Elaborado pelo autor (2026).</w:t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11 CONSIDERAÇÕES FINAIS E PRÓXIMOS PASSOS</w:t>
      </w:r>
    </w:p>
    <w:p>
      <w:pPr>
        <w:spacing w:after="0" w:before="0" w:line="360"/>
        <w:ind w:firstLine="709"/>
        <w:jc w:val="both"/>
      </w:pPr>
      <w:r>
        <w:rPr>
          <w:rFonts w:ascii="Arial" w:cs="Arial" w:eastAsia="Arial" w:hAnsi="Arial"/>
        </w:rPr>
        <w:t xml:space="preserve">Este documento fixa a base do projeto e deve ser mantido atualizado e versionado no repositório, de modo que toda mudança de escopo ou de decisão técnica seja registrada. Como próximos passos, estão previstos:</w:t>
      </w:r>
    </w:p>
    <w:p>
      <w:pPr>
        <w:pStyle w:val="ListParagraph"/>
        <w:numPr>
          <w:ilvl w:val="0"/>
          <w:numId w:val="7"/>
        </w:numPr>
        <w:spacing w:line="360"/>
        <w:jc w:val="both"/>
      </w:pPr>
      <w:r>
        <w:rPr>
          <w:rFonts w:ascii="Arial" w:cs="Arial" w:eastAsia="Arial" w:hAnsi="Arial"/>
        </w:rPr>
        <w:t xml:space="preserve">criar o Product Backlog no Jira, em projeto Scrum, com épicos e histórias derivados dos requisitos funcionais;</w:t>
      </w:r>
    </w:p>
    <w:p>
      <w:pPr>
        <w:pStyle w:val="ListParagraph"/>
        <w:numPr>
          <w:ilvl w:val="0"/>
          <w:numId w:val="7"/>
        </w:numPr>
        <w:spacing w:line="360"/>
        <w:jc w:val="both"/>
      </w:pPr>
      <w:r>
        <w:rPr>
          <w:rFonts w:ascii="Arial" w:cs="Arial" w:eastAsia="Arial" w:hAnsi="Arial"/>
        </w:rPr>
        <w:t xml:space="preserve">elaborar os diagramas UML (casos de uso, classes, sequência e estados da dose) e o diagrama de entidade-relacionamento;</w:t>
      </w:r>
    </w:p>
    <w:p>
      <w:pPr>
        <w:pStyle w:val="ListParagraph"/>
        <w:numPr>
          <w:ilvl w:val="0"/>
          <w:numId w:val="7"/>
        </w:numPr>
        <w:spacing w:line="360"/>
        <w:jc w:val="both"/>
      </w:pPr>
      <w:r>
        <w:rPr>
          <w:rFonts w:ascii="Arial" w:cs="Arial" w:eastAsia="Arial" w:hAnsi="Arial"/>
        </w:rPr>
        <w:t xml:space="preserve">definir o design system (cores, tipografia, espaçamento e componentes) para mobile e web;</w:t>
      </w:r>
    </w:p>
    <w:p>
      <w:pPr>
        <w:pStyle w:val="ListParagraph"/>
        <w:numPr>
          <w:ilvl w:val="0"/>
          <w:numId w:val="7"/>
        </w:numPr>
        <w:spacing w:line="360"/>
        <w:jc w:val="both"/>
      </w:pPr>
      <w:r>
        <w:rPr>
          <w:rFonts w:ascii="Arial" w:cs="Arial" w:eastAsia="Arial" w:hAnsi="Arial"/>
        </w:rPr>
        <w:t xml:space="preserve">redigir o plano de teste e os casos de teste de caixa preta;</w:t>
      </w:r>
    </w:p>
    <w:p>
      <w:pPr>
        <w:pStyle w:val="ListParagraph"/>
        <w:numPr>
          <w:ilvl w:val="0"/>
          <w:numId w:val="7"/>
        </w:numPr>
        <w:spacing w:line="360"/>
        <w:jc w:val="both"/>
      </w:pPr>
      <w:r>
        <w:rPr>
          <w:rFonts w:ascii="Arial" w:cs="Arial" w:eastAsia="Arial" w:hAnsi="Arial"/>
        </w:rPr>
        <w:t xml:space="preserve">abrir o repositório com CI, TypeScript em modo estrito, ESLint, Prettier e TypeDoc;</w:t>
      </w:r>
    </w:p>
    <w:p>
      <w:pPr>
        <w:pStyle w:val="ListParagraph"/>
        <w:numPr>
          <w:ilvl w:val="0"/>
          <w:numId w:val="7"/>
        </w:numPr>
        <w:spacing w:line="360"/>
        <w:jc w:val="both"/>
      </w:pPr>
      <w:r>
        <w:rPr>
          <w:rFonts w:ascii="Arial" w:cs="Arial" w:eastAsia="Arial" w:hAnsi="Arial"/>
        </w:rPr>
        <w:t xml:space="preserve">registrar as decisões técnicas em ADRs.</w:t>
      </w:r>
    </w:p>
    <w:p>
      <w:pPr>
        <w:pStyle w:val="Heading1"/>
        <w:jc w:val="center"/>
      </w:pPr>
      <w:r>
        <w:rPr>
          <w:rFonts w:ascii="Arial" w:cs="Arial" w:eastAsia="Arial" w:hAnsi="Arial"/>
          <w:b/>
          <w:bCs/>
        </w:rPr>
        <w:t xml:space="preserve">REFERÊNCIAS</w:t>
      </w:r>
    </w:p>
    <w:p>
      <w:pPr>
        <w:spacing w:after="240" w:line="240"/>
        <w:jc w:val="left"/>
      </w:pPr>
      <w:r>
        <w:rPr>
          <w:rFonts w:ascii="Arial" w:cs="Arial" w:eastAsia="Arial" w:hAnsi="Arial"/>
        </w:rPr>
        <w:t xml:space="preserve">AGUIAR, F.; CAROLI, P. </w:t>
      </w:r>
      <w:r>
        <w:rPr>
          <w:rFonts w:ascii="Arial" w:cs="Arial" w:eastAsia="Arial" w:hAnsi="Arial"/>
          <w:b/>
          <w:bCs/>
        </w:rPr>
        <w:t xml:space="preserve">Product Backlog Building</w:t>
      </w:r>
      <w:r>
        <w:rPr>
          <w:rFonts w:ascii="Arial" w:cs="Arial" w:eastAsia="Arial" w:hAnsi="Arial"/>
        </w:rPr>
        <w:t xml:space="preserve">: um guia prático para criação e refinamento de backlog para produtos de sucesso. Rio de Janeiro: Caroli, 2021.</w:t>
      </w:r>
    </w:p>
    <w:p>
      <w:pPr>
        <w:spacing w:after="240" w:line="240"/>
        <w:jc w:val="left"/>
      </w:pPr>
      <w:r>
        <w:rPr>
          <w:rFonts w:ascii="Arial" w:cs="Arial" w:eastAsia="Arial" w:hAnsi="Arial"/>
        </w:rPr>
        <w:t xml:space="preserve">BRASIL. </w:t>
      </w:r>
      <w:r>
        <w:rPr>
          <w:rFonts w:ascii="Arial" w:cs="Arial" w:eastAsia="Arial" w:hAnsi="Arial"/>
          <w:b/>
          <w:bCs/>
        </w:rPr>
        <w:t xml:space="preserve">Lei nº 13.709, de 14 de agosto de 2018</w:t>
      </w:r>
      <w:r>
        <w:rPr>
          <w:rFonts w:ascii="Arial" w:cs="Arial" w:eastAsia="Arial" w:hAnsi="Arial"/>
        </w:rPr>
        <w:t xml:space="preserve">. Lei Geral de Proteção de Dados Pessoais (LGPD). Brasília, DF: Presidência da República, 2018. Disponível em: https://www.planalto.gov.br/ccivil_03/_ato2015-2018/2018/lei/l13709.htm. Acesso em: 6 out. 2026.</w:t>
      </w:r>
    </w:p>
    <w:p>
      <w:pPr>
        <w:spacing w:after="240" w:line="240"/>
        <w:jc w:val="left"/>
      </w:pPr>
      <w:r>
        <w:rPr>
          <w:rFonts w:ascii="Arial" w:cs="Arial" w:eastAsia="Arial" w:hAnsi="Arial"/>
        </w:rPr>
        <w:t xml:space="preserve">BRASIL. Ministério da Saúde. </w:t>
      </w:r>
      <w:r>
        <w:rPr>
          <w:rFonts w:ascii="Arial" w:cs="Arial" w:eastAsia="Arial" w:hAnsi="Arial"/>
          <w:b/>
          <w:bCs/>
        </w:rPr>
        <w:t xml:space="preserve">Programa Nacional de Imunizações (PNI)</w:t>
      </w:r>
      <w:r>
        <w:rPr>
          <w:rFonts w:ascii="Arial" w:cs="Arial" w:eastAsia="Arial" w:hAnsi="Arial"/>
        </w:rPr>
        <w:t xml:space="preserve">. Brasília, DF: Ministério da Saúde, [s. d.]. Disponível em: https://www.gov.br/saude/pt-br. Acesso em: 6 out. 2026.</w:t>
      </w:r>
    </w:p>
    <w:p>
      <w:pPr>
        <w:spacing w:after="240" w:line="240"/>
        <w:jc w:val="left"/>
      </w:pPr>
      <w:r>
        <w:rPr>
          <w:rFonts w:ascii="Arial" w:cs="Arial" w:eastAsia="Arial" w:hAnsi="Arial"/>
        </w:rPr>
        <w:t xml:space="preserve">BRASIL cumpre meta de cobertura só para duas vacinas de recém-nascidos. </w:t>
      </w:r>
      <w:r>
        <w:rPr>
          <w:rFonts w:ascii="Arial" w:cs="Arial" w:eastAsia="Arial" w:hAnsi="Arial"/>
          <w:b/>
          <w:bCs/>
        </w:rPr>
        <w:t xml:space="preserve">O Popular</w:t>
      </w:r>
      <w:r>
        <w:rPr>
          <w:rFonts w:ascii="Arial" w:cs="Arial" w:eastAsia="Arial" w:hAnsi="Arial"/>
        </w:rPr>
        <w:t xml:space="preserve">, Goiânia, [s. d.]. Disponível em: https://opopular.com.br/cidades/brasil-cumpre-meta-de-cobertura-so-para-duas-vacinas-de-recem-nascidos-1.3362168. Acesso em: 6 out. 2026.</w:t>
      </w:r>
    </w:p>
    <w:p>
      <w:pPr>
        <w:spacing w:after="240" w:line="240"/>
        <w:jc w:val="left"/>
      </w:pPr>
      <w:r>
        <w:rPr>
          <w:rFonts w:ascii="Arial" w:cs="Arial" w:eastAsia="Arial" w:hAnsi="Arial"/>
        </w:rPr>
        <w:t xml:space="preserve">FACULDADE DE TECNOLOGIA DE VOTORANTIM. </w:t>
      </w:r>
      <w:r>
        <w:rPr>
          <w:rFonts w:ascii="Arial" w:cs="Arial" w:eastAsia="Arial" w:hAnsi="Arial"/>
          <w:b/>
          <w:bCs/>
        </w:rPr>
        <w:t xml:space="preserve">Projeto Interdisciplinar VI (PI-VI)</w:t>
      </w:r>
      <w:r>
        <w:rPr>
          <w:rFonts w:ascii="Arial" w:cs="Arial" w:eastAsia="Arial" w:hAnsi="Arial"/>
        </w:rPr>
        <w:t xml:space="preserve">: Curso Superior de Desenvolvimento de Software Multiplataforma. Versão 1.0. Votorantim: Fatec Votorantim, 2026.</w:t>
      </w:r>
    </w:p>
    <w:p>
      <w:pPr>
        <w:spacing w:after="240" w:line="240"/>
        <w:jc w:val="left"/>
      </w:pPr>
      <w:r>
        <w:rPr>
          <w:rFonts w:ascii="Arial" w:cs="Arial" w:eastAsia="Arial" w:hAnsi="Arial"/>
        </w:rPr>
        <w:t xml:space="preserve">ORGANIZAÇÃO DAS NAÇÕES UNIDAS NO BRASIL. </w:t>
      </w:r>
      <w:r>
        <w:rPr>
          <w:rFonts w:ascii="Arial" w:cs="Arial" w:eastAsia="Arial" w:hAnsi="Arial"/>
          <w:b/>
          <w:bCs/>
        </w:rPr>
        <w:t xml:space="preserve">Objetivos de Desenvolvimento Sustentável</w:t>
      </w:r>
      <w:r>
        <w:rPr>
          <w:rFonts w:ascii="Arial" w:cs="Arial" w:eastAsia="Arial" w:hAnsi="Arial"/>
        </w:rPr>
        <w:t xml:space="preserve">. Brasília, DF: ONU Brasil, [s. d.]. Disponível em: https://brasil.un.org/pt-br/sdgs. Acesso em: 6 out. 2026.</w:t>
      </w:r>
    </w:p>
    <w:p>
      <w:pPr>
        <w:spacing w:after="240" w:line="240"/>
        <w:jc w:val="left"/>
      </w:pPr>
      <w:r>
        <w:rPr>
          <w:rFonts w:ascii="Arial" w:cs="Arial" w:eastAsia="Arial" w:hAnsi="Arial"/>
        </w:rPr>
        <w:t xml:space="preserve">UNIVERSIDADE FEDERAL DO RIO GRANDE DO SUL. Brasil enfrenta queda na cobertura vacinal e aumento de doenças preveníveis. </w:t>
      </w:r>
      <w:r>
        <w:rPr>
          <w:rFonts w:ascii="Arial" w:cs="Arial" w:eastAsia="Arial" w:hAnsi="Arial"/>
          <w:b/>
          <w:bCs/>
        </w:rPr>
        <w:t xml:space="preserve">Humanista</w:t>
      </w:r>
      <w:r>
        <w:rPr>
          <w:rFonts w:ascii="Arial" w:cs="Arial" w:eastAsia="Arial" w:hAnsi="Arial"/>
        </w:rPr>
        <w:t xml:space="preserve">, Porto Alegre, [2025]. Disponível em: https://www.ufrgs.br/humanista/?p=27723. Acesso em: 6 out. 2026.</w:t>
      </w:r>
    </w:p>
    <w:p>
      <w:pPr>
        <w:spacing w:after="240" w:line="240"/>
        <w:jc w:val="left"/>
      </w:pPr>
      <w:r>
        <w:rPr>
          <w:rFonts w:ascii="Arial" w:cs="Arial" w:eastAsia="Arial" w:hAnsi="Arial"/>
        </w:rPr>
        <w:t xml:space="preserve">WORLD WIDE WEB CONSORTIUM. </w:t>
      </w:r>
      <w:r>
        <w:rPr>
          <w:rFonts w:ascii="Arial" w:cs="Arial" w:eastAsia="Arial" w:hAnsi="Arial"/>
          <w:b/>
          <w:bCs/>
        </w:rPr>
        <w:t xml:space="preserve">Web Content Accessibility Guidelines (WCAG) 2.1</w:t>
      </w:r>
      <w:r>
        <w:rPr>
          <w:rFonts w:ascii="Arial" w:cs="Arial" w:eastAsia="Arial" w:hAnsi="Arial"/>
        </w:rPr>
        <w:t xml:space="preserve">. [S. l.]: W3C, 2018. Disponível em: https://www.w3.org/TR/WCAG21/. Acesso em: 6 out. 2026.</w:t>
      </w:r>
    </w:p>
    <w:sectPr>
      <w:headerReference w:type="default" r:id="rId7"/>
      <w:type w:val="nextPage"/>
      <w:pgSz w:w="11906" w:h="16838" w:orient="portrait"/>
      <w:pgMar w:top="1701" w:right="1134" w:bottom="1134" w:left="1701" w:header="1134" w:footer="567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lowerLetter"/>
      <w:lvlText w:val="%1)"/>
      <w:lvlJc w:val="left"/>
      <w:pPr>
        <w:ind w:left="1134" w:hanging="425"/>
      </w:pPr>
      <w:rPr>
        <w:rFonts w:ascii="Arial" w:cs="Arial" w:eastAsia="Arial" w:hAnsi="Arial"/>
      </w:rPr>
    </w:lvl>
  </w:abstractNum>
  <w:abstractNum w:abstractNumId="3" w15:restartNumberingAfterBreak="0">
    <w:multiLevelType w:val="hybridMultilevel"/>
    <w:lvl w:ilvl="0" w15:tentative="1">
      <w:start w:val="1"/>
      <w:numFmt w:val="lowerLetter"/>
      <w:lvlText w:val="%1)"/>
      <w:lvlJc w:val="left"/>
      <w:pPr>
        <w:ind w:left="1134" w:hanging="425"/>
      </w:pPr>
      <w:rPr>
        <w:rFonts w:ascii="Arial" w:cs="Arial" w:eastAsia="Arial" w:hAnsi="Arial"/>
      </w:rPr>
    </w:lvl>
  </w:abstractNum>
  <w:abstractNum w:abstractNumId="4" w15:restartNumberingAfterBreak="0">
    <w:multiLevelType w:val="hybridMultilevel"/>
    <w:lvl w:ilvl="0" w15:tentative="1">
      <w:start w:val="1"/>
      <w:numFmt w:val="lowerLetter"/>
      <w:lvlText w:val="%1)"/>
      <w:lvlJc w:val="left"/>
      <w:pPr>
        <w:ind w:left="1134" w:hanging="425"/>
      </w:pPr>
      <w:rPr>
        <w:rFonts w:ascii="Arial" w:cs="Arial" w:eastAsia="Arial" w:hAnsi="Arial"/>
      </w:rPr>
    </w:lvl>
  </w:abstractNum>
  <w:abstractNum w:abstractNumId="5" w15:restartNumberingAfterBreak="0">
    <w:multiLevelType w:val="hybridMultilevel"/>
    <w:lvl w:ilvl="0" w15:tentative="1">
      <w:start w:val="1"/>
      <w:numFmt w:val="lowerLetter"/>
      <w:lvlText w:val="%1)"/>
      <w:lvlJc w:val="left"/>
      <w:pPr>
        <w:ind w:left="1134" w:hanging="425"/>
      </w:pPr>
      <w:rPr>
        <w:rFonts w:ascii="Arial" w:cs="Arial" w:eastAsia="Arial" w:hAnsi="Arial"/>
      </w:rPr>
    </w:lvl>
  </w:abstractNum>
  <w:abstractNum w:abstractNumId="6" w15:restartNumberingAfterBreak="0">
    <w:multiLevelType w:val="hybridMultilevel"/>
    <w:lvl w:ilvl="0" w15:tentative="1">
      <w:start w:val="1"/>
      <w:numFmt w:val="lowerLetter"/>
      <w:lvlText w:val="%1)"/>
      <w:lvlJc w:val="left"/>
      <w:pPr>
        <w:ind w:left="1134" w:hanging="425"/>
      </w:pPr>
      <w:rPr>
        <w:rFonts w:ascii="Arial" w:cs="Arial" w:eastAsia="Arial" w:hAnsi="Arial"/>
      </w:rPr>
    </w:lvl>
  </w:abstractNum>
  <w:abstractNum w:abstractNumId="7" w15:restartNumberingAfterBreak="0">
    <w:multiLevelType w:val="hybridMultilevel"/>
    <w:lvl w:ilvl="0" w15:tentative="1">
      <w:start w:val="1"/>
      <w:numFmt w:val="lowerLetter"/>
      <w:lvlText w:val="%1)"/>
      <w:lvlJc w:val="left"/>
      <w:pPr>
        <w:ind w:left="1134" w:hanging="425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pageBreakBefore/>
      <w:spacing w:after="360" w:before="0" w:line="360"/>
      <w:outlineLvl w:val="0"/>
    </w:pPr>
    <w:rPr>
      <w:rFonts w:ascii="Arial" w:cs="Arial" w:eastAsia="Arial" w:hAnsi="Arial"/>
      <w:b/>
      <w:bCs/>
      <w:sz w:val="24"/>
      <w:szCs w:val="24"/>
    </w:rPr>
  </w:style>
  <w:style w:type="paragraph" w:styleId="Heading2">
    <w:name w:val="Heading 2"/>
    <w:basedOn w:val="Normal"/>
    <w:next w:val="Normal"/>
    <w:qFormat/>
    <w:pPr>
      <w:keepNext/>
      <w:spacing w:after="360" w:before="360" w:line="360"/>
      <w:outlineLvl w:val="1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Documento de Visão e Escopo – Fase 0</dc:title>
  <dc:creator>Eduardo Kamo Iguei</dc:creator>
  <cp:lastModifiedBy>Un-named</cp:lastModifiedBy>
  <cp:revision>1</cp:revision>
  <dcterms:created xsi:type="dcterms:W3CDTF">2026-10-06T13:42:57.373Z</dcterms:created>
  <dcterms:modified xsi:type="dcterms:W3CDTF">2026-10-06T13:42:57.374Z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